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ind w:left="380" w:hanging="97"/>
        <w:spacing w:after="0" w:line="235" w:lineRule="auto"/>
        <w:tabs>
          <w:tab w:leader="none" w:pos="380" w:val="left"/>
        </w:tabs>
        <w:numPr>
          <w:ilvl w:val="0"/>
          <w:numId w:val="1"/>
        </w:numPr>
        <w:rPr>
          <w:rFonts w:ascii="Arial" w:cs="Arial" w:eastAsia="Arial" w:hAnsi="Arial"/>
          <w:sz w:val="17"/>
          <w:szCs w:val="17"/>
          <w:color w:val="auto"/>
        </w:rPr>
      </w:pPr>
      <w:r>
        <w:rPr>
          <w:rFonts w:ascii="Arial" w:cs="Arial" w:eastAsia="Arial" w:hAnsi="Arial"/>
          <w:sz w:val="16"/>
          <w:szCs w:val="16"/>
          <w:color w:val="auto"/>
        </w:rPr>
        <w:t>ANNUAL REPORT PURSUANT TO SECTION 13 OR 15(d) OF THE SECURITIES EXCHANGE ACT OF 1934</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For the fiscal year ended December 31, 2013 or</w:t>
      </w:r>
    </w:p>
    <w:p>
      <w:pPr>
        <w:spacing w:after="0" w:line="192" w:lineRule="exact"/>
        <w:rPr>
          <w:sz w:val="24"/>
          <w:szCs w:val="24"/>
          <w:color w:val="auto"/>
        </w:rPr>
      </w:pPr>
    </w:p>
    <w:p>
      <w:pPr>
        <w:ind w:left="560" w:right="1280" w:hanging="281"/>
        <w:spacing w:after="0" w:line="265" w:lineRule="auto"/>
        <w:rPr>
          <w:sz w:val="20"/>
          <w:szCs w:val="20"/>
          <w:color w:val="auto"/>
        </w:rPr>
      </w:pPr>
      <w:r>
        <w:rPr>
          <w:rFonts w:ascii="Arial" w:cs="Arial" w:eastAsia="Arial" w:hAnsi="Arial"/>
          <w:sz w:val="16"/>
          <w:szCs w:val="16"/>
          <w:color w:val="auto"/>
        </w:rPr>
        <w:t>¨TRANSITION REPORT PURSUANT TO SECTION 13 OR 15(d) OF THE SECURITIES EXCHANGE ACT OF 1934 For the transition period from _______ to 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No. 1-8625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READING INTERNATIONAL,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220" w:type="dxa"/>
        <w:tblCellMar>
          <w:top w:w="0" w:type="dxa"/>
          <w:left w:w="0" w:type="dxa"/>
          <w:bottom w:w="0" w:type="dxa"/>
          <w:right w:w="0" w:type="dxa"/>
        </w:tblCellMar>
      </w:tblPr>
      <w:tr>
        <w:trPr>
          <w:trHeight w:val="192"/>
        </w:trPr>
        <w:tc>
          <w:tcPr>
            <w:tcW w:w="4140" w:type="dxa"/>
            <w:vAlign w:val="bottom"/>
          </w:tcPr>
          <w:p>
            <w:pPr>
              <w:jc w:val="center"/>
              <w:ind w:right="322"/>
              <w:spacing w:after="0"/>
              <w:rPr>
                <w:sz w:val="20"/>
                <w:szCs w:val="20"/>
                <w:color w:val="auto"/>
              </w:rPr>
            </w:pPr>
            <w:r>
              <w:rPr>
                <w:rFonts w:ascii="Arial" w:cs="Arial" w:eastAsia="Arial" w:hAnsi="Arial"/>
                <w:sz w:val="16"/>
                <w:szCs w:val="16"/>
                <w:b w:val="1"/>
                <w:bCs w:val="1"/>
                <w:color w:val="auto"/>
                <w:w w:val="97"/>
              </w:rPr>
              <w:t>NEVADA</w:t>
            </w:r>
          </w:p>
        </w:tc>
        <w:tc>
          <w:tcPr>
            <w:tcW w:w="2960" w:type="dxa"/>
            <w:vAlign w:val="bottom"/>
          </w:tcPr>
          <w:p>
            <w:pPr>
              <w:jc w:val="right"/>
              <w:ind w:right="822"/>
              <w:spacing w:after="0"/>
              <w:rPr>
                <w:sz w:val="20"/>
                <w:szCs w:val="20"/>
                <w:color w:val="auto"/>
              </w:rPr>
            </w:pPr>
            <w:r>
              <w:rPr>
                <w:rFonts w:ascii="Arial" w:cs="Arial" w:eastAsia="Arial" w:hAnsi="Arial"/>
                <w:sz w:val="16"/>
                <w:szCs w:val="16"/>
                <w:b w:val="1"/>
                <w:bCs w:val="1"/>
                <w:color w:val="auto"/>
              </w:rPr>
              <w:t>95-3885184</w:t>
            </w:r>
          </w:p>
        </w:tc>
      </w:tr>
      <w:tr>
        <w:trPr>
          <w:trHeight w:val="188"/>
        </w:trPr>
        <w:tc>
          <w:tcPr>
            <w:tcW w:w="4140" w:type="dxa"/>
            <w:vAlign w:val="bottom"/>
          </w:tcPr>
          <w:p>
            <w:pPr>
              <w:jc w:val="center"/>
              <w:ind w:right="322"/>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2960" w:type="dxa"/>
            <w:vAlign w:val="bottom"/>
          </w:tcPr>
          <w:p>
            <w:pPr>
              <w:jc w:val="center"/>
              <w:ind w:left="322"/>
              <w:spacing w:after="0"/>
              <w:rPr>
                <w:sz w:val="20"/>
                <w:szCs w:val="20"/>
                <w:color w:val="auto"/>
              </w:rPr>
            </w:pPr>
            <w:r>
              <w:rPr>
                <w:rFonts w:ascii="Arial" w:cs="Arial" w:eastAsia="Arial" w:hAnsi="Arial"/>
                <w:sz w:val="16"/>
                <w:szCs w:val="16"/>
                <w:color w:val="auto"/>
                <w:w w:val="91"/>
              </w:rPr>
              <w:t>(I.R.S. Employer Identification Number)</w:t>
            </w:r>
          </w:p>
        </w:tc>
      </w:tr>
      <w:tr>
        <w:trPr>
          <w:trHeight w:val="188"/>
        </w:trPr>
        <w:tc>
          <w:tcPr>
            <w:tcW w:w="4140" w:type="dxa"/>
            <w:vAlign w:val="bottom"/>
          </w:tcPr>
          <w:p>
            <w:pPr>
              <w:jc w:val="center"/>
              <w:ind w:right="302"/>
              <w:spacing w:after="0"/>
              <w:rPr>
                <w:sz w:val="20"/>
                <w:szCs w:val="20"/>
                <w:color w:val="auto"/>
              </w:rPr>
            </w:pPr>
            <w:r>
              <w:rPr>
                <w:rFonts w:ascii="Arial" w:cs="Arial" w:eastAsia="Arial" w:hAnsi="Arial"/>
                <w:sz w:val="16"/>
                <w:szCs w:val="16"/>
                <w:color w:val="auto"/>
                <w:w w:val="88"/>
              </w:rPr>
              <w:t>6100 Center Dr., Suite 900</w:t>
            </w:r>
          </w:p>
        </w:tc>
        <w:tc>
          <w:tcPr>
            <w:tcW w:w="2960" w:type="dxa"/>
            <w:vAlign w:val="bottom"/>
          </w:tcPr>
          <w:p>
            <w:pPr>
              <w:spacing w:after="0"/>
              <w:rPr>
                <w:sz w:val="16"/>
                <w:szCs w:val="16"/>
                <w:color w:val="auto"/>
              </w:rPr>
            </w:pPr>
          </w:p>
        </w:tc>
      </w:tr>
      <w:tr>
        <w:trPr>
          <w:trHeight w:val="188"/>
        </w:trPr>
        <w:tc>
          <w:tcPr>
            <w:tcW w:w="4140" w:type="dxa"/>
            <w:vAlign w:val="bottom"/>
          </w:tcPr>
          <w:p>
            <w:pPr>
              <w:jc w:val="center"/>
              <w:ind w:right="302"/>
              <w:spacing w:after="0"/>
              <w:rPr>
                <w:sz w:val="20"/>
                <w:szCs w:val="20"/>
                <w:color w:val="auto"/>
              </w:rPr>
            </w:pPr>
            <w:r>
              <w:rPr>
                <w:rFonts w:ascii="Arial" w:cs="Arial" w:eastAsia="Arial" w:hAnsi="Arial"/>
                <w:sz w:val="16"/>
                <w:szCs w:val="16"/>
                <w:color w:val="auto"/>
                <w:w w:val="90"/>
              </w:rPr>
              <w:t>Los Angeles, CA</w:t>
            </w:r>
          </w:p>
        </w:tc>
        <w:tc>
          <w:tcPr>
            <w:tcW w:w="2960" w:type="dxa"/>
            <w:vAlign w:val="bottom"/>
          </w:tcPr>
          <w:p>
            <w:pPr>
              <w:jc w:val="right"/>
              <w:ind w:right="1002"/>
              <w:spacing w:after="0"/>
              <w:rPr>
                <w:sz w:val="20"/>
                <w:szCs w:val="20"/>
                <w:color w:val="auto"/>
              </w:rPr>
            </w:pPr>
            <w:r>
              <w:rPr>
                <w:rFonts w:ascii="Arial" w:cs="Arial" w:eastAsia="Arial" w:hAnsi="Arial"/>
                <w:sz w:val="16"/>
                <w:szCs w:val="16"/>
                <w:color w:val="auto"/>
              </w:rPr>
              <w:t>90045</w:t>
            </w:r>
          </w:p>
        </w:tc>
      </w:tr>
      <w:tr>
        <w:trPr>
          <w:trHeight w:val="200"/>
        </w:trPr>
        <w:tc>
          <w:tcPr>
            <w:tcW w:w="4140" w:type="dxa"/>
            <w:vAlign w:val="bottom"/>
          </w:tcPr>
          <w:p>
            <w:pPr>
              <w:jc w:val="center"/>
              <w:ind w:right="302"/>
              <w:spacing w:after="0"/>
              <w:rPr>
                <w:sz w:val="20"/>
                <w:szCs w:val="20"/>
                <w:color w:val="auto"/>
              </w:rPr>
            </w:pPr>
            <w:r>
              <w:rPr>
                <w:rFonts w:ascii="Arial" w:cs="Arial" w:eastAsia="Arial" w:hAnsi="Arial"/>
                <w:sz w:val="16"/>
                <w:szCs w:val="16"/>
                <w:color w:val="auto"/>
                <w:w w:val="90"/>
              </w:rPr>
              <w:t>(Address of principal executive offices)</w:t>
            </w:r>
          </w:p>
        </w:tc>
        <w:tc>
          <w:tcPr>
            <w:tcW w:w="2960" w:type="dxa"/>
            <w:vAlign w:val="bottom"/>
          </w:tcPr>
          <w:p>
            <w:pPr>
              <w:jc w:val="center"/>
              <w:ind w:left="342"/>
              <w:spacing w:after="0"/>
              <w:rPr>
                <w:sz w:val="20"/>
                <w:szCs w:val="20"/>
                <w:color w:val="auto"/>
              </w:rPr>
            </w:pPr>
            <w:r>
              <w:rPr>
                <w:rFonts w:ascii="Arial" w:cs="Arial" w:eastAsia="Arial" w:hAnsi="Arial"/>
                <w:sz w:val="16"/>
                <w:szCs w:val="16"/>
                <w:color w:val="auto"/>
                <w:w w:val="92"/>
              </w:rPr>
              <w:t>(Zip Code)</w:t>
            </w:r>
          </w:p>
        </w:tc>
      </w:tr>
    </w:tbl>
    <w:p>
      <w:pPr>
        <w:jc w:val="center"/>
        <w:spacing w:after="0"/>
        <w:rPr>
          <w:sz w:val="20"/>
          <w:szCs w:val="20"/>
          <w:color w:val="auto"/>
        </w:rPr>
      </w:pPr>
      <w:r>
        <w:rPr>
          <w:rFonts w:ascii="Arial" w:cs="Arial" w:eastAsia="Arial" w:hAnsi="Arial"/>
          <w:sz w:val="16"/>
          <w:szCs w:val="16"/>
          <w:color w:val="auto"/>
        </w:rPr>
        <w:t>Registrant’s telephone number, including Area Code: (213) 235-2240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color w:val="auto"/>
                <w:w w:val="87"/>
              </w:rPr>
              <w:t>Title of each class</w:t>
            </w:r>
          </w:p>
        </w:tc>
        <w:tc>
          <w:tcPr>
            <w:tcW w:w="38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color w:val="auto"/>
                <w:w w:val="87"/>
              </w:rPr>
              <w:t>Name of each exchange on which registered</w:t>
            </w:r>
          </w:p>
        </w:tc>
      </w:tr>
      <w:tr>
        <w:trPr>
          <w:trHeight w:val="164"/>
        </w:trPr>
        <w:tc>
          <w:tcPr>
            <w:tcW w:w="4120" w:type="dxa"/>
            <w:vAlign w:val="bottom"/>
          </w:tcPr>
          <w:p>
            <w:pPr>
              <w:jc w:val="center"/>
              <w:ind w:right="82"/>
              <w:spacing w:after="0" w:line="164" w:lineRule="exact"/>
              <w:rPr>
                <w:sz w:val="20"/>
                <w:szCs w:val="20"/>
                <w:color w:val="auto"/>
              </w:rPr>
            </w:pPr>
            <w:r>
              <w:rPr>
                <w:rFonts w:ascii="Arial" w:cs="Arial" w:eastAsia="Arial" w:hAnsi="Arial"/>
                <w:sz w:val="16"/>
                <w:szCs w:val="16"/>
                <w:b w:val="1"/>
                <w:bCs w:val="1"/>
                <w:color w:val="auto"/>
                <w:w w:val="87"/>
              </w:rPr>
              <w:t>Class A Nonvoting Common Stock, $0.01 par value</w:t>
            </w:r>
          </w:p>
        </w:tc>
        <w:tc>
          <w:tcPr>
            <w:tcW w:w="3800" w:type="dxa"/>
            <w:vAlign w:val="bottom"/>
          </w:tcPr>
          <w:p>
            <w:pPr>
              <w:jc w:val="center"/>
              <w:ind w:right="102"/>
              <w:spacing w:after="0" w:line="164" w:lineRule="exact"/>
              <w:rPr>
                <w:sz w:val="20"/>
                <w:szCs w:val="20"/>
                <w:color w:val="auto"/>
              </w:rPr>
            </w:pPr>
            <w:r>
              <w:rPr>
                <w:rFonts w:ascii="Arial" w:cs="Arial" w:eastAsia="Arial" w:hAnsi="Arial"/>
                <w:sz w:val="16"/>
                <w:szCs w:val="16"/>
                <w:b w:val="1"/>
                <w:bCs w:val="1"/>
                <w:color w:val="auto"/>
                <w:w w:val="95"/>
              </w:rPr>
              <w:t>NASDAQ</w:t>
            </w:r>
          </w:p>
        </w:tc>
      </w:tr>
      <w:tr>
        <w:trPr>
          <w:trHeight w:val="204"/>
        </w:trPr>
        <w:tc>
          <w:tcPr>
            <w:tcW w:w="412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Class B Voting Common Stock, $0.01 par value</w:t>
            </w:r>
          </w:p>
        </w:tc>
        <w:tc>
          <w:tcPr>
            <w:tcW w:w="3800" w:type="dxa"/>
            <w:vAlign w:val="bottom"/>
          </w:tcPr>
          <w:p>
            <w:pPr>
              <w:jc w:val="center"/>
              <w:ind w:right="102"/>
              <w:spacing w:after="0"/>
              <w:rPr>
                <w:sz w:val="20"/>
                <w:szCs w:val="20"/>
                <w:color w:val="auto"/>
              </w:rPr>
            </w:pPr>
            <w:r>
              <w:rPr>
                <w:rFonts w:ascii="Arial" w:cs="Arial" w:eastAsia="Arial" w:hAnsi="Arial"/>
                <w:sz w:val="16"/>
                <w:szCs w:val="16"/>
                <w:b w:val="1"/>
                <w:bCs w:val="1"/>
                <w:color w:val="auto"/>
                <w:w w:val="95"/>
              </w:rPr>
              <w:t>NASDAQ</w:t>
            </w: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w:t>
        <w:tab/>
        <w:t>No</w:t>
      </w:r>
    </w:p>
    <w:p>
      <w:pPr>
        <w:spacing w:after="0" w:line="98" w:lineRule="exact"/>
        <w:rPr>
          <w:sz w:val="24"/>
          <w:szCs w:val="24"/>
          <w:color w:val="auto"/>
        </w:rPr>
      </w:pPr>
    </w:p>
    <w:p>
      <w:pPr>
        <w:jc w:val="both"/>
        <w:ind w:firstLine="564"/>
        <w:spacing w:after="0" w:line="265" w:lineRule="auto"/>
        <w:rPr>
          <w:sz w:val="20"/>
          <w:szCs w:val="20"/>
          <w:color w:val="auto"/>
        </w:rPr>
      </w:pPr>
      <w:r>
        <w:rPr>
          <w:rFonts w:ascii="Arial" w:cs="Arial" w:eastAsia="Arial" w:hAnsi="Arial"/>
          <w:sz w:val="16"/>
          <w:szCs w:val="16"/>
          <w:color w:val="auto"/>
        </w:rPr>
        <w:t>If this report is an annual or transition report, indicate by check mark if the registrant is not required to file reports pursuant to Section 13 or 15(d) of the Securities Exchange Act of 1934. Yes No</w:t>
      </w:r>
    </w:p>
    <w:p>
      <w:pPr>
        <w:spacing w:after="0" w:line="52" w:lineRule="exact"/>
        <w:rPr>
          <w:sz w:val="24"/>
          <w:szCs w:val="24"/>
          <w:color w:val="auto"/>
        </w:rPr>
      </w:pPr>
    </w:p>
    <w:p>
      <w:pPr>
        <w:jc w:val="both"/>
        <w:ind w:firstLine="564"/>
        <w:spacing w:after="0" w:line="256" w:lineRule="auto"/>
        <w:rPr>
          <w:sz w:val="20"/>
          <w:szCs w:val="20"/>
          <w:color w:val="auto"/>
        </w:rPr>
      </w:pPr>
      <w:r>
        <w:rPr>
          <w:rFonts w:ascii="Arial" w:cs="Arial" w:eastAsia="Arial" w:hAnsi="Arial"/>
          <w:sz w:val="13"/>
          <w:szCs w:val="13"/>
          <w:color w:val="auto"/>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w:t>
      </w:r>
    </w:p>
    <w:p>
      <w:pPr>
        <w:spacing w:after="0"/>
        <w:tabs>
          <w:tab w:leader="none" w:pos="3520" w:val="left"/>
        </w:tabs>
        <w:rPr>
          <w:sz w:val="20"/>
          <w:szCs w:val="20"/>
          <w:color w:val="auto"/>
        </w:rPr>
      </w:pPr>
      <w:r>
        <w:rPr>
          <w:rFonts w:ascii="Arial" w:cs="Arial" w:eastAsia="Arial" w:hAnsi="Arial"/>
          <w:sz w:val="16"/>
          <w:szCs w:val="16"/>
          <w:color w:val="auto"/>
        </w:rPr>
        <w:t>filing requirements for the past 90 days. Yes</w:t>
      </w:r>
      <w:r>
        <w:rPr>
          <w:sz w:val="20"/>
          <w:szCs w:val="20"/>
          <w:color w:val="auto"/>
        </w:rPr>
        <w:tab/>
      </w:r>
      <w:r>
        <w:rPr>
          <w:rFonts w:ascii="Arial" w:cs="Arial" w:eastAsia="Arial" w:hAnsi="Arial"/>
          <w:sz w:val="13"/>
          <w:szCs w:val="13"/>
          <w:color w:val="auto"/>
        </w:rPr>
        <w:t>No</w:t>
      </w:r>
    </w:p>
    <w:p>
      <w:pPr>
        <w:spacing w:after="0" w:line="60" w:lineRule="exact"/>
        <w:rPr>
          <w:sz w:val="24"/>
          <w:szCs w:val="24"/>
          <w:color w:val="auto"/>
        </w:rPr>
      </w:pPr>
    </w:p>
    <w:p>
      <w:pPr>
        <w:jc w:val="both"/>
        <w:ind w:firstLine="564"/>
        <w:spacing w:after="0" w:line="280"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No</w:t>
      </w:r>
    </w:p>
    <w:p>
      <w:pPr>
        <w:spacing w:after="0" w:line="54" w:lineRule="exact"/>
        <w:rPr>
          <w:sz w:val="24"/>
          <w:szCs w:val="24"/>
          <w:color w:val="auto"/>
        </w:rPr>
      </w:pPr>
    </w:p>
    <w:p>
      <w:pPr>
        <w:jc w:val="both"/>
        <w:ind w:firstLine="564"/>
        <w:spacing w:after="0" w:line="255"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w:t>
      </w:r>
    </w:p>
    <w:p>
      <w:pPr>
        <w:spacing w:after="0" w:line="60" w:lineRule="exact"/>
        <w:rPr>
          <w:sz w:val="24"/>
          <w:szCs w:val="24"/>
          <w:color w:val="auto"/>
        </w:rPr>
      </w:pPr>
    </w:p>
    <w:p>
      <w:pPr>
        <w:jc w:val="both"/>
        <w:ind w:firstLine="564"/>
        <w:spacing w:after="0" w:line="21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9180"/>
          </w:cols>
          <w:pgMar w:left="1360" w:top="217" w:right="1359" w:bottom="144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50" w:lineRule="exact"/>
        <w:rPr>
          <w:sz w:val="24"/>
          <w:szCs w:val="24"/>
          <w:color w:val="auto"/>
        </w:rPr>
      </w:pPr>
    </w:p>
    <w:p>
      <w:pPr>
        <w:sectPr>
          <w:pgSz w:w="11900" w:h="16838" w:orient="portrait"/>
          <w:cols w:equalWidth="0" w:num="4">
            <w:col w:w="1400" w:space="300"/>
            <w:col w:w="1040" w:space="260"/>
            <w:col w:w="1320" w:space="240"/>
            <w:col w:w="4620"/>
          </w:cols>
          <w:pgMar w:left="1360" w:top="217" w:right="1359" w:bottom="1440" w:gutter="0" w:footer="0" w:header="0"/>
          <w:type w:val="continuous"/>
        </w:sect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74" w:lineRule="exact"/>
        <w:rPr>
          <w:sz w:val="24"/>
          <w:szCs w:val="24"/>
          <w:color w:val="auto"/>
        </w:rPr>
      </w:pPr>
    </w:p>
    <w:p>
      <w:pPr>
        <w:sectPr>
          <w:pgSz w:w="11900" w:h="16838" w:orient="portrait"/>
          <w:cols w:equalWidth="0" w:num="2">
            <w:col w:w="7980" w:space="240"/>
            <w:col w:w="960"/>
          </w:cols>
          <w:pgMar w:left="1360" w:top="217" w:right="1359" w:bottom="1440" w:gutter="0" w:footer="0" w:header="0"/>
          <w:type w:val="continuous"/>
        </w:sectPr>
      </w:pPr>
    </w:p>
    <w:p>
      <w:pPr>
        <w:jc w:val="both"/>
        <w:ind w:firstLine="564"/>
        <w:spacing w:after="0" w:line="214"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March 6, 2014, there were 22,015,738 shares of class A non-voting common stock, par value $0.01 per share and 1,495,490 shares of class B voting common stock, par value $0.01 per share, outstanding. The aggregate market value of voting and nonvoting stock held by non-affiliates of the Registrant was $112,400,258 as of June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5872480" cy="47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217" w:right="1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060" w:type="dxa"/>
            <w:vAlign w:val="bottom"/>
            <w:gridSpan w:val="3"/>
          </w:tcPr>
          <w:p>
            <w:pPr>
              <w:jc w:val="center"/>
              <w:ind w:left="2042"/>
              <w:spacing w:after="0"/>
              <w:rPr>
                <w:sz w:val="20"/>
                <w:szCs w:val="20"/>
                <w:color w:val="auto"/>
              </w:rPr>
            </w:pPr>
            <w:r>
              <w:rPr>
                <w:rFonts w:ascii="Arial" w:cs="Arial" w:eastAsia="Arial" w:hAnsi="Arial"/>
                <w:sz w:val="16"/>
                <w:szCs w:val="16"/>
                <w:b w:val="1"/>
                <w:bCs w:val="1"/>
                <w:color w:val="auto"/>
              </w:rPr>
              <w:t>READING INTERNATIONAL, INC.</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060" w:type="dxa"/>
            <w:vAlign w:val="bottom"/>
            <w:gridSpan w:val="3"/>
          </w:tcPr>
          <w:p>
            <w:pPr>
              <w:jc w:val="center"/>
              <w:ind w:left="2062"/>
              <w:spacing w:after="0"/>
              <w:rPr>
                <w:sz w:val="20"/>
                <w:szCs w:val="20"/>
                <w:color w:val="auto"/>
              </w:rPr>
            </w:pPr>
            <w:r>
              <w:rPr>
                <w:rFonts w:ascii="Arial" w:cs="Arial" w:eastAsia="Arial" w:hAnsi="Arial"/>
                <w:sz w:val="16"/>
                <w:szCs w:val="16"/>
                <w:b w:val="1"/>
                <w:bCs w:val="1"/>
                <w:color w:val="auto"/>
                <w:w w:val="97"/>
              </w:rPr>
              <w:t>ANNUAL REPORT ON FORM 10-K</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060" w:type="dxa"/>
            <w:vAlign w:val="bottom"/>
            <w:gridSpan w:val="3"/>
          </w:tcPr>
          <w:p>
            <w:pPr>
              <w:jc w:val="center"/>
              <w:ind w:left="2062"/>
              <w:spacing w:after="0"/>
              <w:rPr>
                <w:sz w:val="20"/>
                <w:szCs w:val="20"/>
                <w:color w:val="auto"/>
              </w:rPr>
            </w:pPr>
            <w:r>
              <w:rPr>
                <w:rFonts w:ascii="Arial" w:cs="Arial" w:eastAsia="Arial" w:hAnsi="Arial"/>
                <w:sz w:val="16"/>
                <w:szCs w:val="16"/>
                <w:b w:val="1"/>
                <w:bCs w:val="1"/>
                <w:color w:val="auto"/>
                <w:w w:val="95"/>
              </w:rPr>
              <w:t>YEAR ENDED DECEMBER 31, 2013</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2720" w:type="dxa"/>
            <w:vAlign w:val="bottom"/>
            <w:gridSpan w:val="2"/>
          </w:tcPr>
          <w:p>
            <w:pPr>
              <w:jc w:val="center"/>
              <w:ind w:right="2220"/>
              <w:spacing w:after="0" w:line="169" w:lineRule="exact"/>
              <w:rPr>
                <w:sz w:val="20"/>
                <w:szCs w:val="20"/>
                <w:color w:val="auto"/>
              </w:rPr>
            </w:pPr>
            <w:r>
              <w:rPr>
                <w:rFonts w:ascii="Arial" w:cs="Arial" w:eastAsia="Arial" w:hAnsi="Arial"/>
                <w:sz w:val="16"/>
                <w:szCs w:val="16"/>
                <w:b w:val="1"/>
                <w:bCs w:val="1"/>
                <w:color w:val="auto"/>
              </w:rPr>
              <w:t>INDEX</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0"/>
        </w:trPr>
        <w:tc>
          <w:tcPr>
            <w:tcW w:w="4340" w:type="dxa"/>
            <w:vAlign w:val="bottom"/>
          </w:tcPr>
          <w:p>
            <w:pPr>
              <w:ind w:left="100"/>
              <w:spacing w:after="0"/>
              <w:rPr>
                <w:sz w:val="20"/>
                <w:szCs w:val="20"/>
                <w:color w:val="auto"/>
              </w:rPr>
            </w:pPr>
            <w:r>
              <w:rPr>
                <w:rFonts w:ascii="Arial" w:cs="Arial" w:eastAsia="Arial" w:hAnsi="Arial"/>
                <w:sz w:val="16"/>
                <w:szCs w:val="16"/>
                <w:b w:val="1"/>
                <w:bCs w:val="1"/>
                <w:color w:val="auto"/>
              </w:rPr>
              <w:t>PART I</w:t>
            </w:r>
          </w:p>
        </w:tc>
        <w:tc>
          <w:tcPr>
            <w:tcW w:w="50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1 – Our Business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1A – Risk Factors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1B - Unresolved Staff Comments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2 – Properties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3 – Legal Proceedings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PART II</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364"/>
        </w:trPr>
        <w:tc>
          <w:tcPr>
            <w:tcW w:w="7060" w:type="dxa"/>
            <w:vAlign w:val="bottom"/>
            <w:gridSpan w:val="3"/>
          </w:tcPr>
          <w:p>
            <w:pPr>
              <w:ind w:left="100"/>
              <w:spacing w:after="0"/>
              <w:rPr>
                <w:sz w:val="20"/>
                <w:szCs w:val="20"/>
                <w:color w:val="auto"/>
              </w:rPr>
            </w:pPr>
            <w:r>
              <w:rPr>
                <w:rFonts w:ascii="Arial" w:cs="Arial" w:eastAsia="Arial" w:hAnsi="Arial"/>
                <w:sz w:val="16"/>
                <w:szCs w:val="16"/>
                <w:color w:val="auto"/>
                <w:w w:val="95"/>
              </w:rPr>
              <w:t>Item 5 – Market for Registrant’s Common Equity, Related Stockholder Matters and Issuer Purchases of</w:t>
            </w:r>
          </w:p>
        </w:tc>
        <w:tc>
          <w:tcPr>
            <w:tcW w:w="21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00"/>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Equity Securities</w:t>
            </w: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6 – Selected Financial Data</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w w:val="99"/>
              </w:rPr>
              <w:t>Item 7 – Management’s Discussions and Analysis of Financial Condition and Results of Operations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7A – Quantitative and Qualitative Disclosure about Market Risk</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8 – Financial Statements and Supplementary Data</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Report of Independent Registered Public Accounting Firms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Consolidated Balance Sheets as of December 31, 2013 and 2012</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2013</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w w:val="91"/>
              </w:rPr>
              <w:t>Consolidated Statements of Comprehensive Income (Loss) for the Three Years Ended December 31, 2013</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Consolidated Statements of Stockholders’ Equity for the Three Years Ended December 31, 2013</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2013</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Schedule II – Valuation and Qualifying Accounts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102</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9 – Change in and Disagreements with Accountants on Accounting and Financial Disclosure</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9A – Controls and Procedures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104</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PART III</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PART IV</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color w:val="auto"/>
              </w:rPr>
              <w:t>Item 15 – Exhibits, Financial Statement Schedules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SIGNATURES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129</w:t>
            </w:r>
          </w:p>
        </w:tc>
        <w:tc>
          <w:tcPr>
            <w:tcW w:w="0" w:type="dxa"/>
            <w:vAlign w:val="bottom"/>
          </w:tcPr>
          <w:p>
            <w:pPr>
              <w:spacing w:after="0"/>
              <w:rPr>
                <w:sz w:val="1"/>
                <w:szCs w:val="1"/>
                <w:color w:val="auto"/>
              </w:rPr>
            </w:pPr>
          </w:p>
        </w:tc>
      </w:tr>
      <w:tr>
        <w:trPr>
          <w:trHeight w:val="376"/>
        </w:trPr>
        <w:tc>
          <w:tcPr>
            <w:tcW w:w="7060" w:type="dxa"/>
            <w:vAlign w:val="bottom"/>
            <w:gridSpan w:val="3"/>
          </w:tcPr>
          <w:p>
            <w:pPr>
              <w:ind w:left="100"/>
              <w:spacing w:after="0"/>
              <w:rPr>
                <w:sz w:val="20"/>
                <w:szCs w:val="20"/>
                <w:color w:val="auto"/>
              </w:rPr>
            </w:pPr>
            <w:r>
              <w:rPr>
                <w:rFonts w:ascii="Arial" w:cs="Arial" w:eastAsia="Arial" w:hAnsi="Arial"/>
                <w:sz w:val="16"/>
                <w:szCs w:val="16"/>
                <w:b w:val="1"/>
                <w:bCs w:val="1"/>
                <w:color w:val="auto"/>
              </w:rPr>
              <w:t>CERTIFICATIONS</w:t>
            </w:r>
          </w:p>
        </w:tc>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741"/>
        </w:trPr>
        <w:tc>
          <w:tcPr>
            <w:tcW w:w="4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99" w:right="1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u w:val="single" w:color="auto"/>
          <w:color w:val="auto"/>
        </w:rPr>
        <w:t>PART 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Item 1 –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Description of Our Business</w:t>
      </w:r>
    </w:p>
    <w:p>
      <w:pPr>
        <w:spacing w:after="0" w:line="161"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Reading International, Inc., a Nevada corporation (“RDI”), was incorporated in 1999 incident to our reincorporation in Nevada. Our class A non-voting common stock (“Class A Stock”) and class B voting common stock (“Class B Stock”) are listed for trading on the NASDAQ Capital Market (Nasdaq-CM) under the symbols RDI and RDIB, respectively. Our principal executive offices are located at 6100 Center Drive, Suite 900, Los Angeles, California 90045. Our general telephone number is (213) 235-2240 and our website is </w:t>
      </w:r>
      <w:r>
        <w:rPr>
          <w:rFonts w:ascii="Arial" w:cs="Arial" w:eastAsia="Arial" w:hAnsi="Arial"/>
          <w:sz w:val="15"/>
          <w:szCs w:val="15"/>
          <w:u w:val="single" w:color="auto"/>
          <w:color w:val="auto"/>
        </w:rPr>
        <w:t>www.readingrdi.com</w:t>
      </w:r>
      <w:r>
        <w:rPr>
          <w:rFonts w:ascii="Arial" w:cs="Arial" w:eastAsia="Arial" w:hAnsi="Arial"/>
          <w:sz w:val="15"/>
          <w:szCs w:val="15"/>
          <w:color w:val="auto"/>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In this Annual Report, we from time to time use terms such as the “Company,” “Reading” and “we,” “us,” or “our” to refer collectively to RDI and our various consolidated subsidiaries and corporate predecessors.</w:t>
      </w:r>
    </w:p>
    <w:p>
      <w:pPr>
        <w:spacing w:after="0" w:line="120" w:lineRule="exact"/>
        <w:rPr>
          <w:sz w:val="20"/>
          <w:szCs w:val="20"/>
          <w:color w:val="auto"/>
        </w:rPr>
      </w:pPr>
    </w:p>
    <w:p>
      <w:pPr>
        <w:jc w:val="both"/>
        <w:ind w:firstLine="564"/>
        <w:spacing w:after="0" w:line="388" w:lineRule="auto"/>
        <w:rPr>
          <w:sz w:val="20"/>
          <w:szCs w:val="20"/>
          <w:color w:val="auto"/>
        </w:rPr>
      </w:pPr>
      <w:r>
        <w:rPr>
          <w:rFonts w:ascii="Arial" w:cs="Arial" w:eastAsia="Arial" w:hAnsi="Arial"/>
          <w:sz w:val="13"/>
          <w:szCs w:val="13"/>
          <w:b w:val="1"/>
          <w:bCs w:val="1"/>
          <w:color w:val="auto"/>
        </w:rPr>
        <w:t>We are an internationally diversified “hard asset” company principally focused on the development, ownership and operation of entertainment and real property assets in the United States, Australia, and New Zealand. Currently, we have two business segments:</w:t>
      </w:r>
    </w:p>
    <w:p>
      <w:pPr>
        <w:spacing w:after="0" w:line="57" w:lineRule="exact"/>
        <w:rPr>
          <w:sz w:val="20"/>
          <w:szCs w:val="20"/>
          <w:color w:val="auto"/>
        </w:rPr>
      </w:pPr>
    </w:p>
    <w:p>
      <w:pPr>
        <w:ind w:left="580" w:hanging="297"/>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Cinema Exhibition, through our 56 cinemas, and</w:t>
      </w:r>
    </w:p>
    <w:p>
      <w:pPr>
        <w:spacing w:after="0" w:line="19" w:lineRule="exact"/>
        <w:rPr>
          <w:rFonts w:ascii="Arial" w:cs="Arial" w:eastAsia="Arial" w:hAnsi="Arial"/>
          <w:sz w:val="16"/>
          <w:szCs w:val="16"/>
          <w:color w:val="auto"/>
        </w:rPr>
      </w:pPr>
    </w:p>
    <w:p>
      <w:pPr>
        <w:ind w:left="420" w:hanging="137"/>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Real Estate, including real estate development and the rental of retail, commercial and live theater assets.</w:t>
      </w:r>
    </w:p>
    <w:p>
      <w:pPr>
        <w:spacing w:after="0" w:line="145"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believe that these two business segments complement one another, as the comparatively consistent cash flows generated by our cinema operations allow us to be opportunistic in acquiring and holding real estate assets, and can be used not only to grow and develop our cinema business but also to help fund the front-end cash demands of our real estate development business.</w:t>
      </w:r>
    </w:p>
    <w:p>
      <w:pPr>
        <w:spacing w:after="0" w:line="113"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At December 31, 2013, the book value of our assets was $386.8 million, and, as of that same date, we had a consolidated stockholders’ book equity of $121.7 million. Calculated based on book value, $120.7 million or 30%, of our assets relate to our cinema exhibition activities and $226.9 million or 59%, of our assets relate to our real estate activities. At December 31, 2013, we had cash and cash equivalents of $37.7 million, which is accounted for as a corporate asset. Our cash included $23.0 million denominated in the U.S. dollars, $7.5 million (AUS$$8.4 million) in Australia dollars, and $7.2 million (NZ$8.7 million) in New Zealand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92710</wp:posOffset>
            </wp:positionV>
            <wp:extent cx="2416810" cy="190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6810"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3" w:name="page4"/>
    <w:bookmarkEnd w:id="3"/>
    <w:p>
      <w:pPr>
        <w:jc w:val="both"/>
        <w:ind w:firstLine="564"/>
        <w:spacing w:after="0" w:line="265" w:lineRule="auto"/>
        <w:rPr>
          <w:sz w:val="20"/>
          <w:szCs w:val="20"/>
          <w:color w:val="auto"/>
        </w:rPr>
      </w:pPr>
      <w:r>
        <w:rPr>
          <w:rFonts w:ascii="Arial" w:cs="Arial" w:eastAsia="Arial" w:hAnsi="Arial"/>
          <w:sz w:val="16"/>
          <w:szCs w:val="16"/>
          <w:color w:val="auto"/>
        </w:rPr>
        <w:t xml:space="preserve">For additional segment financial information, please see Note 22 – </w:t>
      </w:r>
      <w:r>
        <w:rPr>
          <w:rFonts w:ascii="Arial" w:cs="Arial" w:eastAsia="Arial" w:hAnsi="Arial"/>
          <w:sz w:val="16"/>
          <w:szCs w:val="16"/>
          <w:i w:val="1"/>
          <w:iCs w:val="1"/>
          <w:color w:val="auto"/>
        </w:rPr>
        <w:t>Business Segments and Geographic Area Information</w:t>
      </w:r>
      <w:r>
        <w:rPr>
          <w:rFonts w:ascii="Arial" w:cs="Arial" w:eastAsia="Arial" w:hAnsi="Arial"/>
          <w:sz w:val="16"/>
          <w:szCs w:val="16"/>
          <w:color w:val="auto"/>
        </w:rPr>
        <w:t xml:space="preserve"> to our 2013 Consolidated Financial Statements.</w:t>
      </w:r>
    </w:p>
    <w:p>
      <w:pPr>
        <w:spacing w:after="0" w:line="12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have diversified our assets among three countries: the United States, Australia, and New Zealand. At December 31, 2013, we had approximately 29% of our assets (based on net book value) in the United States, 51% in Australia and 20% in New Zealand compared to 29%, 53%, and 18% at the end of 2012. For 2013, our gross revenue in these jurisdictions was $131.5 million, $100.4 million, and $26.3 million, respectively, compared to $121.5 million, $108.3 million, and $24.6 million for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100965</wp:posOffset>
            </wp:positionV>
            <wp:extent cx="2401570" cy="190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1570" cy="190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For additional financial information concerning the geographic distribution of our business, please see Note 22 – </w:t>
      </w:r>
      <w:r>
        <w:rPr>
          <w:rFonts w:ascii="Arial" w:cs="Arial" w:eastAsia="Arial" w:hAnsi="Arial"/>
          <w:sz w:val="16"/>
          <w:szCs w:val="16"/>
          <w:i w:val="1"/>
          <w:iCs w:val="1"/>
          <w:color w:val="auto"/>
        </w:rPr>
        <w:t>Business Segments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 Area Information </w:t>
      </w:r>
      <w:r>
        <w:rPr>
          <w:rFonts w:ascii="Arial" w:cs="Arial" w:eastAsia="Arial" w:hAnsi="Arial"/>
          <w:sz w:val="16"/>
          <w:szCs w:val="16"/>
          <w:color w:val="auto"/>
        </w:rPr>
        <w:t>to our 2013 Consolidated Financial Statements.</w:t>
      </w:r>
    </w:p>
    <w:p>
      <w:pPr>
        <w:spacing w:after="0" w:line="134"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While we do not believe the cinema exhibition business to be a growth business, we do believe it to be a business that will likely continue to generate fairly consistent cash flows in the years ahead even in recessionary or inflationary environments.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As we believe the cinema exhibition business to be a mature business with most markets either adequately screened or over-screened, we see growth in our cinema business coming principally from the enhancement of our current cinemas, the development in select markets of specialty cinemas, and the opportunistic acquisition of already existing cinemas rather than from the development of new conventional cinemas.</w:t>
      </w:r>
    </w:p>
    <w:p>
      <w:pPr>
        <w:spacing w:after="0" w:line="95"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In 2012, we essentially completed the conversion of our U.S. cinemas to digital projection, and followed that up with a conversion of our Australia and New Zealand cinemas, which was completed in 2013. In 2013, we took back a cinema in New Zealand that, at the time we acquired the property, was already leased to a competitor. We are now in the process of upgrading that cinema into a state-of-the art facility and plan to begin operations in the 3</w:t>
      </w:r>
      <w:r>
        <w:rPr>
          <w:rFonts w:ascii="Arial" w:cs="Arial" w:eastAsia="Arial" w:hAnsi="Arial"/>
          <w:sz w:val="6"/>
          <w:szCs w:val="6"/>
          <w:color w:val="auto"/>
        </w:rPr>
        <w:t>rd</w:t>
      </w:r>
      <w:r>
        <w:rPr>
          <w:rFonts w:ascii="Arial" w:cs="Arial" w:eastAsia="Arial" w:hAnsi="Arial"/>
          <w:sz w:val="13"/>
          <w:szCs w:val="13"/>
          <w:color w:val="auto"/>
        </w:rPr>
        <w:t xml:space="preserve"> Quarter of 2014. We are also working to expand our Angelika Film Center circuit. In the last quarter of 2013, we and Edens, a nationally known developer, announced our plans to develop a new Angelika style cinema in the Union Market district of Washington D.C. It is currently anticipated that this Angelika will open in mid-2016. Also, we are advancing plans to convert one of our San Diego area cinemas to an upgraded Angelika format, and working on plans to upgrade the food and beverage offerings at a number of our U.S. cinemas. Finally, during 2013, we acquired equity interests in entities holding the leases to two of our Angelika Film Centers.</w:t>
      </w:r>
    </w:p>
    <w:p>
      <w:pPr>
        <w:spacing w:after="0" w:line="96"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Given the resurgence of Manhattan commercial real estate values, we intend to redevelop our Cinemas 1, 2 &amp; 3 property and our Union Square property. Overseas, in 2013, we entered into a lease agreement for a new grocery store anchor tenant in our Courtenay Central property in Wellington, New Zealand and are actively pursuing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 w:name="page5"/>
    <w:bookmarkEnd w:id="4"/>
    <w:p>
      <w:pPr>
        <w:jc w:val="both"/>
        <w:spacing w:after="0" w:line="265" w:lineRule="auto"/>
        <w:rPr>
          <w:sz w:val="20"/>
          <w:szCs w:val="20"/>
          <w:color w:val="auto"/>
        </w:rPr>
      </w:pPr>
      <w:r>
        <w:rPr>
          <w:rFonts w:ascii="Arial" w:cs="Arial" w:eastAsia="Arial" w:hAnsi="Arial"/>
          <w:sz w:val="16"/>
          <w:szCs w:val="16"/>
          <w:color w:val="auto"/>
        </w:rPr>
        <w:t>the development of the next phase of that center. Additionally, we have obtained the necessary land use approvals and are working on plans to add a cinema to our Newmarket shopping center in Brisbane, Australia.</w:t>
      </w:r>
    </w:p>
    <w:p>
      <w:pPr>
        <w:spacing w:after="0" w:line="122"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Historically, it has not been our practice to sell assets, except in connection with the repositioning of such assets to a higher and better use. However, in light of the current market conditions and our desire to free up capital and pay down debt, in 2012, we sold our 24,000 square foot office building in Indooroopilly, Australia for $12.4 million (AUS$12.0 million). In 2013, we entered into a purchase and sale agreement to sell our 3.3-acre properties in Moonee Ponds for AUS$23.0 million which is scheduled to close on April 16, 2015 and is classified as land held for sale on our December 31, 2013 consolidated balance sheet. We are continuing to evaluate our options with respect to our 50.6-acre Burwood property in Australia and our 70.3-acre Manukau property in New Zealand. We may sell all or portions of these properties to provide liquidity for other projects. In evaluating whether to sell a particular property, we consider the potential upside in a particular property and costs required to achieve that upside compared to the opportunities presented by our other properties.</w:t>
      </w:r>
    </w:p>
    <w:p>
      <w:pPr>
        <w:spacing w:after="0" w:line="139"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Typically, we have endeavored to match the currency in which we have financed our development with the jurisdiction within which these developments are located. We have followed this approach to reduce our risk to currency fluctuations. This structure has, however, somewhat limited our ability to move cash from one jurisdiction to another. During 2012, we deviated somewhat from this policy by purchasing $8.0 million in time deposits denominated in U.S. dollars and held by an Australian bank which matured in January 2013. Additionally, at December 31, 2013, we hold $4.5 million in Australia and $495,000 in New Zealand denominated in U.S. dollars.</w:t>
      </w:r>
    </w:p>
    <w:p>
      <w:pPr>
        <w:spacing w:after="0" w:line="122"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In summary, while we do have operating company attributes, we see ourselves principally as a geographically diversified real estate and cinema company and intend to add to stockholder value by building the value of our portfolio of tangible real estate and entertainment-oriented assets. We endeavor to maintain a reasonable asset allocation between our U.S. and international assets and operations, and between our cash generating cinema operations and our cash consuming real estate development activities. We believe that by blending the cash generating capabilities of a cinema operation with the investment and development opportunities of our real estate operation coupled with our international diversification of assets, our business strategy is unique among public companies. While historically we have retained our properties through development, we continue to evaluate the sale of certain assets to provide capital to develop our remaining properties.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December 31, 2013, our principal assets included: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interests in 55 cinemas comprising some 463 screens;</w:t>
      </w:r>
    </w:p>
    <w:p>
      <w:pPr>
        <w:spacing w:after="0" w:line="16" w:lineRule="exact"/>
        <w:rPr>
          <w:sz w:val="20"/>
          <w:szCs w:val="20"/>
          <w:color w:val="auto"/>
        </w:rPr>
      </w:pPr>
    </w:p>
    <w:p>
      <w:pPr>
        <w:ind w:left="280" w:right="520"/>
        <w:spacing w:after="0" w:line="247" w:lineRule="auto"/>
        <w:rPr>
          <w:sz w:val="20"/>
          <w:szCs w:val="20"/>
          <w:color w:val="auto"/>
        </w:rPr>
      </w:pPr>
      <w:r>
        <w:rPr>
          <w:rFonts w:ascii="Arial" w:cs="Arial" w:eastAsia="Arial" w:hAnsi="Arial"/>
          <w:sz w:val="16"/>
          <w:szCs w:val="16"/>
          <w:color w:val="auto"/>
        </w:rPr>
        <w:t>·fee interests in four live theaters (the Union Square, the Orpheum and Minetta Lane in Manhattan and the Royal George in Chicago); ·fee ownership of approximately 24.0 million square feet of developed and undeveloped real estate; and · cash, cash equivalents, and time deposits aggregating $37.7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Cinema Exhibition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General</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conduct our cinema operations on four basic and rather simple premises:</w:t>
      </w:r>
    </w:p>
    <w:p>
      <w:pPr>
        <w:spacing w:after="0" w:line="157"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·first, notwithstanding the enormous advances that have been made in home entertainment technology, humans are essentially social beings, and will continue to want to go beyond the home for their entertainment, provided that they are offered clean, comfortable and convenient facilities, with state of the art technology;</w:t>
      </w:r>
    </w:p>
    <w:p>
      <w:pPr>
        <w:jc w:val="both"/>
        <w:ind w:left="340" w:hanging="46"/>
        <w:spacing w:after="0" w:line="301" w:lineRule="auto"/>
        <w:rPr>
          <w:sz w:val="20"/>
          <w:szCs w:val="20"/>
          <w:color w:val="auto"/>
        </w:rPr>
      </w:pPr>
      <w:r>
        <w:rPr>
          <w:rFonts w:ascii="Arial" w:cs="Arial" w:eastAsia="Arial" w:hAnsi="Arial"/>
          <w:sz w:val="13"/>
          <w:szCs w:val="13"/>
          <w:color w:val="auto"/>
        </w:rPr>
        <w:t>·second, cinemas can be used as anchors for larger retail developments and our involvement in the cinema business can give us an advantage over other real estate developers or redevelopers who must identify and negotiate exclusively with third party anchor tenants;</w:t>
      </w:r>
    </w:p>
    <w:p>
      <w:pPr>
        <w:spacing w:after="0" w:line="1" w:lineRule="exact"/>
        <w:rPr>
          <w:sz w:val="20"/>
          <w:szCs w:val="20"/>
          <w:color w:val="auto"/>
        </w:rPr>
      </w:pPr>
    </w:p>
    <w:p>
      <w:pPr>
        <w:jc w:val="both"/>
        <w:ind w:left="340" w:hanging="46"/>
        <w:spacing w:after="0" w:line="268" w:lineRule="auto"/>
        <w:rPr>
          <w:sz w:val="20"/>
          <w:szCs w:val="20"/>
          <w:color w:val="auto"/>
        </w:rPr>
      </w:pPr>
      <w:r>
        <w:rPr>
          <w:rFonts w:ascii="Arial" w:cs="Arial" w:eastAsia="Arial" w:hAnsi="Arial"/>
          <w:sz w:val="15"/>
          <w:szCs w:val="15"/>
          <w:color w:val="auto"/>
        </w:rPr>
        <w:t>·third, pure cinema operators can get themselves into financial difficulty as demands upon them to produce cinema based earnings growth tempt them into reinvesting their cash flow into increasingly marginal cinema sites. While we believe that there will continue to be attractive opportunities to acquire cinema assets and/or to develop upper end specialty type theaters (like our Angelika Film Centers) in the future, we do not feel pressure to build or acquire cinemas for the sake of adding units. We intend to focus our use</w:t>
      </w: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5" w:name="page6"/>
    <w:bookmarkEnd w:id="5"/>
    <w:p>
      <w:pPr>
        <w:ind w:left="560"/>
        <w:spacing w:after="0" w:line="252" w:lineRule="auto"/>
        <w:rPr>
          <w:sz w:val="20"/>
          <w:szCs w:val="20"/>
          <w:color w:val="auto"/>
        </w:rPr>
      </w:pPr>
      <w:r>
        <w:rPr>
          <w:rFonts w:ascii="Arial" w:cs="Arial" w:eastAsia="Arial" w:hAnsi="Arial"/>
          <w:sz w:val="16"/>
          <w:szCs w:val="16"/>
          <w:color w:val="auto"/>
        </w:rPr>
        <w:t>of cash flow on our real estate development and operating activities, to the extent that attractive cinema opportunities are not available to us; and</w:t>
      </w:r>
    </w:p>
    <w:p>
      <w:pPr>
        <w:spacing w:after="0" w:line="1" w:lineRule="exact"/>
        <w:rPr>
          <w:sz w:val="20"/>
          <w:szCs w:val="20"/>
          <w:color w:val="auto"/>
        </w:rPr>
      </w:pPr>
    </w:p>
    <w:p>
      <w:pPr>
        <w:ind w:left="340" w:hanging="46"/>
        <w:spacing w:after="0" w:line="250" w:lineRule="auto"/>
        <w:rPr>
          <w:sz w:val="20"/>
          <w:szCs w:val="20"/>
          <w:color w:val="auto"/>
        </w:rPr>
      </w:pPr>
      <w:r>
        <w:rPr>
          <w:rFonts w:ascii="Arial" w:cs="Arial" w:eastAsia="Arial" w:hAnsi="Arial"/>
          <w:sz w:val="16"/>
          <w:szCs w:val="16"/>
          <w:color w:val="auto"/>
        </w:rPr>
        <w:t>·fourth, we are always open to the idea of converting an entertainment property to another use, if there is a higher and better use for the property, or to sell individual assets, if we are presented with an attractive opportunity.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current cinema assets that we own and/or manage are as set forth in the following chart: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4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Wholly Owned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Consolidated</w:t>
            </w:r>
            <w:r>
              <w:rPr>
                <w:rFonts w:ascii="Arial" w:cs="Arial" w:eastAsia="Arial" w:hAnsi="Arial"/>
                <w:sz w:val="16"/>
                <w:szCs w:val="16"/>
                <w:color w:val="auto"/>
                <w:w w:val="88"/>
                <w:vertAlign w:val="superscript"/>
              </w:rPr>
              <w:t>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Unconsolidated</w:t>
            </w:r>
            <w:r>
              <w:rPr>
                <w:rFonts w:ascii="Arial" w:cs="Arial" w:eastAsia="Arial" w:hAnsi="Arial"/>
                <w:sz w:val="16"/>
                <w:szCs w:val="16"/>
                <w:color w:val="auto"/>
                <w:w w:val="87"/>
                <w:vertAlign w:val="superscript"/>
              </w:rPr>
              <w:t>2</w:t>
            </w:r>
          </w:p>
        </w:tc>
        <w:tc>
          <w:tcPr>
            <w:tcW w:w="146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6"/>
                <w:szCs w:val="16"/>
                <w:color w:val="auto"/>
                <w:w w:val="85"/>
              </w:rPr>
              <w:t>Managed</w:t>
            </w:r>
            <w:r>
              <w:rPr>
                <w:rFonts w:ascii="Arial" w:cs="Arial" w:eastAsia="Arial" w:hAnsi="Arial"/>
                <w:sz w:val="16"/>
                <w:szCs w:val="16"/>
                <w:color w:val="auto"/>
                <w:w w:val="85"/>
                <w:vertAlign w:val="superscript"/>
              </w:rPr>
              <w:t>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Totals</w:t>
            </w:r>
          </w:p>
        </w:tc>
      </w:tr>
      <w:tr>
        <w:trPr>
          <w:trHeight w:val="256"/>
        </w:trPr>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Australia</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18 cinemas</w:t>
            </w:r>
          </w:p>
        </w:tc>
        <w:tc>
          <w:tcPr>
            <w:tcW w:w="1460" w:type="dxa"/>
            <w:vAlign w:val="bottom"/>
          </w:tcPr>
          <w:p>
            <w:pPr>
              <w:jc w:val="center"/>
              <w:spacing w:after="0"/>
              <w:rPr>
                <w:sz w:val="20"/>
                <w:szCs w:val="20"/>
                <w:color w:val="auto"/>
              </w:rPr>
            </w:pPr>
            <w:r>
              <w:rPr>
                <w:rFonts w:ascii="Arial" w:cs="Arial" w:eastAsia="Arial" w:hAnsi="Arial"/>
                <w:sz w:val="16"/>
                <w:szCs w:val="16"/>
                <w:color w:val="auto"/>
                <w:w w:val="87"/>
              </w:rPr>
              <w:t>2 cinemas</w:t>
            </w:r>
          </w:p>
        </w:tc>
        <w:tc>
          <w:tcPr>
            <w:tcW w:w="1660" w:type="dxa"/>
            <w:vAlign w:val="bottom"/>
          </w:tcPr>
          <w:p>
            <w:pPr>
              <w:jc w:val="center"/>
              <w:spacing w:after="0"/>
              <w:rPr>
                <w:sz w:val="20"/>
                <w:szCs w:val="20"/>
                <w:color w:val="auto"/>
              </w:rPr>
            </w:pPr>
            <w:r>
              <w:rPr>
                <w:rFonts w:ascii="Arial" w:cs="Arial" w:eastAsia="Arial" w:hAnsi="Arial"/>
                <w:sz w:val="16"/>
                <w:szCs w:val="16"/>
                <w:color w:val="auto"/>
                <w:w w:val="84"/>
              </w:rPr>
              <w:t>1 cinema</w:t>
            </w:r>
            <w:r>
              <w:rPr>
                <w:rFonts w:ascii="Arial" w:cs="Arial" w:eastAsia="Arial" w:hAnsi="Arial"/>
                <w:sz w:val="16"/>
                <w:szCs w:val="16"/>
                <w:color w:val="auto"/>
                <w:w w:val="84"/>
                <w:vertAlign w:val="superscript"/>
              </w:rPr>
              <w:t>4</w:t>
            </w:r>
          </w:p>
        </w:tc>
        <w:tc>
          <w:tcPr>
            <w:tcW w:w="146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8"/>
              </w:rPr>
              <w:t>None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5"/>
              </w:rPr>
              <w:t>21 cinemas</w:t>
            </w:r>
          </w:p>
        </w:tc>
      </w:tr>
      <w:tr>
        <w:trPr>
          <w:trHeight w:val="225"/>
        </w:trPr>
        <w:tc>
          <w:tcPr>
            <w:tcW w:w="1540" w:type="dxa"/>
            <w:vAlign w:val="bottom"/>
            <w:tcBorders>
              <w:right w:val="single" w:sz="8" w:color="auto"/>
            </w:tcBorders>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2"/>
              </w:rPr>
              <w:t>138 screens</w:t>
            </w:r>
          </w:p>
        </w:tc>
        <w:tc>
          <w:tcPr>
            <w:tcW w:w="1460" w:type="dxa"/>
            <w:vAlign w:val="bottom"/>
          </w:tcPr>
          <w:p>
            <w:pPr>
              <w:jc w:val="center"/>
              <w:spacing w:after="0"/>
              <w:rPr>
                <w:sz w:val="20"/>
                <w:szCs w:val="20"/>
                <w:color w:val="auto"/>
              </w:rPr>
            </w:pPr>
            <w:r>
              <w:rPr>
                <w:rFonts w:ascii="Arial" w:cs="Arial" w:eastAsia="Arial" w:hAnsi="Arial"/>
                <w:sz w:val="16"/>
                <w:szCs w:val="16"/>
                <w:color w:val="auto"/>
                <w:w w:val="81"/>
              </w:rPr>
              <w:t>11 screens</w:t>
            </w:r>
          </w:p>
        </w:tc>
        <w:tc>
          <w:tcPr>
            <w:tcW w:w="1660" w:type="dxa"/>
            <w:vAlign w:val="bottom"/>
          </w:tcPr>
          <w:p>
            <w:pPr>
              <w:jc w:val="center"/>
              <w:spacing w:after="0"/>
              <w:rPr>
                <w:sz w:val="20"/>
                <w:szCs w:val="20"/>
                <w:color w:val="auto"/>
              </w:rPr>
            </w:pPr>
            <w:r>
              <w:rPr>
                <w:rFonts w:ascii="Arial" w:cs="Arial" w:eastAsia="Arial" w:hAnsi="Arial"/>
                <w:sz w:val="16"/>
                <w:szCs w:val="16"/>
                <w:color w:val="auto"/>
                <w:w w:val="84"/>
              </w:rPr>
              <w:t>16 screens</w:t>
            </w:r>
          </w:p>
        </w:tc>
        <w:tc>
          <w:tcPr>
            <w:tcW w:w="1460" w:type="dxa"/>
            <w:vAlign w:val="bottom"/>
            <w:tcBorders>
              <w:right w:val="single" w:sz="8" w:color="auto"/>
            </w:tcBorders>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2"/>
              </w:rPr>
              <w:t>165 screens</w:t>
            </w:r>
          </w:p>
        </w:tc>
      </w:tr>
      <w:tr>
        <w:trPr>
          <w:trHeight w:val="503"/>
        </w:trPr>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New Zealand</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7 cinemas</w:t>
            </w: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1660" w:type="dxa"/>
            <w:vAlign w:val="bottom"/>
          </w:tcPr>
          <w:p>
            <w:pPr>
              <w:jc w:val="center"/>
              <w:spacing w:after="0"/>
              <w:rPr>
                <w:sz w:val="20"/>
                <w:szCs w:val="20"/>
                <w:color w:val="auto"/>
              </w:rPr>
            </w:pPr>
            <w:r>
              <w:rPr>
                <w:rFonts w:ascii="Arial" w:cs="Arial" w:eastAsia="Arial" w:hAnsi="Arial"/>
                <w:sz w:val="16"/>
                <w:szCs w:val="16"/>
                <w:color w:val="auto"/>
                <w:w w:val="83"/>
              </w:rPr>
              <w:t>2 cinemas</w:t>
            </w:r>
            <w:r>
              <w:rPr>
                <w:rFonts w:ascii="Arial" w:cs="Arial" w:eastAsia="Arial" w:hAnsi="Arial"/>
                <w:sz w:val="16"/>
                <w:szCs w:val="16"/>
                <w:color w:val="auto"/>
                <w:w w:val="83"/>
                <w:vertAlign w:val="superscript"/>
              </w:rPr>
              <w:t>5</w:t>
            </w:r>
          </w:p>
        </w:tc>
        <w:tc>
          <w:tcPr>
            <w:tcW w:w="146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8"/>
              </w:rPr>
              <w:t>None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5"/>
              </w:rPr>
              <w:t>9 cinemas</w:t>
            </w:r>
          </w:p>
        </w:tc>
      </w:tr>
      <w:tr>
        <w:trPr>
          <w:trHeight w:val="225"/>
        </w:trPr>
        <w:tc>
          <w:tcPr>
            <w:tcW w:w="1540" w:type="dxa"/>
            <w:vAlign w:val="bottom"/>
            <w:tcBorders>
              <w:right w:val="single" w:sz="8" w:color="auto"/>
            </w:tcBorders>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4"/>
              </w:rPr>
              <w:t>40 screens</w:t>
            </w:r>
          </w:p>
        </w:tc>
        <w:tc>
          <w:tcPr>
            <w:tcW w:w="14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4"/>
              </w:rPr>
              <w:t>13 screens</w:t>
            </w:r>
          </w:p>
        </w:tc>
        <w:tc>
          <w:tcPr>
            <w:tcW w:w="1460" w:type="dxa"/>
            <w:vAlign w:val="bottom"/>
            <w:tcBorders>
              <w:right w:val="single" w:sz="8" w:color="auto"/>
            </w:tcBorders>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2"/>
              </w:rPr>
              <w:t>53 screens</w:t>
            </w:r>
          </w:p>
        </w:tc>
      </w:tr>
      <w:tr>
        <w:trPr>
          <w:trHeight w:val="470"/>
        </w:trPr>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States</w:t>
            </w: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24 cinemas</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1 cinema</w:t>
            </w:r>
          </w:p>
        </w:tc>
        <w:tc>
          <w:tcPr>
            <w:tcW w:w="166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146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9"/>
              </w:rPr>
              <w:t>1 cinema</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5"/>
              </w:rPr>
              <w:t>26 cinemas</w:t>
            </w:r>
          </w:p>
        </w:tc>
      </w:tr>
      <w:tr>
        <w:trPr>
          <w:trHeight w:val="235"/>
        </w:trPr>
        <w:tc>
          <w:tcPr>
            <w:tcW w:w="1540" w:type="dxa"/>
            <w:vAlign w:val="bottom"/>
            <w:tcBorders>
              <w:right w:val="single" w:sz="8" w:color="auto"/>
            </w:tcBorders>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2"/>
              </w:rPr>
              <w:t>242 screens</w:t>
            </w:r>
          </w:p>
        </w:tc>
        <w:tc>
          <w:tcPr>
            <w:tcW w:w="1460" w:type="dxa"/>
            <w:vAlign w:val="bottom"/>
          </w:tcPr>
          <w:p>
            <w:pPr>
              <w:jc w:val="center"/>
              <w:spacing w:after="0"/>
              <w:rPr>
                <w:sz w:val="20"/>
                <w:szCs w:val="20"/>
                <w:color w:val="auto"/>
              </w:rPr>
            </w:pPr>
            <w:r>
              <w:rPr>
                <w:rFonts w:ascii="Arial" w:cs="Arial" w:eastAsia="Arial" w:hAnsi="Arial"/>
                <w:sz w:val="16"/>
                <w:szCs w:val="16"/>
                <w:color w:val="auto"/>
                <w:w w:val="83"/>
              </w:rPr>
              <w:t>3 screens</w:t>
            </w:r>
          </w:p>
        </w:tc>
        <w:tc>
          <w:tcPr>
            <w:tcW w:w="1660" w:type="dxa"/>
            <w:vAlign w:val="bottom"/>
          </w:tcPr>
          <w:p>
            <w:pPr>
              <w:spacing w:after="0"/>
              <w:rPr>
                <w:sz w:val="20"/>
                <w:szCs w:val="20"/>
                <w:color w:val="auto"/>
              </w:rPr>
            </w:pPr>
          </w:p>
        </w:tc>
        <w:tc>
          <w:tcPr>
            <w:tcW w:w="146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83"/>
              </w:rPr>
              <w:t>4 screens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2"/>
              </w:rPr>
              <w:t>249 screens</w:t>
            </w:r>
          </w:p>
        </w:tc>
      </w:tr>
      <w:tr>
        <w:trPr>
          <w:trHeight w:val="236"/>
        </w:trPr>
        <w:tc>
          <w:tcPr>
            <w:tcW w:w="15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14"/>
        </w:trPr>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Totals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3"/>
              </w:rPr>
              <w:t>49 cinemas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2"/>
              </w:rPr>
              <w:t>3 cinemas</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5"/>
              </w:rPr>
              <w:t>3 cinemas</w:t>
            </w:r>
          </w:p>
        </w:tc>
        <w:tc>
          <w:tcPr>
            <w:tcW w:w="146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5"/>
              </w:rPr>
              <w:t>1 cinemas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5"/>
              </w:rPr>
              <w:t>56 cinemas</w:t>
            </w:r>
          </w:p>
        </w:tc>
      </w:tr>
      <w:tr>
        <w:trPr>
          <w:trHeight w:val="228"/>
        </w:trPr>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420 screens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14 screens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29 screens</w:t>
            </w:r>
          </w:p>
        </w:tc>
        <w:tc>
          <w:tcPr>
            <w:tcW w:w="146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1"/>
              </w:rPr>
              <w:t>4 screens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467 screens</w:t>
            </w:r>
          </w:p>
        </w:tc>
      </w:tr>
    </w:tbl>
    <w:p>
      <w:pPr>
        <w:spacing w:after="0" w:line="103" w:lineRule="exact"/>
        <w:rPr>
          <w:sz w:val="20"/>
          <w:szCs w:val="20"/>
          <w:color w:val="auto"/>
        </w:rPr>
      </w:pPr>
    </w:p>
    <w:p>
      <w:pPr>
        <w:ind w:left="180" w:hanging="178"/>
        <w:spacing w:after="0"/>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Cinemas owned and operated through consolidated, but not wholly owned subsidiaries.</w:t>
      </w:r>
    </w:p>
    <w:p>
      <w:pPr>
        <w:ind w:left="180" w:hanging="178"/>
        <w:spacing w:after="0" w:line="20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Cinemas owned and operated through unconsolidated subsidiaries.</w:t>
      </w:r>
    </w:p>
    <w:p>
      <w:pPr>
        <w:ind w:left="180" w:hanging="178"/>
        <w:spacing w:after="0" w:line="20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Cinemas in which we have no ownership interest, but which are operated by us under management agreements.</w:t>
      </w:r>
    </w:p>
    <w:p>
      <w:pPr>
        <w:ind w:left="180" w:hanging="178"/>
        <w:spacing w:after="0" w:line="20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33.3% unincorporated joint venture interest.</w:t>
      </w:r>
    </w:p>
    <w:p>
      <w:pPr>
        <w:ind w:left="180" w:hanging="178"/>
        <w:spacing w:after="0" w:line="23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50% unincorporated joint venture interests.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focus on the ownership and/or operation of three categories of cinemas: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first, modern stadium seating multiplex cinemas featuring conventional film product;</w:t>
      </w:r>
    </w:p>
    <w:p>
      <w:pPr>
        <w:spacing w:after="0" w:line="16" w:lineRule="exact"/>
        <w:rPr>
          <w:sz w:val="20"/>
          <w:szCs w:val="20"/>
          <w:color w:val="auto"/>
        </w:rPr>
      </w:pPr>
    </w:p>
    <w:p>
      <w:pPr>
        <w:ind w:left="340" w:hanging="46"/>
        <w:spacing w:after="0" w:line="245" w:lineRule="auto"/>
        <w:rPr>
          <w:sz w:val="20"/>
          <w:szCs w:val="20"/>
          <w:color w:val="auto"/>
        </w:rPr>
      </w:pPr>
      <w:r>
        <w:rPr>
          <w:rFonts w:ascii="Arial" w:cs="Arial" w:eastAsia="Arial" w:hAnsi="Arial"/>
          <w:sz w:val="16"/>
          <w:szCs w:val="16"/>
          <w:color w:val="auto"/>
        </w:rPr>
        <w:t>·second, specialty and art cinemas, such as our Angelika Film Centers in Manhattan, Dallas, Plano, and Fairfax, Virginia and the Rialto cinema chain in New Zealand; and</w:t>
      </w:r>
    </w:p>
    <w:p>
      <w:pPr>
        <w:ind w:left="340" w:hanging="46"/>
        <w:spacing w:after="0" w:line="250" w:lineRule="auto"/>
        <w:rPr>
          <w:sz w:val="20"/>
          <w:szCs w:val="20"/>
          <w:color w:val="auto"/>
        </w:rPr>
      </w:pPr>
      <w:r>
        <w:rPr>
          <w:rFonts w:ascii="Arial" w:cs="Arial" w:eastAsia="Arial" w:hAnsi="Arial"/>
          <w:sz w:val="16"/>
          <w:szCs w:val="16"/>
          <w:color w:val="auto"/>
        </w:rPr>
        <w:t>·third, in some markets, particularly small town markets that will not support the development of a modern stadium design multiplex cinema, conventional sloped floor cinemas.</w:t>
      </w:r>
    </w:p>
    <w:p>
      <w:pPr>
        <w:spacing w:after="0" w:line="134"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We also have various premium class offerings including luxury seating, premium audio, private lounges, café and bar service, and other amenities in certain of our cinemas and are in the process of converting certain of our exiting cinemas to provide this premium offering.</w:t>
      </w:r>
    </w:p>
    <w:p>
      <w:pPr>
        <w:spacing w:after="0" w:line="54"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Although we operate cinemas in three jurisdictions, the general nature of our operations and operating strategies does not vary materially from jurisdiction to jurisdiction. In each jurisdiction, our gross receipts are primarily from box office receipts, concession sales, and screen advertising. Our ancillary revenue is created principally from theater rentals (for example, for film festivals and special events), ancillary programming (such as concerts and sporting events), and internet advertising and ticket sales.</w:t>
      </w:r>
    </w:p>
    <w:p>
      <w:pPr>
        <w:spacing w:after="0" w:line="12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cinemas generated approximately 67% of their 2013 revenue from box office receipts. Ticket prices vary by location and we offer reduced rates for senior citizens and children.</w:t>
      </w:r>
    </w:p>
    <w:p>
      <w:pPr>
        <w:spacing w:after="0" w:line="12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Show times and features are placed in advertisements in local newspapers, internet sites, and on our various websites. In the United States, film distributors may also advertise certain feature films in various print, radio and television media, as well as on the internet and those costs are generally paid by distributors. In Australia and New Zealand, the exhibitor typically pays the costs of local newspaper film advertisements, while the distributors are responsible for the cost of any national advertising campaign.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6" w:name="page7"/>
    <w:bookmarkEnd w:id="6"/>
    <w:p>
      <w:pPr>
        <w:jc w:val="both"/>
        <w:ind w:firstLine="564"/>
        <w:spacing w:after="0" w:line="265" w:lineRule="auto"/>
        <w:rPr>
          <w:sz w:val="20"/>
          <w:szCs w:val="20"/>
          <w:color w:val="auto"/>
        </w:rPr>
      </w:pPr>
      <w:r>
        <w:rPr>
          <w:rFonts w:ascii="Arial" w:cs="Arial" w:eastAsia="Arial" w:hAnsi="Arial"/>
          <w:sz w:val="16"/>
          <w:szCs w:val="16"/>
          <w:color w:val="auto"/>
        </w:rPr>
        <w:t>Concession sales accounted for approximately 27% of our total 2013 cinema revenue. Although certain cinemas have licenses for the sale and consumption of alcoholic beverages, concession products primarily include popcorn, candy, and soda.</w:t>
      </w:r>
    </w:p>
    <w:p>
      <w:pPr>
        <w:spacing w:after="0" w:line="12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Screen advertising and other revenue contribute approximately 6% of our total 2013 cinema revenue. With the exception of certain rights that we have retained to sell to local advertisers, generally speaking, we are not in the screen advertising business and nationally recognized screen-advertising companies provide such advertising for us.</w:t>
      </w:r>
    </w:p>
    <w:p>
      <w:pPr>
        <w:spacing w:after="0" w:line="14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New Zealand, we also own a one-third interest in Rialto Distribution. Rialto Distribution, an unincorporated joint venture, is engaged in the business of distributing art film in New Zealand and Australia. The remaining 2/3 interest is owned by the founders of the company, who have been in the art film distribution business since 1993.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of Cinemas</w:t>
      </w:r>
    </w:p>
    <w:p>
      <w:pPr>
        <w:spacing w:after="0" w:line="157"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With the exception of our three unconsolidated cinemas, we manage all of our cinemas with executives located in Los Angeles, Manhattan, Melbourne, Australia, and Wellington, New Zealand. Approximately 2,311 individuals were employed (on a full time or part time basis) in our cinema operations in 2013. Our two New Zealand Rialto cinemas are owned by a joint venture in which Reading New Zealand is a 50% joint venture partner. While we are principally responsible for the booking of the cinemas, our joint venture partner, Greater Union, manages the day-to-day operations of these cinemas. In addition, we have a 33.3% interest in a 16-screen Brisbane cinema. Greater Union manages that cinema as well.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Licensing/Pricing</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Film product is available from a variety of sources ranging from the major film distributors such as Columbia, Disney, Buena Vista, DreamWorks, Fox, MGM, Paramount, Warner Bros, and Universal, to a variety of smaller independent film distributors. In Australia and New Zealand, some of those major distributors distribute through local unaffiliated distributors. The major film distributors dominate the market for mainstream conventional films. Similarly, most art and specialty films come from the art and specialty divisions of these major distributors, such as Fox’s Searchlight and Miramax. Generally speaking, film payment terms are based upon an agreed upon percentage of box office receipts which will vary from film to film as films are licensed in Australia, New Zealand and the United States on a film-by-film, theater by theater basis.</w:t>
      </w:r>
    </w:p>
    <w:p>
      <w:pPr>
        <w:spacing w:after="0" w:line="13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While in certain markets film may be allocated by the distributor among competitive cinemas, typically in the markets in which we operate, we have access to all conventional film product. In the art and specialty markets, due to the limited number of prints available, we from time to time are unable to license all of the films that we might desire to play. In summary, while in some markets we are subject to film allocation, on the whole, access to film product has not in recent periods been a major impediment to our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Competition</w:t>
      </w:r>
    </w:p>
    <w:p>
      <w:pPr>
        <w:spacing w:after="0" w:line="15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In each of the United States, Australia, and New Zealand, film patrons typically select the cinema that they are going to go to first by selecting the film they want to see, and then by selecting the cinema in which they would prefer to see it. Accordingly, 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digital “prints” available is less than the number of exhibitors seeking that film for that market, and distributors typically take the position that they are free to provide or not provide their films to particular exhibitors, at their complete and absolute discretion.</w:t>
      </w:r>
    </w:p>
    <w:p>
      <w:pPr>
        <w:spacing w:after="0" w:line="95"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in the United States, because of the dramatic consolidation of screens into the hands of a few very large and powerful exhibitors such as Regal and AMC, these mega exhibition companies are in a position to offer distributors access to many more screens in major markets than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5"/>
          <w:szCs w:val="15"/>
          <w:color w:val="auto"/>
        </w:rPr>
        <w:t>we can. Accordingly, distributors may decide to give preference to these mega 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 ownership of that multiplex cinema. However, we have suffered somewhat in these markets from competition from boutique operators, who are able to book top grossing commercial films for limited runs, thus increasing competition for customers wishing to view such top film product.</w:t>
      </w:r>
    </w:p>
    <w:p>
      <w:pPr>
        <w:spacing w:after="0" w:line="122"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Once a patron has selected the film, the choice of cinema is typically impacted by the quality of the cinema experience offered weighed against convenience and cost. For example, most cinema patrons seem to prefer a modern stadium design multiplex, to an older sloped floor cinema, and to prefer a cinema that either offers convenient access to free parking (or public transport) over a cinema that does not. However, if the film they desire to see is only available at a limited number of locations, they will typically choose the film over the quality of the cinema and/or the convenience of the cinema. Generally speaking, our cinemas are modern multiplex cinemas with good and convenient parking. As discussed further below, the availability of 3D or digital technology and/or premium class seating can also be a factor in the preference of one cinema over another.</w:t>
      </w:r>
    </w:p>
    <w:p>
      <w:pPr>
        <w:spacing w:after="0" w:line="149"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recent periods, a number of cinemas have been opened or re-opened featuring expanded food and beverage service, including the sale of alcoholic beverages and food served to the seat. We have for a number of years offered alcoholic beverages in certain of our Australia and New Zealand cinemas and our Angelika cinemas in the U.S. We are currently studying a number of our existing locations as candidates for such expanded food and beverage offerings.</w:t>
      </w:r>
    </w:p>
    <w:p>
      <w:pPr>
        <w:spacing w:after="0" w:line="135"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The film exhibition markets in the United States, Australia, and New Zealand are to a certain extent dominated by a limited number of major exhibition companies. The principal exhibitors in the United States are Regal (with 7,342 screens in 576 cinemas), AMC (with 4,950 screens in 343 cinemas), Cinemark (with 4,413 screens in 331 cinemas), and Carmike (with 2,484 screens in 246 cinemas). As of December 31, 2013, we were the 11th largest exhibitor with 1% of the box office in the United States with 249 screens in 26 cinemas.</w:t>
      </w:r>
    </w:p>
    <w:p>
      <w:pPr>
        <w:spacing w:after="0" w:line="8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principal exhibitors in Australia are Greater Union, which do business under the Event name (a subsidiary of Amalgamated Holdings Limited), Hoyts Cinemas (“Hoyts”), and Village. The major exhibitors control approximately 65% of the total cinema box office: Event 30%, Hoyts 20%, and Village 14%. Event has 478 screens nationally, Hoyts 359 screens, and Village 218 screens. By comparison, our 148 screens represent approximately 6% of the total box office.</w:t>
      </w:r>
    </w:p>
    <w:p>
      <w:pPr>
        <w:spacing w:after="0" w:line="146"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principal exhibitors in New Zealand are Event with 93 screens nationally and Hoyts with 63 screens. Reading has 40 screens (not including partnerships). The major exhibitors in New Zealand control approximately 55% of the total box office: Event 34% and Hoyts 21%. Reading has 12% of the market (Event and Reading market share figures again do not include any partnership theaters).</w:t>
      </w:r>
    </w:p>
    <w:p>
      <w:pPr>
        <w:spacing w:after="0" w:line="113"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Greater Union is the owner of Birch Carroll &amp; Coyle in Australia and purchased Sky Cinemas in New Zealand during 2010. In addition,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$524.3 million (AUS$572.1 million) at June 30, 2013. The Greater Union organization does not separately publish financial reports, but its parent, Amalgamated Holdings, had a publicly reported consolidated net worth of approximately $824.5 million (AUS$899.6 million) at June 30, 2013. Hoyts is privately held and does not publish financial reports. Hoyts is currently owned by Pacific Equity Partners.</w:t>
      </w:r>
    </w:p>
    <w:p>
      <w:pPr>
        <w:spacing w:after="0" w:line="9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Australia, the industry is somewhat vertically integrated in that Roadshow Film Distributors, a subsidiary of Village, serves as a distributor of film in Australia and New Zealand for Warner Brothers and New Line Cinema. Films produced or distributed by the majority of the local international independent producers are also distributed by Roadshow Film Distributors. Hoyts is also involved in film production and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Digital Exhibition</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After years of uncertainty as to the future of digital exhibition and the impact of this technology on cinema exhibition, it became clear in 2012 that the industry must go digital. We have now completed the conversion of all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8" w:name="page9"/>
    <w:bookmarkEnd w:id="8"/>
    <w:p>
      <w:pPr>
        <w:jc w:val="both"/>
        <w:spacing w:after="0" w:line="381" w:lineRule="auto"/>
        <w:rPr>
          <w:sz w:val="20"/>
          <w:szCs w:val="20"/>
          <w:color w:val="auto"/>
        </w:rPr>
      </w:pPr>
      <w:r>
        <w:rPr>
          <w:rFonts w:ascii="Arial" w:cs="Arial" w:eastAsia="Arial" w:hAnsi="Arial"/>
          <w:sz w:val="13"/>
          <w:szCs w:val="13"/>
          <w:color w:val="auto"/>
        </w:rPr>
        <w:t>of our U.S., Australian, and New Zealand cinema operations to digital projection. We anticipate that the cost of this conversion, over time, will be covered in substantial part by the receipt of Virtual Print Fees paid by film distributors for the use of such digital projection equipment.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In-Home Competition</w:t>
      </w:r>
    </w:p>
    <w:p>
      <w:pPr>
        <w:spacing w:after="0" w:line="168"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 “in-home” entertainment industry has experienced significant leaps in recent periods in both the quality and affordability of in-home entertainment systems and in the accessibility to entertainment programming through cable, satellite, DVD, and internet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U.S. and international cinema operations.</w:t>
      </w:r>
    </w:p>
    <w:p>
      <w:pPr>
        <w:spacing w:after="0" w:line="122" w:lineRule="exact"/>
        <w:rPr>
          <w:sz w:val="20"/>
          <w:szCs w:val="20"/>
          <w:color w:val="auto"/>
        </w:rPr>
      </w:pPr>
    </w:p>
    <w:p>
      <w:pPr>
        <w:ind w:right="160" w:firstLine="564"/>
        <w:spacing w:after="0" w:line="451" w:lineRule="auto"/>
        <w:rPr>
          <w:sz w:val="20"/>
          <w:szCs w:val="20"/>
          <w:color w:val="auto"/>
        </w:rPr>
      </w:pPr>
      <w:r>
        <w:rPr>
          <w:rFonts w:ascii="Arial" w:cs="Arial" w:eastAsia="Arial" w:hAnsi="Arial"/>
          <w:sz w:val="16"/>
          <w:szCs w:val="16"/>
          <w:color w:val="auto"/>
        </w:rPr>
        <w:t xml:space="preserve">Competitive issues are discussed in greater detail above under the caption, </w:t>
      </w:r>
      <w:r>
        <w:rPr>
          <w:rFonts w:ascii="Arial" w:cs="Arial" w:eastAsia="Arial" w:hAnsi="Arial"/>
          <w:sz w:val="16"/>
          <w:szCs w:val="16"/>
          <w:i w:val="1"/>
          <w:iCs w:val="1"/>
          <w:color w:val="auto"/>
        </w:rPr>
        <w:t>Competition</w:t>
      </w:r>
      <w:r>
        <w:rPr>
          <w:rFonts w:ascii="Arial" w:cs="Arial" w:eastAsia="Arial" w:hAnsi="Arial"/>
          <w:sz w:val="16"/>
          <w:szCs w:val="16"/>
          <w:color w:val="auto"/>
        </w:rPr>
        <w:t xml:space="preserve">, and under the caption,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Seasonality</w:t>
      </w:r>
    </w:p>
    <w:p>
      <w:pPr>
        <w:spacing w:after="0" w:line="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Employees</w:t>
      </w:r>
    </w:p>
    <w:p>
      <w:pPr>
        <w:spacing w:after="0" w:line="157"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We have 74 full time executive and administrative employees and approximately 2,311 cinema employees. Our cinema employees in Wellington, New Zealand and our projectionists in Hawaii are unionized. None of our other employees are subject to union contracts. Our one union contract with respect to our projectionists in Hawaii expired on March 31, 2012. Our union contracts with respect to our New Zealand employees have been renewed through to 2015. None of our Australian based employees is unionized. Overall, we are of the view that the existence of these contracts does not materially increase our costs of labor or our ability to compete. We believe our relations with our employees to be generally good.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Real Estate Activities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real estate activities have historically consisted principally of:</w:t>
      </w:r>
    </w:p>
    <w:p>
      <w:pPr>
        <w:spacing w:after="0" w:line="157" w:lineRule="exact"/>
        <w:rPr>
          <w:sz w:val="20"/>
          <w:szCs w:val="20"/>
          <w:color w:val="auto"/>
        </w:rPr>
      </w:pPr>
    </w:p>
    <w:p>
      <w:pPr>
        <w:ind w:left="340" w:hanging="46"/>
        <w:spacing w:after="0" w:line="252" w:lineRule="auto"/>
        <w:rPr>
          <w:sz w:val="20"/>
          <w:szCs w:val="20"/>
          <w:color w:val="auto"/>
        </w:rPr>
      </w:pPr>
      <w:r>
        <w:rPr>
          <w:rFonts w:ascii="Arial" w:cs="Arial" w:eastAsia="Arial" w:hAnsi="Arial"/>
          <w:sz w:val="16"/>
          <w:szCs w:val="16"/>
          <w:color w:val="auto"/>
        </w:rPr>
        <w:t>·the ownership of fee or long-term leasehold interests in properties used in our cinema exhibition activities or which were acquired for the development of cinemas or cinema based real estate development projects;</w:t>
      </w:r>
    </w:p>
    <w:p>
      <w:pPr>
        <w:spacing w:after="0" w:line="1" w:lineRule="exact"/>
        <w:rPr>
          <w:sz w:val="20"/>
          <w:szCs w:val="20"/>
          <w:color w:val="auto"/>
        </w:rPr>
      </w:pPr>
    </w:p>
    <w:p>
      <w:pPr>
        <w:ind w:left="360" w:hanging="77"/>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acquisition of fee interests in land for general real estate development;</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leasing to production companies of our live theaters; and</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redevelopment of our existing fee owned cinema or live theater sites to their highest and best use.</w:t>
      </w:r>
    </w:p>
    <w:p>
      <w:pPr>
        <w:spacing w:after="0" w:line="15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While we report our real estate as a separate segment, it has historically operated as an integral portion of our overall business and, again historically, has principally been in support of that business. In recent periods, however, we have acquired or developed properties which do not have any cinema or other entertainment component. As opportunities for cinema development become more limited, it is likely that our real estate activities will continue to expand beyond the development of entertainment-oriented properties.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Our real estate activities, holdings and developments are described in greater detail in Item 2 – </w:t>
      </w:r>
      <w:r>
        <w:rPr>
          <w:rFonts w:ascii="Arial" w:cs="Arial" w:eastAsia="Arial" w:hAnsi="Arial"/>
          <w:sz w:val="16"/>
          <w:szCs w:val="16"/>
          <w:i w:val="1"/>
          <w:iCs w:val="1"/>
          <w:color w:val="auto"/>
        </w:rPr>
        <w:t>Properties</w:t>
      </w:r>
      <w:r>
        <w:rPr>
          <w:rFonts w:ascii="Arial" w:cs="Arial" w:eastAsia="Arial" w:hAnsi="Arial"/>
          <w:sz w:val="16"/>
          <w:szCs w:val="16"/>
          <w:color w:val="auto"/>
        </w:rPr>
        <w: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u w:val="single" w:color="auto"/>
          <w:color w:val="auto"/>
        </w:rPr>
        <w:t>Item 1A – Risk Factors</w:t>
      </w:r>
    </w:p>
    <w:p>
      <w:pPr>
        <w:spacing w:after="0" w:line="19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Risk Factors</w:t>
      </w:r>
    </w:p>
    <w:p>
      <w:pPr>
        <w:spacing w:after="0" w:line="17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We are currently engaged principally in the cinema exhibition and real estate businesses. Since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since we are principally in the business of renting space to producers rather than in licensing or producing plays ourselves – the cinema exhibition and live theater businesses share certain risk factors and are, accordingly, discussed together below.</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and Live Theater Business Risk Factors</w:t>
      </w:r>
    </w:p>
    <w:p>
      <w:pPr>
        <w:spacing w:after="0" w:line="157"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We operate in a highly competitive environment, with many competitors who are significantly larger and may have significantly better access to funds than do we.</w:t>
      </w:r>
    </w:p>
    <w:p>
      <w:pPr>
        <w:spacing w:after="0" w:line="13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are a comparatively small cinema operator and face competition from much larger cinema exhibitors. These larger exhibitors are able to offer distributors more screens in more markets – including markets where they may be the exclusive exhibitor – than can we. In some cases, faced with such competition, we may not be able to get access to all of the films we want, which may adversely affect our revenue and profitability.</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w:t>
      </w:r>
    </w:p>
    <w:p>
      <w:pPr>
        <w:spacing w:after="0" w:line="130"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face competition from other sources of entertainment and other entertainment delivery systems.</w:t>
      </w:r>
    </w:p>
    <w:p>
      <w:pPr>
        <w:spacing w:after="0" w:line="157"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Both our cinema and live theater operations face competition from developing “in-home” sources of entertainment. These include competition from DVDs, cable and satellite television, pay per view, the internet and other sources of entertainment, and video games. The quality of in-house entertainment systems has increased while the cost of such systems has decreased in recent periods, and some consumers may prefer the security of an ”in-home”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w:t>
      </w:r>
    </w:p>
    <w:p>
      <w:pPr>
        <w:spacing w:after="0" w:line="120"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The narrowing of this so-called “window” for cinema exhibition may be problematic for the cinema exhibition industry.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while theoretically possible, to be unlikely.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10" w:name="page11"/>
    <w:bookmarkEnd w:id="10"/>
    <w:p>
      <w:pPr>
        <w:jc w:val="both"/>
        <w:ind w:firstLine="564"/>
        <w:spacing w:after="0" w:line="341" w:lineRule="auto"/>
        <w:rPr>
          <w:sz w:val="20"/>
          <w:szCs w:val="20"/>
          <w:color w:val="auto"/>
        </w:rPr>
      </w:pPr>
      <w:r>
        <w:rPr>
          <w:rFonts w:ascii="Arial" w:cs="Arial" w:eastAsia="Arial" w:hAnsi="Arial"/>
          <w:sz w:val="13"/>
          <w:szCs w:val="13"/>
          <w:color w:val="auto"/>
        </w:rPr>
        <w:t>However, there is the risk that, over time, distributors may move towards simultaneous release of motion picture product in multiple channels of distribution. This would adversely affect the competitive advantage enjoyed by cinemas over “in-home” forms of entertainment, as it may be that both the cinema market and the “in-home” market will have simultaneous access to motion picture product.</w:t>
      </w:r>
    </w:p>
    <w:p>
      <w:pPr>
        <w:spacing w:after="0" w:line="79"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also face competition from various other forms of “beyond-the-home” entertainment, including sporting events, concerts, restaurants, casinos, video game arcades, and nightclubs. Our cinemas also face competition from live theaters and vice versa.</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Competition from less expensive “in-home” entertainment alternatives may be intensified as a result of the current economic recession.</w:t>
      </w:r>
    </w:p>
    <w:p>
      <w:pPr>
        <w:spacing w:after="0" w:line="191"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Our cinema operations depend upon access to film that is attractive to our patrons and our live theater operations depend upon the continued attractiveness of our theaters to producers.</w:t>
      </w:r>
    </w:p>
    <w:p>
      <w:pPr>
        <w:spacing w:after="0" w:line="122"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Our ability to generate revenue and profits is largely dependent on factors outside of our control, specifically, the continued ability of motion picture and live theater producers to produce films and plays that are attractive to audiences, the amount of money spent by film distributors to promote their motion pictures, and the willingness of these producers to license their films on terms that are financial viable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w:t>
      </w:r>
    </w:p>
    <w:p>
      <w:pPr>
        <w:spacing w:after="0" w:line="14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We rely on film distributors to supply the films shown in our theatres. In the U.S., the film distribution business is highly concentrated, with six major film distributors accounting for approximately 83.0% of U.S. box office revenues. Numerous antitrust cases and consent decrees resulting from these antitrust cases affect the distribution of films. The consent decrees bind certain major film distributors to license films to exhibitors on a theatre-by-theatre and film-by-film basis. Consequently, we cannot guarantee a supply of films by entering into long-term arrangements with major distributors. We are therefore required to negotiate licenses for each film and for each theatre. A deterioration in our relationship with any of the [six] major film distributors could adversely affect our ability to obtain commercially successful films and to negotiate favorable licensing terms for such films, both of which could adversely affect our business and operating results.</w:t>
      </w:r>
    </w:p>
    <w:p>
      <w:pPr>
        <w:spacing w:after="0" w:line="95"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Adverse economic conditions could materially affect our business by reducing discretionary income and by limiting or reducing sources of film and live theater funding.</w:t>
      </w:r>
    </w:p>
    <w:p>
      <w:pPr>
        <w:spacing w:after="0" w:line="122"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which are very risky due to the absence of any ability to recoup investment in secondary markets like DVD or cable.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Our screen advertising revenue may decline.</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counterproductive by giving consumers a disincentive to choose going to the movies over “in-home” entertainment alternatives.</w:t>
      </w:r>
    </w:p>
    <w:p>
      <w:pPr>
        <w:spacing w:after="0" w:line="113"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We face uncertainty as to the timing and direction of technological innovations in the cinema exhibition business and as to our access to those technologies.</w:t>
      </w:r>
    </w:p>
    <w:p>
      <w:pPr>
        <w:spacing w:after="0" w:line="13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have converted all of our cinema auditoriums to digital projection. However, no assurances can be given that other technological advances will not require us to make further material investments in our cinemas or face loss of business. For example, only a limited number of our cinemas are equipped with the 48 frame per second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1" w:name="page12"/>
    <w:bookmarkEnd w:id="11"/>
    <w:p>
      <w:pPr>
        <w:jc w:val="both"/>
        <w:spacing w:after="0" w:line="265" w:lineRule="auto"/>
        <w:rPr>
          <w:sz w:val="20"/>
          <w:szCs w:val="20"/>
          <w:color w:val="auto"/>
        </w:rPr>
      </w:pPr>
      <w:r>
        <w:rPr>
          <w:rFonts w:ascii="Arial" w:cs="Arial" w:eastAsia="Arial" w:hAnsi="Arial"/>
          <w:sz w:val="16"/>
          <w:szCs w:val="16"/>
          <w:color w:val="auto"/>
        </w:rPr>
        <w:t>equipment that is required to show such films as The Hobbit. Also, equipment is currently being developed for holographic or laser projection. The future of these technologies in the cinema exhibition industry is uncertain.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face competition from new competitors offering food and beverage as an integral part of their cinema offerings.</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 number of new entrants, such as Alamo Draft House, offering an expanded food and beverage menu (including the sale of alcoholic beverages) have emerged in recent periods. In addition, some competitors are converting existing cinemas to provide such expanded menu offerings. The existence of such cinemas may alter traditional cinema selection practices of moviegoers, as they seek out cinemas with such expanded offerings as a preferred alternative to traditional cinemas.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Development and Ownership Business Risks</w:t>
      </w:r>
    </w:p>
    <w:p>
      <w:pPr>
        <w:spacing w:after="0" w:line="157"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We operate in a highly competitive environment, in which we must compete against companies with much greater financial and human resources than we have.</w:t>
      </w:r>
    </w:p>
    <w:p>
      <w:pPr>
        <w:spacing w:after="0" w:line="13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the Real Estate Industry Generally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Our financial performance will be affected by risks associated with the real estate industry generally.</w:t>
      </w:r>
    </w:p>
    <w:p>
      <w:pPr>
        <w:spacing w:after="0" w:line="168" w:lineRule="exact"/>
        <w:rPr>
          <w:sz w:val="20"/>
          <w:szCs w:val="20"/>
          <w:color w:val="auto"/>
        </w:rPr>
      </w:pPr>
    </w:p>
    <w:p>
      <w:pPr>
        <w:jc w:val="both"/>
        <w:ind w:firstLine="564"/>
        <w:spacing w:after="0" w:line="312" w:lineRule="auto"/>
        <w:rPr>
          <w:sz w:val="20"/>
          <w:szCs w:val="20"/>
          <w:color w:val="auto"/>
        </w:rPr>
      </w:pPr>
      <w:r>
        <w:rPr>
          <w:rFonts w:ascii="Arial" w:cs="Arial" w:eastAsia="Arial" w:hAnsi="Arial"/>
          <w:sz w:val="13"/>
          <w:szCs w:val="13"/>
          <w:color w:val="auto"/>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 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 based lending. In addition, periods of economic slowdown or recession, rising interest rates or declining demand for real estate, or the public perception that any of these events may occur, could result in declining rents or increased lease defaults.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may incur costs complying with the Americans with Disabilities Act and similar laws.</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Illiquidity of real estate investments could impede our ability to respond to adverse changes in the performance of our properties.</w:t>
      </w:r>
    </w:p>
    <w:p>
      <w:pPr>
        <w:spacing w:after="0" w:line="168"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2" w:name="page13"/>
    <w:bookmarkEnd w:id="12"/>
    <w:p>
      <w:pPr>
        <w:ind w:left="560"/>
        <w:spacing w:after="0"/>
        <w:rPr>
          <w:sz w:val="20"/>
          <w:szCs w:val="20"/>
          <w:color w:val="auto"/>
        </w:rPr>
      </w:pPr>
      <w:r>
        <w:rPr>
          <w:rFonts w:ascii="Arial" w:cs="Arial" w:eastAsia="Arial" w:hAnsi="Arial"/>
          <w:sz w:val="16"/>
          <w:szCs w:val="16"/>
          <w:i w:val="1"/>
          <w:iCs w:val="1"/>
          <w:color w:val="auto"/>
        </w:rPr>
        <w:t>Real estate development involves a variety of risks.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Real estate development includes a variety of risks, including the following:</w:t>
      </w:r>
    </w:p>
    <w:p>
      <w:pPr>
        <w:spacing w:after="0" w:line="168" w:lineRule="exact"/>
        <w:rPr>
          <w:sz w:val="20"/>
          <w:szCs w:val="20"/>
          <w:color w:val="auto"/>
        </w:rPr>
      </w:pPr>
    </w:p>
    <w:p>
      <w:pPr>
        <w:jc w:val="both"/>
        <w:ind w:left="340" w:hanging="4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identification and acquisition of suitable development properties</w:t>
      </w: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3"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procurement of necessary land use entitlements for the project</w:t>
      </w:r>
      <w:r>
        <w:rPr>
          <w:rFonts w:ascii="Arial" w:cs="Arial" w:eastAsia="Arial" w:hAnsi="Arial"/>
          <w:sz w:val="16"/>
          <w:szCs w:val="16"/>
          <w:color w:val="auto"/>
        </w:rPr>
        <w:t>.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1" w:lineRule="exact"/>
        <w:rPr>
          <w:sz w:val="20"/>
          <w:szCs w:val="20"/>
          <w:color w:val="auto"/>
        </w:rPr>
      </w:pPr>
    </w:p>
    <w:p>
      <w:pPr>
        <w:jc w:val="both"/>
        <w:ind w:left="340" w:hanging="46"/>
        <w:spacing w:after="0" w:line="301"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The construction of the project on time and on budget</w:t>
      </w:r>
      <w:r>
        <w:rPr>
          <w:rFonts w:ascii="Arial" w:cs="Arial" w:eastAsia="Arial" w:hAnsi="Arial"/>
          <w:sz w:val="13"/>
          <w:szCs w:val="13"/>
          <w:color w:val="auto"/>
        </w:rPr>
        <w:t>. Construction risks include the availability and cost of finance; the availability and costs of material and labor; the costs of dealing with unknown site conditions (including addressing pollution or environmental wastes deposited upon the property by prior owners); inclement weather conditions; and the ever-present potential for labor related disruptions.</w:t>
      </w:r>
    </w:p>
    <w:p>
      <w:pPr>
        <w:spacing w:after="0" w:line="1" w:lineRule="exact"/>
        <w:rPr>
          <w:sz w:val="20"/>
          <w:szCs w:val="20"/>
          <w:color w:val="auto"/>
        </w:rPr>
      </w:pPr>
    </w:p>
    <w:p>
      <w:pPr>
        <w:jc w:val="both"/>
        <w:ind w:left="340" w:hanging="4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leasing or sell-out of the project</w:t>
      </w:r>
      <w:r>
        <w:rPr>
          <w:rFonts w:ascii="Arial" w:cs="Arial" w:eastAsia="Arial" w:hAnsi="Arial"/>
          <w:sz w:val="15"/>
          <w:szCs w:val="15"/>
          <w:color w:val="auto"/>
        </w:rPr>
        <w:t>. Ultimately, there are risks involved in the leasing of a rental property or the sale of a condominium or built-for-sale property. For our entertainment themed retail centers (“ETRCs”),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2" w:lineRule="exact"/>
        <w:rPr>
          <w:sz w:val="20"/>
          <w:szCs w:val="20"/>
          <w:color w:val="auto"/>
        </w:rPr>
      </w:pPr>
    </w:p>
    <w:p>
      <w:pPr>
        <w:jc w:val="both"/>
        <w:ind w:left="340" w:hanging="46"/>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refinancing of completed properties</w:t>
      </w:r>
      <w:r>
        <w:rPr>
          <w:rFonts w:ascii="Arial" w:cs="Arial" w:eastAsia="Arial" w:hAnsi="Arial"/>
          <w:sz w:val="15"/>
          <w:szCs w:val="15"/>
          <w:color w:val="auto"/>
        </w:rPr>
        <w:t>.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ownership of properties involves risk.</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 number of our assets are in geologically active areas, presenting risk of earthquake and land movement.</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have cinemas in California and New Zealand, areas which present a greater risk of earthquake and/or land movement than other locations. New Zealand has in recent periods had several major earthquakes damaging our facilities in Christchurch and Wellington. The ability to insure for such casualties is limited and may become more difficult and/or more expensive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International Business Risks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international operations are subject to a variety of risks, including the following: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3" w:name="page14"/>
    <w:bookmarkEnd w:id="13"/>
    <w:p>
      <w:pPr>
        <w:jc w:val="both"/>
        <w:ind w:firstLine="564"/>
        <w:spacing w:after="0" w:line="311" w:lineRule="auto"/>
        <w:rPr>
          <w:sz w:val="20"/>
          <w:szCs w:val="20"/>
          <w:color w:val="auto"/>
        </w:rPr>
      </w:pPr>
      <w:r>
        <w:rPr>
          <w:rFonts w:ascii="Arial" w:cs="Arial" w:eastAsia="Arial" w:hAnsi="Arial"/>
          <w:sz w:val="13"/>
          <w:szCs w:val="13"/>
          <w:i w:val="1"/>
          <w:iCs w:val="1"/>
          <w:color w:val="auto"/>
        </w:rPr>
        <w:t>Risk of currency fluctuations</w:t>
      </w:r>
      <w:r>
        <w:rPr>
          <w:rFonts w:ascii="Arial" w:cs="Arial" w:eastAsia="Arial" w:hAnsi="Arial"/>
          <w:sz w:val="13"/>
          <w:szCs w:val="13"/>
          <w:color w:val="auto"/>
        </w:rPr>
        <w:t>. While we report our earnings and assets in US dollars, substantial portions of our revenue and of our</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are 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this debt could be adversely impacted by declines in the relative value of the Australian and New Zealand dollar compared to the US dollar. $7.5 million (AUS$8.4 million) of our Australian cash and $7.2 million (NZ$8.7 million) of our New Zealand cash is denominated in local currencies and subject to the risk of currency exchange rate fluctuations. Also, our use of local borrowings to mitigate the business risk of currency fluctuations has reduced our flexibility to move cash between jurisdictions. Set forth below is a chart of the exchange ratios between these three currencies over the past twenty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191135</wp:posOffset>
            </wp:positionV>
            <wp:extent cx="4370705" cy="3088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70705" cy="308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40" w:hanging="47"/>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of adverse government regulation</w:t>
      </w:r>
      <w:r>
        <w:rPr>
          <w:rFonts w:ascii="Arial" w:cs="Arial" w:eastAsia="Arial" w:hAnsi="Arial"/>
          <w:sz w:val="16"/>
          <w:szCs w:val="16"/>
          <w:color w:val="auto"/>
        </w:rPr>
        <w:t>. At the present time,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w:t>
      </w:r>
    </w:p>
    <w:p>
      <w:pPr>
        <w:ind w:left="340" w:hanging="47"/>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of adverse labor relations</w:t>
      </w:r>
      <w:r>
        <w:rPr>
          <w:rFonts w:ascii="Arial" w:cs="Arial" w:eastAsia="Arial" w:hAnsi="Arial"/>
          <w:sz w:val="16"/>
          <w:szCs w:val="16"/>
          <w:color w:val="auto"/>
        </w:rPr>
        <w:t>. Our labor relations and costs of labor (including future government requirements with respect to pension liabilities, disability insurance and health coverage, and vacations and leave).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Certain Discontinued Operations</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6"/>
          <w:szCs w:val="16"/>
          <w:color w:val="auto"/>
        </w:rPr>
        <w:t>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Results, Financial Structure and Borrowing Risk</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From time to time, we may have negative working capital.</w:t>
      </w:r>
    </w:p>
    <w:p>
      <w:pPr>
        <w:spacing w:after="0" w:line="8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recent years, as we have invested our cash in new acquisitions and the development of our existing properties, we have from time to time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have substantial short to medium term debt.</w:t>
      </w:r>
    </w:p>
    <w:p>
      <w:pPr>
        <w:spacing w:after="0" w:line="86"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Generally speaking, we have historically financed our operations through relatively short-term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spacing w:after="0" w:line="9"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February 2007, we issued $50.0 million in 20-year Trust Preferred Securities (“TPS”), and utilized the net proceeds principally to retire short-term bank debt in New Zealand and Australia. The interest rate on our TPS was only fixed for five years. Additionally, we used US dollar denominated obligations to retire debt denominated in New Zealand and Australian dollars which has increased our exposure to currency risk. In the first quarter of 2009, we repurchased $22.9 million of our TPS at a 50% discount.</w:t>
      </w:r>
    </w:p>
    <w:p>
      <w:pPr>
        <w:spacing w:after="0" w:line="3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At the present time, corporate borrowers both domestically and internationally are facing greater than normal constraints on liquidity. No assurances can be given that we will be able to refinance these debts as they become due.</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have substantial lease liabilities.</w:t>
      </w:r>
    </w:p>
    <w:p>
      <w:pPr>
        <w:spacing w:after="0" w:line="86"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 Unlike property rental leases, our newly added digital equipment leases do not have cost of living or other lease adjustment features.</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Our stock is thinly traded.</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stock is thinly traded, with an average daily volume in 2013 of only approximately 33,000 shares. This can result in significant volatility, as demand by buyers and sellers can easily get out of balance.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Ownership and Management Structure, Corporate Governance, and Change of Control Risks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interests of our controlling stockholder may conflict with your interests.</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Mr. James J. Cotter beneficially owns 70.4% of our outstanding Class B Stock. Our Class A Stock is non-voting, while our Class B Stock represents all of the voting power of our Company. As a result, as of December 31, 2013, Mr. Cotter controlled 70.4% of the voting power of all of our outstanding common stock. For as long as Mr. Cotter continues to own shares of common stock representing more than 50% of the voting power of our common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5" w:name="page16"/>
    <w:bookmarkEnd w:id="15"/>
    <w:p>
      <w:pPr>
        <w:jc w:val="both"/>
        <w:spacing w:after="0" w:line="248" w:lineRule="auto"/>
        <w:rPr>
          <w:sz w:val="20"/>
          <w:szCs w:val="20"/>
          <w:color w:val="auto"/>
        </w:rPr>
      </w:pPr>
      <w:r>
        <w:rPr>
          <w:rFonts w:ascii="Arial" w:cs="Arial" w:eastAsia="Arial" w:hAnsi="Arial"/>
          <w:sz w:val="16"/>
          <w:szCs w:val="16"/>
          <w:color w:val="auto"/>
        </w:rPr>
        <w:t xml:space="preserve">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25 – </w:t>
      </w:r>
      <w:r>
        <w:rPr>
          <w:rFonts w:ascii="Arial" w:cs="Arial" w:eastAsia="Arial" w:hAnsi="Arial"/>
          <w:sz w:val="16"/>
          <w:szCs w:val="16"/>
          <w:i w:val="1"/>
          <w:iCs w:val="1"/>
          <w:color w:val="auto"/>
        </w:rPr>
        <w:t>Related Parties and Transactions</w:t>
      </w:r>
      <w:r>
        <w:rPr>
          <w:rFonts w:ascii="Arial" w:cs="Arial" w:eastAsia="Arial" w:hAnsi="Arial"/>
          <w:sz w:val="16"/>
          <w:szCs w:val="16"/>
          <w:color w:val="auto"/>
        </w:rPr>
        <w:t xml:space="preserve"> to our 2013 Consolidated Financial Statements).</w:t>
      </w:r>
    </w:p>
    <w:p>
      <w:pPr>
        <w:spacing w:after="0" w:line="137" w:lineRule="exact"/>
        <w:rPr>
          <w:sz w:val="20"/>
          <w:szCs w:val="20"/>
          <w:color w:val="auto"/>
        </w:rPr>
      </w:pPr>
    </w:p>
    <w:p>
      <w:pPr>
        <w:ind w:left="560"/>
        <w:spacing w:after="0" w:line="265" w:lineRule="auto"/>
        <w:rPr>
          <w:sz w:val="20"/>
          <w:szCs w:val="20"/>
          <w:color w:val="auto"/>
        </w:rPr>
      </w:pPr>
      <w:r>
        <w:rPr>
          <w:rFonts w:ascii="Arial" w:cs="Arial" w:eastAsia="Arial" w:hAnsi="Arial"/>
          <w:sz w:val="16"/>
          <w:szCs w:val="16"/>
          <w:i w:val="1"/>
          <w:iCs w:val="1"/>
          <w:color w:val="auto"/>
        </w:rPr>
        <w:t>Since we are a Controlled Company, our Directors have determined to take advantage of certain exemptions provide by the NASDAQ from the corporate governance rules adopted by that Exchange.</w:t>
      </w:r>
    </w:p>
    <w:p>
      <w:pPr>
        <w:spacing w:after="0" w:line="134"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Generally speaking, the NASDAQ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NASDAQ requirements, a majority of our board of directors is nevertheless currently comprised of independent directors, and our compensation committee is nevertheless currently comprised entirely of independent directors.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We depend on key personnel for our current and future performance.</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6" w:name="page17"/>
    <w:bookmarkEnd w:id="16"/>
    <w:p>
      <w:pPr>
        <w:jc w:val="center"/>
        <w:ind w:right="-80"/>
        <w:spacing w:after="0"/>
        <w:rPr>
          <w:sz w:val="20"/>
          <w:szCs w:val="20"/>
          <w:color w:val="auto"/>
        </w:rPr>
      </w:pPr>
      <w:r>
        <w:rPr>
          <w:rFonts w:ascii="Arial" w:cs="Arial" w:eastAsia="Arial" w:hAnsi="Arial"/>
          <w:sz w:val="13"/>
          <w:szCs w:val="13"/>
          <w:b w:val="1"/>
          <w:bCs w:val="1"/>
          <w:u w:val="single" w:color="auto"/>
          <w:color w:val="auto"/>
        </w:rPr>
        <w:t>Item 1B - Unresolved Staff Comments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123"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u w:val="single" w:color="auto"/>
          <w:color w:val="auto"/>
        </w:rPr>
        <w:t>Item 2 – Properties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and Administrative Offices</w:t>
      </w:r>
    </w:p>
    <w:p>
      <w:pPr>
        <w:spacing w:after="0" w:line="172"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We lease approximately 11,700 square feet of office space in Los Angeles, California to serve as our executive headquarters. We own an 8,100 square foot office building in Melbourne, Australia, approximately 5,200 square feet of which serves as the headquarters for our Australian and New Zealand operations (the remainder being leased to an unrelated third party). We maintain our accounting personnel and certain IT and operational personnel in approximately 5,900 square foot of offices located in our Wellington Courtenay Central shopping center. We occupy approximately 3,500 square feet at our Village East leasehold property for administrative purposes. We also own a residential condominium unit in Los Angeles, used for offsite corporate meetings and residential space by our Chairman and Chief Executive Officer.</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Entertainment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Entertainment Use Leasehold Interests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December 31, 2013, we lease approximately 1.8 million square feet of completed cinema space in the United States, Australia,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New Zealand as follows:</w:t>
      </w:r>
    </w:p>
    <w:p>
      <w:pPr>
        <w:spacing w:after="0" w:line="364"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680" w:type="dxa"/>
            <w:vAlign w:val="bottom"/>
          </w:tcPr>
          <w:p>
            <w:pPr>
              <w:jc w:val="center"/>
              <w:ind w:left="202"/>
              <w:spacing w:after="0"/>
              <w:rPr>
                <w:sz w:val="20"/>
                <w:szCs w:val="20"/>
                <w:color w:val="auto"/>
              </w:rPr>
            </w:pPr>
            <w:r>
              <w:rPr>
                <w:rFonts w:ascii="Arial" w:cs="Arial" w:eastAsia="Arial" w:hAnsi="Arial"/>
                <w:sz w:val="16"/>
                <w:szCs w:val="16"/>
                <w:b w:val="1"/>
                <w:bCs w:val="1"/>
                <w:color w:val="auto"/>
                <w:w w:val="88"/>
              </w:rPr>
              <w:t>Approximate Range of Remaining</w:t>
            </w:r>
          </w:p>
        </w:tc>
      </w:tr>
      <w:tr>
        <w:trPr>
          <w:trHeight w:val="208"/>
        </w:trPr>
        <w:tc>
          <w:tcPr>
            <w:tcW w:w="2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b w:val="1"/>
                <w:bCs w:val="1"/>
                <w:color w:val="auto"/>
                <w:w w:val="86"/>
              </w:rPr>
              <w:t>Aggregate Square Footage</w:t>
            </w:r>
          </w:p>
        </w:tc>
        <w:tc>
          <w:tcPr>
            <w:tcW w:w="268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87"/>
              </w:rPr>
              <w:t>Lease Terms (including renewals)</w:t>
            </w:r>
          </w:p>
        </w:tc>
      </w:tr>
      <w:tr>
        <w:trPr>
          <w:trHeight w:val="175"/>
        </w:trPr>
        <w:tc>
          <w:tcPr>
            <w:tcW w:w="2340" w:type="dxa"/>
            <w:vAlign w:val="bottom"/>
          </w:tcPr>
          <w:p>
            <w:pPr>
              <w:jc w:val="center"/>
              <w:spacing w:after="0" w:line="175" w:lineRule="exact"/>
              <w:rPr>
                <w:sz w:val="20"/>
                <w:szCs w:val="20"/>
                <w:color w:val="auto"/>
              </w:rPr>
            </w:pPr>
            <w:r>
              <w:rPr>
                <w:rFonts w:ascii="Arial" w:cs="Arial" w:eastAsia="Arial" w:hAnsi="Arial"/>
                <w:sz w:val="16"/>
                <w:szCs w:val="16"/>
                <w:color w:val="auto"/>
                <w:w w:val="87"/>
              </w:rPr>
              <w:t>United States</w:t>
            </w:r>
          </w:p>
        </w:tc>
        <w:tc>
          <w:tcPr>
            <w:tcW w:w="2820" w:type="dxa"/>
            <w:vAlign w:val="bottom"/>
          </w:tcPr>
          <w:p>
            <w:pPr>
              <w:jc w:val="center"/>
              <w:ind w:left="282"/>
              <w:spacing w:after="0" w:line="175" w:lineRule="exact"/>
              <w:rPr>
                <w:sz w:val="20"/>
                <w:szCs w:val="20"/>
                <w:color w:val="auto"/>
              </w:rPr>
            </w:pPr>
            <w:r>
              <w:rPr>
                <w:rFonts w:ascii="Arial" w:cs="Arial" w:eastAsia="Arial" w:hAnsi="Arial"/>
                <w:sz w:val="16"/>
                <w:szCs w:val="16"/>
                <w:color w:val="auto"/>
                <w:w w:val="86"/>
              </w:rPr>
              <w:t>942,000</w:t>
            </w:r>
          </w:p>
        </w:tc>
        <w:tc>
          <w:tcPr>
            <w:tcW w:w="2680" w:type="dxa"/>
            <w:vAlign w:val="bottom"/>
          </w:tcPr>
          <w:p>
            <w:pPr>
              <w:jc w:val="center"/>
              <w:ind w:left="202"/>
              <w:spacing w:after="0" w:line="175" w:lineRule="exact"/>
              <w:rPr>
                <w:sz w:val="20"/>
                <w:szCs w:val="20"/>
                <w:color w:val="auto"/>
              </w:rPr>
            </w:pPr>
            <w:r>
              <w:rPr>
                <w:rFonts w:ascii="Arial" w:cs="Arial" w:eastAsia="Arial" w:hAnsi="Arial"/>
                <w:sz w:val="16"/>
                <w:szCs w:val="16"/>
                <w:color w:val="auto"/>
                <w:w w:val="89"/>
              </w:rPr>
              <w:t>2014 – 2049</w:t>
            </w:r>
          </w:p>
        </w:tc>
      </w:tr>
      <w:tr>
        <w:trPr>
          <w:trHeight w:val="188"/>
        </w:trPr>
        <w:tc>
          <w:tcPr>
            <w:tcW w:w="2340" w:type="dxa"/>
            <w:vAlign w:val="bottom"/>
          </w:tcPr>
          <w:p>
            <w:pPr>
              <w:jc w:val="center"/>
              <w:ind w:left="2"/>
              <w:spacing w:after="0"/>
              <w:rPr>
                <w:sz w:val="20"/>
                <w:szCs w:val="20"/>
                <w:color w:val="auto"/>
              </w:rPr>
            </w:pPr>
            <w:r>
              <w:rPr>
                <w:rFonts w:ascii="Arial" w:cs="Arial" w:eastAsia="Arial" w:hAnsi="Arial"/>
                <w:sz w:val="16"/>
                <w:szCs w:val="16"/>
                <w:color w:val="auto"/>
                <w:w w:val="93"/>
              </w:rPr>
              <w:t>Australia</w:t>
            </w:r>
          </w:p>
        </w:tc>
        <w:tc>
          <w:tcPr>
            <w:tcW w:w="2820" w:type="dxa"/>
            <w:vAlign w:val="bottom"/>
          </w:tcPr>
          <w:p>
            <w:pPr>
              <w:jc w:val="center"/>
              <w:ind w:left="282"/>
              <w:spacing w:after="0"/>
              <w:rPr>
                <w:sz w:val="20"/>
                <w:szCs w:val="20"/>
                <w:color w:val="auto"/>
              </w:rPr>
            </w:pPr>
            <w:r>
              <w:rPr>
                <w:rFonts w:ascii="Arial" w:cs="Arial" w:eastAsia="Arial" w:hAnsi="Arial"/>
                <w:sz w:val="16"/>
                <w:szCs w:val="16"/>
                <w:color w:val="auto"/>
                <w:w w:val="86"/>
              </w:rPr>
              <w:t>724,000</w:t>
            </w:r>
          </w:p>
        </w:tc>
        <w:tc>
          <w:tcPr>
            <w:tcW w:w="2680" w:type="dxa"/>
            <w:vAlign w:val="bottom"/>
          </w:tcPr>
          <w:p>
            <w:pPr>
              <w:jc w:val="center"/>
              <w:ind w:left="202"/>
              <w:spacing w:after="0"/>
              <w:rPr>
                <w:sz w:val="20"/>
                <w:szCs w:val="20"/>
                <w:color w:val="auto"/>
              </w:rPr>
            </w:pPr>
            <w:r>
              <w:rPr>
                <w:rFonts w:ascii="Arial" w:cs="Arial" w:eastAsia="Arial" w:hAnsi="Arial"/>
                <w:sz w:val="16"/>
                <w:szCs w:val="16"/>
                <w:color w:val="auto"/>
                <w:w w:val="89"/>
              </w:rPr>
              <w:t>2017 – 2049</w:t>
            </w:r>
          </w:p>
        </w:tc>
      </w:tr>
      <w:tr>
        <w:trPr>
          <w:trHeight w:val="200"/>
        </w:trPr>
        <w:tc>
          <w:tcPr>
            <w:tcW w:w="2340" w:type="dxa"/>
            <w:vAlign w:val="bottom"/>
          </w:tcPr>
          <w:p>
            <w:pPr>
              <w:jc w:val="center"/>
              <w:spacing w:after="0"/>
              <w:rPr>
                <w:sz w:val="20"/>
                <w:szCs w:val="20"/>
                <w:color w:val="auto"/>
              </w:rPr>
            </w:pPr>
            <w:r>
              <w:rPr>
                <w:rFonts w:ascii="Arial" w:cs="Arial" w:eastAsia="Arial" w:hAnsi="Arial"/>
                <w:sz w:val="16"/>
                <w:szCs w:val="16"/>
                <w:color w:val="auto"/>
                <w:w w:val="89"/>
              </w:rPr>
              <w:t>New Zealand</w:t>
            </w:r>
          </w:p>
        </w:tc>
        <w:tc>
          <w:tcPr>
            <w:tcW w:w="2820" w:type="dxa"/>
            <w:vAlign w:val="bottom"/>
          </w:tcPr>
          <w:p>
            <w:pPr>
              <w:jc w:val="center"/>
              <w:ind w:left="282"/>
              <w:spacing w:after="0"/>
              <w:rPr>
                <w:sz w:val="20"/>
                <w:szCs w:val="20"/>
                <w:color w:val="auto"/>
              </w:rPr>
            </w:pPr>
            <w:r>
              <w:rPr>
                <w:rFonts w:ascii="Arial" w:cs="Arial" w:eastAsia="Arial" w:hAnsi="Arial"/>
                <w:sz w:val="16"/>
                <w:szCs w:val="16"/>
                <w:color w:val="auto"/>
                <w:w w:val="86"/>
              </w:rPr>
              <w:t>150,000</w:t>
            </w:r>
          </w:p>
        </w:tc>
        <w:tc>
          <w:tcPr>
            <w:tcW w:w="2680" w:type="dxa"/>
            <w:vAlign w:val="bottom"/>
          </w:tcPr>
          <w:p>
            <w:pPr>
              <w:jc w:val="center"/>
              <w:ind w:left="202"/>
              <w:spacing w:after="0"/>
              <w:rPr>
                <w:sz w:val="20"/>
                <w:szCs w:val="20"/>
                <w:color w:val="auto"/>
              </w:rPr>
            </w:pPr>
            <w:r>
              <w:rPr>
                <w:rFonts w:ascii="Arial" w:cs="Arial" w:eastAsia="Arial" w:hAnsi="Arial"/>
                <w:sz w:val="16"/>
                <w:szCs w:val="16"/>
                <w:color w:val="auto"/>
                <w:w w:val="89"/>
              </w:rPr>
              <w:t>2024 – 2034</w:t>
            </w:r>
          </w:p>
        </w:tc>
      </w:tr>
    </w:tbl>
    <w:p>
      <w:pPr>
        <w:spacing w:after="0" w:line="176"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On December 31, 2013, we settled a management fee claim that we had with the owner of the lease interest in the Plano, Texas cinema that we had managed since 2003. As part of the settlement, we acquired that entity. Also, in September 2013, we took back a cinema at one of our fee properties in New Zealand and commenced to refurbish and upgrade that facility with the intent of operating the cinema ourselves. The cinema was already leased to a competitor at the time we acquired it in May 2007. We expect to begin operations of this cinema in the third quarter of 2014. During the first quarter 2014, we entered into a lease for a new Angelika style cinema currently being developed by Edens in the Union Market area of Washington D.C.</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Fee Interests</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Australia, as of December 31, 2013, we own approximately 3.2 million square feet of land at nine locations. Most of this land is located in the greater metropolitan areas of Brisbane, Melbourne, Perth, and Sydney, including the 50.6-acre Burwood site. Of these fee interests, approximately 138,000 square feet are currently improved with cinemas. These figures include the 3.3-acre Moonee Ponds property which is under a contract of sale with completion due on April 16, 2015.</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New Zealand, as of December 31, 2013, we own approximately 3.4 million square feet of land at seven locations. This includes the Courtney Central ETRC in Wellington, the 70.3 acre Manukau site, and the fee interests underlying three cinemas in New Zealand, which properties include approximately 21,000 square feet of ancillary retail space.</w:t>
      </w:r>
    </w:p>
    <w:p>
      <w:pPr>
        <w:spacing w:after="0" w:line="13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the United States, as of December 31, 2013, we own approximately 134,000 square feet of improved real estate comprised of four live theater buildings, which include approximately 58,000 square feet of leasable space, and the fee interest in our Cinemas 1, 2 &amp; 3 in Manhattan (held through a limited liability company in which we have a 75% managing member interest).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Live Theaters (“Liberty Theaters”)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Included among our real estate holdings are four “Off Broadway” style live theaters, operated through our Liberty Theaters subsidiary. We license theater auditoriums to the producers of “Off Broadway” theatrical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6"/>
          <w:szCs w:val="16"/>
          <w:color w:val="auto"/>
        </w:rPr>
        <w:t>productions and provide various box office and concession services. The terms of our licenses are, naturally, principally dependent upon the commercial success of our tenants. STOMP has been playing at our Orpheum Theatre in excess of 17 years. While we attempt to choose productions that we believe will be successful, we have no control over the production itself. At the current time, we have three single auditorium theaters in Manhattan:</w:t>
      </w:r>
    </w:p>
    <w:p>
      <w:pPr>
        <w:spacing w:after="0" w:line="135" w:lineRule="exact"/>
        <w:rPr>
          <w:sz w:val="20"/>
          <w:szCs w:val="20"/>
          <w:color w:val="auto"/>
        </w:rPr>
      </w:pPr>
    </w:p>
    <w:p>
      <w:pPr>
        <w:ind w:left="500" w:hanging="217"/>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Minetta Lane (399 seats);</w:t>
      </w:r>
    </w:p>
    <w:p>
      <w:pPr>
        <w:spacing w:after="0" w:line="15" w:lineRule="exact"/>
        <w:rPr>
          <w:rFonts w:ascii="Arial" w:cs="Arial" w:eastAsia="Arial" w:hAnsi="Arial"/>
          <w:sz w:val="16"/>
          <w:szCs w:val="16"/>
          <w:color w:val="auto"/>
        </w:rPr>
      </w:pPr>
    </w:p>
    <w:p>
      <w:pPr>
        <w:ind w:left="500" w:hanging="217"/>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Orpheum (347 seats); and</w:t>
      </w:r>
    </w:p>
    <w:p>
      <w:pPr>
        <w:spacing w:after="0" w:line="3" w:lineRule="exact"/>
        <w:rPr>
          <w:rFonts w:ascii="Arial" w:cs="Arial" w:eastAsia="Arial" w:hAnsi="Arial"/>
          <w:sz w:val="16"/>
          <w:szCs w:val="16"/>
          <w:color w:val="auto"/>
        </w:rPr>
      </w:pPr>
    </w:p>
    <w:p>
      <w:pPr>
        <w:ind w:left="500" w:hanging="217"/>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Union Square (499 seats).</w:t>
      </w:r>
    </w:p>
    <w:p>
      <w:pPr>
        <w:spacing w:after="0" w:line="157" w:lineRule="exact"/>
        <w:rPr>
          <w:sz w:val="20"/>
          <w:szCs w:val="20"/>
          <w:color w:val="auto"/>
        </w:rPr>
      </w:pPr>
    </w:p>
    <w:p>
      <w:pPr>
        <w:jc w:val="both"/>
        <w:ind w:firstLine="518"/>
        <w:spacing w:after="0" w:line="381" w:lineRule="auto"/>
        <w:rPr>
          <w:sz w:val="20"/>
          <w:szCs w:val="20"/>
          <w:color w:val="auto"/>
        </w:rPr>
      </w:pPr>
      <w:r>
        <w:rPr>
          <w:rFonts w:ascii="Arial" w:cs="Arial" w:eastAsia="Arial" w:hAnsi="Arial"/>
          <w:sz w:val="13"/>
          <w:szCs w:val="13"/>
          <w:color w:val="auto"/>
        </w:rPr>
        <w:t>We also own a four-auditorium theater complex, the Royal George in Chicago (main stage 452 seats, cabaret 199 seats, great room 100 seats and gallery 60 seats). Two of the properties, the Union Square and the Royal George, have ancillary retail and office space.</w:t>
      </w:r>
    </w:p>
    <w:p>
      <w:pPr>
        <w:spacing w:after="0" w:line="54" w:lineRule="exact"/>
        <w:rPr>
          <w:sz w:val="20"/>
          <w:szCs w:val="20"/>
          <w:color w:val="auto"/>
        </w:rPr>
      </w:pPr>
    </w:p>
    <w:p>
      <w:pPr>
        <w:jc w:val="both"/>
        <w:ind w:firstLine="517"/>
        <w:spacing w:after="0" w:line="341" w:lineRule="auto"/>
        <w:rPr>
          <w:sz w:val="20"/>
          <w:szCs w:val="20"/>
          <w:color w:val="auto"/>
        </w:rPr>
      </w:pPr>
      <w:r>
        <w:rPr>
          <w:rFonts w:ascii="Arial" w:cs="Arial" w:eastAsia="Arial" w:hAnsi="Arial"/>
          <w:sz w:val="13"/>
          <w:szCs w:val="13"/>
          <w:color w:val="auto"/>
        </w:rPr>
        <w:t>Liberty Theaters is primarily in the business of renting theater space. However, we may from time to time participate as an investor in a play, which can help facilitate the production of the play at one of our facilities, and do from time to time rent space on a basis that allows us to share in a production’s revenue or profits. Revenue, expense, and profits are reported as a part of the real estate segment of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Joint Venture Cinema Interests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also hold real estate through several unincorporated joint ventures, two 75% owned subsidiaries, and one majority-owned subsidiary, as described below:</w:t>
      </w:r>
    </w:p>
    <w:p>
      <w:pPr>
        <w:spacing w:after="0" w:line="122" w:lineRule="exact"/>
        <w:rPr>
          <w:sz w:val="20"/>
          <w:szCs w:val="20"/>
          <w:color w:val="auto"/>
        </w:rPr>
      </w:pPr>
    </w:p>
    <w:p>
      <w:pPr>
        <w:jc w:val="both"/>
        <w:ind w:left="340" w:hanging="46"/>
        <w:spacing w:after="0" w:line="252" w:lineRule="auto"/>
        <w:rPr>
          <w:sz w:val="20"/>
          <w:szCs w:val="20"/>
          <w:color w:val="auto"/>
        </w:rPr>
      </w:pPr>
      <w:r>
        <w:rPr>
          <w:rFonts w:ascii="Arial" w:cs="Arial" w:eastAsia="Arial" w:hAnsi="Arial"/>
          <w:sz w:val="16"/>
          <w:szCs w:val="16"/>
          <w:color w:val="auto"/>
        </w:rPr>
        <w:t>·in Australia, we own a 75% interest in a subsidiary company that leases two cinemas with eleven screens in two Australian country towns, and a 33% unincorporated joint venture interest in a 16-screen leasehold cinema in a suburb of Brisbane.</w:t>
      </w:r>
    </w:p>
    <w:p>
      <w:pPr>
        <w:spacing w:after="0" w:line="1"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·in New Zealand, we own a 50% unincorporated joint venture interest in two cinemas with 13 screens in the New Zealand cities of Auckland and Dunedin.</w:t>
      </w:r>
    </w:p>
    <w:p>
      <w:pPr>
        <w:jc w:val="both"/>
        <w:ind w:left="340" w:hanging="46"/>
        <w:spacing w:after="0" w:line="247" w:lineRule="auto"/>
        <w:rPr>
          <w:sz w:val="20"/>
          <w:szCs w:val="20"/>
          <w:color w:val="auto"/>
        </w:rPr>
      </w:pPr>
      <w:r>
        <w:rPr>
          <w:rFonts w:ascii="Arial" w:cs="Arial" w:eastAsia="Arial" w:hAnsi="Arial"/>
          <w:sz w:val="16"/>
          <w:szCs w:val="16"/>
          <w:color w:val="auto"/>
        </w:rPr>
        <w:t>·In the United States, we own a 75% managing member interest in the limited liability company that owns our Cinemas 1, 2 &amp; 3 property and a 50% managing member interest in Shadow View Land &amp; Farming, LLC which owns an approximately 202-acre property in Riverside County, California which, while zoned residential and approved for 816 single family lots.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auto"/>
        </w:rPr>
        <w:t>Income Operating Property</w:t>
      </w:r>
    </w:p>
    <w:p>
      <w:pPr>
        <w:spacing w:after="0" w:line="161" w:lineRule="exact"/>
        <w:rPr>
          <w:sz w:val="20"/>
          <w:szCs w:val="20"/>
          <w:color w:val="auto"/>
        </w:rPr>
      </w:pPr>
    </w:p>
    <w:p>
      <w:pPr>
        <w:ind w:right="20" w:firstLine="564"/>
        <w:spacing w:after="0" w:line="265" w:lineRule="auto"/>
        <w:rPr>
          <w:sz w:val="20"/>
          <w:szCs w:val="20"/>
          <w:color w:val="auto"/>
        </w:rPr>
      </w:pPr>
      <w:r>
        <w:rPr>
          <w:rFonts w:ascii="Arial" w:cs="Arial" w:eastAsia="Arial" w:hAnsi="Arial"/>
          <w:sz w:val="16"/>
          <w:szCs w:val="16"/>
          <w:color w:val="auto"/>
        </w:rPr>
        <w:t>As of December 31, 2013, we own fee interests in approximately 1.0 million square feet of income producing properties (including certain properties principally occupied by our cinemas).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060" w:type="dxa"/>
            <w:vAlign w:val="bottom"/>
            <w:tcBorders>
              <w:top w:val="single" w:sz="8" w:color="auto"/>
              <w:left w:val="single" w:sz="8" w:color="auto"/>
              <w:right w:val="single" w:sz="8" w:color="auto"/>
            </w:tcBorders>
          </w:tcPr>
          <w:p>
            <w:pPr>
              <w:spacing w:after="0"/>
              <w:rPr>
                <w:sz w:val="21"/>
                <w:szCs w:val="21"/>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Square Feet of</w:t>
            </w:r>
          </w:p>
        </w:tc>
        <w:tc>
          <w:tcPr>
            <w:tcW w:w="1780" w:type="dxa"/>
            <w:vAlign w:val="bottom"/>
            <w:tcBorders>
              <w:top w:val="single" w:sz="8" w:color="auto"/>
              <w:right w:val="single" w:sz="8" w:color="auto"/>
            </w:tcBorders>
          </w:tcPr>
          <w:p>
            <w:pPr>
              <w:spacing w:after="0"/>
              <w:rPr>
                <w:sz w:val="21"/>
                <w:szCs w:val="21"/>
                <w:color w:val="auto"/>
              </w:rPr>
            </w:pPr>
          </w:p>
        </w:tc>
        <w:tc>
          <w:tcPr>
            <w:tcW w:w="1880" w:type="dxa"/>
            <w:vAlign w:val="bottom"/>
            <w:tcBorders>
              <w:top w:val="single" w:sz="8" w:color="auto"/>
              <w:right w:val="single" w:sz="8" w:color="auto"/>
            </w:tcBorders>
          </w:tcPr>
          <w:p>
            <w:pPr>
              <w:spacing w:after="0"/>
              <w:rPr>
                <w:sz w:val="21"/>
                <w:szCs w:val="21"/>
                <w:color w:val="auto"/>
              </w:rPr>
            </w:pPr>
          </w:p>
        </w:tc>
      </w:tr>
      <w:tr>
        <w:trPr>
          <w:trHeight w:val="235"/>
        </w:trPr>
        <w:tc>
          <w:tcPr>
            <w:tcW w:w="306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Improvements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Gross Book Value</w:t>
            </w:r>
          </w:p>
        </w:tc>
      </w:tr>
      <w:tr>
        <w:trPr>
          <w:trHeight w:val="251"/>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Property</w:t>
            </w:r>
            <w:r>
              <w:rPr>
                <w:rFonts w:ascii="Arial" w:cs="Arial" w:eastAsia="Arial" w:hAnsi="Arial"/>
                <w:sz w:val="16"/>
                <w:szCs w:val="16"/>
                <w:b w:val="1"/>
                <w:bCs w:val="1"/>
                <w:color w:val="auto"/>
                <w:w w:val="86"/>
                <w:vertAlign w:val="superscript"/>
              </w:rPr>
              <w:t>6</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(rental/entertainment)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Leased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U.S. Dollars)</w:t>
            </w:r>
          </w:p>
        </w:tc>
      </w:tr>
      <w:tr>
        <w:trPr>
          <w:trHeight w:val="457"/>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Auburn</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60000 / 57000</w:t>
            </w:r>
          </w:p>
        </w:tc>
        <w:tc>
          <w:tcPr>
            <w:tcW w:w="17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100 Parramatta Road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4"/>
              </w:rPr>
              <w:t>Plus a 871-space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$30,646,000</w:t>
            </w: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Auburn, NSW, Australia</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36"/>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Belmont</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Knutsford Avenue and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15000 / 45000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$13,840,000</w:t>
            </w: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Fulham Street</w:t>
            </w:r>
          </w:p>
        </w:tc>
        <w:tc>
          <w:tcPr>
            <w:tcW w:w="24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Belmont, WA, Australia</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48"/>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Cinemas 1, 2 &amp; 3</w:t>
            </w:r>
            <w:r>
              <w:rPr>
                <w:rFonts w:ascii="Arial" w:cs="Arial" w:eastAsia="Arial" w:hAnsi="Arial"/>
                <w:sz w:val="16"/>
                <w:szCs w:val="16"/>
                <w:color w:val="auto"/>
                <w:w w:val="88"/>
                <w:vertAlign w:val="superscript"/>
              </w:rPr>
              <w:t>7</w:t>
            </w:r>
          </w:p>
        </w:tc>
        <w:tc>
          <w:tcPr>
            <w:tcW w:w="24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r>
      <w:tr>
        <w:trPr>
          <w:trHeight w:val="22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1003 Third Avenue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21000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$23,837,000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Manhattan, NY, USA</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449"/>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Courtenay Central</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33000 / 76000</w:t>
            </w:r>
          </w:p>
        </w:tc>
        <w:tc>
          <w:tcPr>
            <w:tcW w:w="17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100 Courtenay Place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4"/>
              </w:rPr>
              <w:t>Plus a 1,086-space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$26,216,000</w:t>
            </w: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Wellington, New Zealand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28"/>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bl>
    <w:p>
      <w:pPr>
        <w:spacing w:after="0" w:line="172" w:lineRule="exact"/>
        <w:rPr>
          <w:sz w:val="20"/>
          <w:szCs w:val="20"/>
          <w:color w:val="auto"/>
        </w:rPr>
      </w:pPr>
    </w:p>
    <w:p>
      <w:pPr>
        <w:jc w:val="both"/>
        <w:ind w:right="20" w:firstLine="2"/>
        <w:spacing w:after="0" w:line="218" w:lineRule="auto"/>
        <w:tabs>
          <w:tab w:leader="none" w:pos="183" w:val="left"/>
        </w:tabs>
        <w:numPr>
          <w:ilvl w:val="0"/>
          <w:numId w:val="7"/>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and the percentage leased is the amount of such rental square footage currently leased to third parties. A number of our real estate holdings include entertainment components rented to one or more of our subsidiaries. The rental area to such subsidiaries is noted under the entertainment square footage. The gross book value refers to the gross carrying cost of the land and buildings of the property. Book value and rental information are as of December 31, 2013.</w:t>
      </w:r>
    </w:p>
    <w:p>
      <w:pPr>
        <w:spacing w:after="0" w:line="126" w:lineRule="exact"/>
        <w:rPr>
          <w:rFonts w:ascii="Arial" w:cs="Arial" w:eastAsia="Arial" w:hAnsi="Arial"/>
          <w:sz w:val="13"/>
          <w:szCs w:val="13"/>
          <w:color w:val="auto"/>
        </w:rPr>
      </w:pPr>
    </w:p>
    <w:p>
      <w:pPr>
        <w:ind w:right="20" w:firstLine="2"/>
        <w:spacing w:after="0" w:line="230" w:lineRule="auto"/>
        <w:tabs>
          <w:tab w:leader="none" w:pos="187" w:val="left"/>
        </w:tabs>
        <w:numPr>
          <w:ilvl w:val="0"/>
          <w:numId w:val="7"/>
        </w:numPr>
        <w:rPr>
          <w:rFonts w:ascii="Arial" w:cs="Arial" w:eastAsia="Arial" w:hAnsi="Arial"/>
          <w:sz w:val="13"/>
          <w:szCs w:val="13"/>
          <w:color w:val="auto"/>
        </w:rPr>
      </w:pPr>
      <w:r>
        <w:rPr>
          <w:rFonts w:ascii="Arial" w:cs="Arial" w:eastAsia="Arial" w:hAnsi="Arial"/>
          <w:sz w:val="13"/>
          <w:szCs w:val="13"/>
          <w:color w:val="auto"/>
        </w:rPr>
        <w:t>This property is owned by a limited liability company in which we hold a 75% managing interest. The remaining 25% is owned by Sutton Hill Investments, LLC, a company owned in equal parts by our Chairman and Chief Executive Officer, Mr. James J. Cotter, and a third party.</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200"/>
          </w:cols>
          <w:pgMar w:left="1360" w:top="123" w:right="1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46"/>
        </w:trPr>
        <w:tc>
          <w:tcPr>
            <w:tcW w:w="3060" w:type="dxa"/>
            <w:vAlign w:val="bottom"/>
            <w:tcBorders>
              <w:top w:val="single" w:sz="8" w:color="auto"/>
              <w:left w:val="single" w:sz="8" w:color="auto"/>
              <w:right w:val="single" w:sz="8" w:color="auto"/>
            </w:tcBorders>
          </w:tcPr>
          <w:p>
            <w:pPr>
              <w:spacing w:after="0"/>
              <w:rPr>
                <w:sz w:val="21"/>
                <w:szCs w:val="21"/>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Square Feet of</w:t>
            </w:r>
          </w:p>
        </w:tc>
        <w:tc>
          <w:tcPr>
            <w:tcW w:w="1780" w:type="dxa"/>
            <w:vAlign w:val="bottom"/>
            <w:tcBorders>
              <w:top w:val="single" w:sz="8" w:color="auto"/>
              <w:right w:val="single" w:sz="8" w:color="auto"/>
            </w:tcBorders>
          </w:tcPr>
          <w:p>
            <w:pPr>
              <w:spacing w:after="0"/>
              <w:rPr>
                <w:sz w:val="21"/>
                <w:szCs w:val="21"/>
                <w:color w:val="auto"/>
              </w:rPr>
            </w:pPr>
          </w:p>
        </w:tc>
        <w:tc>
          <w:tcPr>
            <w:tcW w:w="1880" w:type="dxa"/>
            <w:vAlign w:val="bottom"/>
            <w:tcBorders>
              <w:top w:val="single" w:sz="8" w:color="auto"/>
              <w:right w:val="single" w:sz="8" w:color="auto"/>
            </w:tcBorders>
          </w:tcPr>
          <w:p>
            <w:pPr>
              <w:spacing w:after="0"/>
              <w:rPr>
                <w:sz w:val="21"/>
                <w:szCs w:val="21"/>
                <w:color w:val="auto"/>
              </w:rPr>
            </w:pPr>
          </w:p>
        </w:tc>
      </w:tr>
      <w:tr>
        <w:trPr>
          <w:trHeight w:val="235"/>
        </w:trPr>
        <w:tc>
          <w:tcPr>
            <w:tcW w:w="306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Improvements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Gross Book Value</w:t>
            </w:r>
          </w:p>
        </w:tc>
      </w:tr>
      <w:tr>
        <w:trPr>
          <w:trHeight w:val="228"/>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Property</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(rental/entertainment)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Leased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U.S. Dollars)</w:t>
            </w:r>
          </w:p>
        </w:tc>
      </w:tr>
      <w:tr>
        <w:trPr>
          <w:trHeight w:val="222"/>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Invercargill Cinema</w:t>
            </w:r>
          </w:p>
        </w:tc>
        <w:tc>
          <w:tcPr>
            <w:tcW w:w="24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29 Dee Street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9000 / 24000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$3,231,000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Invercargill, New Zealand</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Lake Taupo Motel</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138-140 Lake Terrace Road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9000 / 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Short-term rentals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$2,304,000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Taupo, New Zealand</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Maitland Cinema</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Ken Tubman Drive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22000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$2,124,000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Maitland, NSW, Australia</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Minetta Lane Theatre</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18-22 Minetta Lane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9000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$8,679,000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Manhattan, NY, USA</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Napier Cinema</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154 Station Street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12000 / 18000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$3,530,000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Napier, New Zealand</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Newmarket</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400 Newmarket Road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93000 / 0</w:t>
            </w:r>
          </w:p>
        </w:tc>
        <w:tc>
          <w:tcPr>
            <w:tcW w:w="17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Newmarket, Queensland,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4"/>
              </w:rPr>
              <w:t>Plus a 436-space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$38,951,000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Australia</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Orpheum Theatre</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58"/>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126 2</w:t>
            </w:r>
            <w:r>
              <w:rPr>
                <w:rFonts w:ascii="Arial" w:cs="Arial" w:eastAsia="Arial" w:hAnsi="Arial"/>
                <w:sz w:val="7"/>
                <w:szCs w:val="7"/>
                <w:color w:val="auto"/>
                <w:w w:val="86"/>
              </w:rPr>
              <w:t>nd</w:t>
            </w:r>
            <w:r>
              <w:rPr>
                <w:rFonts w:ascii="Arial" w:cs="Arial" w:eastAsia="Arial" w:hAnsi="Arial"/>
                <w:sz w:val="16"/>
                <w:szCs w:val="16"/>
                <w:color w:val="auto"/>
                <w:w w:val="86"/>
              </w:rPr>
              <w:t xml:space="preserve"> Street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1000 / 5000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$3,639,000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Manhattan, NY, USA</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Royal George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37000 / 23000</w:t>
            </w: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1633 N. Halsted Street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3"/>
              </w:rPr>
              <w:t>Plus a 55-space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$3,485,000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Chicago, IL, USA</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parking structure</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Rotorua Cinema</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35"/>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1281 Eruera Street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19000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$3,030,000</w:t>
            </w:r>
          </w:p>
        </w:tc>
      </w:tr>
      <w:tr>
        <w:trPr>
          <w:trHeight w:val="235"/>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Rotorua, New Zealand</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Union Square Theatre</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58"/>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 E. 17</w:t>
            </w:r>
            <w:r>
              <w:rPr>
                <w:rFonts w:ascii="Arial" w:cs="Arial" w:eastAsia="Arial" w:hAnsi="Arial"/>
                <w:sz w:val="7"/>
                <w:szCs w:val="7"/>
                <w:color w:val="auto"/>
                <w:w w:val="87"/>
              </w:rPr>
              <w:t>th</w:t>
            </w:r>
            <w:r>
              <w:rPr>
                <w:rFonts w:ascii="Arial" w:cs="Arial" w:eastAsia="Arial" w:hAnsi="Arial"/>
                <w:sz w:val="16"/>
                <w:szCs w:val="16"/>
                <w:color w:val="auto"/>
                <w:w w:val="87"/>
              </w:rPr>
              <w:t xml:space="preserve"> Street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21000 / 17000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$8,923,000</w:t>
            </w:r>
          </w:p>
        </w:tc>
      </w:tr>
      <w:tr>
        <w:trPr>
          <w:trHeight w:val="228"/>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Manhattan, NY, USA</w:t>
            </w:r>
          </w:p>
        </w:tc>
        <w:tc>
          <w:tcPr>
            <w:tcW w:w="24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798"/>
        </w:trPr>
        <w:tc>
          <w:tcPr>
            <w:tcW w:w="3060" w:type="dxa"/>
            <w:vAlign w:val="bottom"/>
          </w:tcPr>
          <w:p>
            <w:pPr>
              <w:spacing w:after="0"/>
              <w:rPr>
                <w:sz w:val="24"/>
                <w:szCs w:val="24"/>
                <w:color w:val="auto"/>
              </w:rPr>
            </w:pPr>
          </w:p>
        </w:tc>
        <w:tc>
          <w:tcPr>
            <w:tcW w:w="2480" w:type="dxa"/>
            <w:vAlign w:val="bottom"/>
          </w:tcPr>
          <w:p>
            <w:pPr>
              <w:jc w:val="right"/>
              <w:ind w:right="782"/>
              <w:spacing w:after="0"/>
              <w:rPr>
                <w:sz w:val="20"/>
                <w:szCs w:val="20"/>
                <w:color w:val="auto"/>
              </w:rPr>
            </w:pPr>
            <w:r>
              <w:rPr>
                <w:rFonts w:ascii="Arial" w:cs="Arial" w:eastAsia="Arial" w:hAnsi="Arial"/>
                <w:sz w:val="16"/>
                <w:szCs w:val="16"/>
                <w:color w:val="auto"/>
              </w:rPr>
              <w:t>21</w:t>
            </w: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30"/>
        </w:trPr>
        <w:tc>
          <w:tcPr>
            <w:tcW w:w="3060" w:type="dxa"/>
            <w:vAlign w:val="bottom"/>
            <w:tcBorders>
              <w:bottom w:val="single" w:sz="8" w:color="9A9A9A"/>
            </w:tcBorders>
          </w:tcPr>
          <w:p>
            <w:pPr>
              <w:spacing w:after="0"/>
              <w:rPr>
                <w:sz w:val="11"/>
                <w:szCs w:val="11"/>
                <w:color w:val="auto"/>
              </w:rPr>
            </w:pPr>
          </w:p>
        </w:tc>
        <w:tc>
          <w:tcPr>
            <w:tcW w:w="2480" w:type="dxa"/>
            <w:vAlign w:val="bottom"/>
            <w:tcBorders>
              <w:bottom w:val="single" w:sz="8" w:color="9A9A9A"/>
            </w:tcBorders>
          </w:tcPr>
          <w:p>
            <w:pPr>
              <w:spacing w:after="0"/>
              <w:rPr>
                <w:sz w:val="11"/>
                <w:szCs w:val="11"/>
                <w:color w:val="auto"/>
              </w:rPr>
            </w:pPr>
          </w:p>
        </w:tc>
        <w:tc>
          <w:tcPr>
            <w:tcW w:w="178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0"/>
        </w:trPr>
        <w:tc>
          <w:tcPr>
            <w:tcW w:w="306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284" w:right="1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Long-Term Leasehold Operating Property</w:t>
      </w:r>
    </w:p>
    <w:p>
      <w:pPr>
        <w:spacing w:after="0" w:line="161" w:lineRule="exact"/>
        <w:rPr>
          <w:sz w:val="20"/>
          <w:szCs w:val="20"/>
          <w:color w:val="auto"/>
        </w:rPr>
      </w:pPr>
    </w:p>
    <w:p>
      <w:pPr>
        <w:ind w:right="20" w:firstLine="564"/>
        <w:spacing w:after="0" w:line="265" w:lineRule="auto"/>
        <w:rPr>
          <w:sz w:val="20"/>
          <w:szCs w:val="20"/>
          <w:color w:val="auto"/>
        </w:rPr>
      </w:pPr>
      <w:r>
        <w:rPr>
          <w:rFonts w:ascii="Arial" w:cs="Arial" w:eastAsia="Arial" w:hAnsi="Arial"/>
          <w:sz w:val="16"/>
          <w:szCs w:val="16"/>
          <w:color w:val="auto"/>
        </w:rPr>
        <w:t>In addition, in certain cases we have long-term leases that we view more akin to real estate investments than cinema leases. As of December 31, 2013, we had approximately 155,000 square foot of space subject to such long-term leases.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060" w:type="dxa"/>
            <w:vAlign w:val="bottom"/>
            <w:tcBorders>
              <w:top w:val="single" w:sz="8" w:color="auto"/>
              <w:left w:val="single" w:sz="8" w:color="auto"/>
              <w:right w:val="single" w:sz="8" w:color="auto"/>
            </w:tcBorders>
          </w:tcPr>
          <w:p>
            <w:pPr>
              <w:spacing w:after="0"/>
              <w:rPr>
                <w:sz w:val="21"/>
                <w:szCs w:val="21"/>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Square Feet of</w:t>
            </w:r>
          </w:p>
        </w:tc>
        <w:tc>
          <w:tcPr>
            <w:tcW w:w="1780" w:type="dxa"/>
            <w:vAlign w:val="bottom"/>
            <w:tcBorders>
              <w:top w:val="single" w:sz="8" w:color="auto"/>
              <w:right w:val="single" w:sz="8" w:color="auto"/>
            </w:tcBorders>
          </w:tcPr>
          <w:p>
            <w:pPr>
              <w:spacing w:after="0"/>
              <w:rPr>
                <w:sz w:val="21"/>
                <w:szCs w:val="21"/>
                <w:color w:val="auto"/>
              </w:rPr>
            </w:pPr>
          </w:p>
        </w:tc>
        <w:tc>
          <w:tcPr>
            <w:tcW w:w="1880" w:type="dxa"/>
            <w:vAlign w:val="bottom"/>
            <w:tcBorders>
              <w:top w:val="single" w:sz="8" w:color="auto"/>
              <w:right w:val="single" w:sz="8" w:color="auto"/>
            </w:tcBorders>
          </w:tcPr>
          <w:p>
            <w:pPr>
              <w:spacing w:after="0"/>
              <w:rPr>
                <w:sz w:val="21"/>
                <w:szCs w:val="21"/>
                <w:color w:val="auto"/>
              </w:rPr>
            </w:pPr>
          </w:p>
        </w:tc>
      </w:tr>
      <w:tr>
        <w:trPr>
          <w:trHeight w:val="235"/>
        </w:trPr>
        <w:tc>
          <w:tcPr>
            <w:tcW w:w="306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Improvements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Gross Book Value</w:t>
            </w:r>
          </w:p>
        </w:tc>
      </w:tr>
      <w:tr>
        <w:trPr>
          <w:trHeight w:val="251"/>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Property</w:t>
            </w:r>
            <w:r>
              <w:rPr>
                <w:rFonts w:ascii="Arial" w:cs="Arial" w:eastAsia="Arial" w:hAnsi="Arial"/>
                <w:sz w:val="16"/>
                <w:szCs w:val="16"/>
                <w:b w:val="1"/>
                <w:bCs w:val="1"/>
                <w:color w:val="auto"/>
                <w:w w:val="86"/>
                <w:vertAlign w:val="superscript"/>
              </w:rPr>
              <w:t>8</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(rental/entertainment)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Leased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U.S. Dollars)</w:t>
            </w:r>
          </w:p>
        </w:tc>
      </w:tr>
      <w:tr>
        <w:trPr>
          <w:trHeight w:val="457"/>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Manville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53000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$2,321,000</w:t>
            </w:r>
          </w:p>
        </w:tc>
      </w:tr>
      <w:tr>
        <w:trPr>
          <w:trHeight w:val="236"/>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449"/>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Tower</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 / 16000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$1,017,000</w:t>
            </w:r>
          </w:p>
        </w:tc>
      </w:tr>
      <w:tr>
        <w:trPr>
          <w:trHeight w:val="236"/>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482"/>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Village East</w:t>
            </w:r>
            <w:r>
              <w:rPr>
                <w:rFonts w:ascii="Arial" w:cs="Arial" w:eastAsia="Arial" w:hAnsi="Arial"/>
                <w:sz w:val="16"/>
                <w:szCs w:val="16"/>
                <w:color w:val="auto"/>
                <w:w w:val="88"/>
                <w:vertAlign w:val="superscript"/>
              </w:rPr>
              <w:t>9</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4000 / 38000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$8,454,000</w:t>
            </w:r>
          </w:p>
        </w:tc>
      </w:tr>
      <w:tr>
        <w:trPr>
          <w:trHeight w:val="226"/>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449"/>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Waurn Ponds</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6000 / 38000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$3,961,000</w:t>
            </w:r>
          </w:p>
        </w:tc>
      </w:tr>
      <w:tr>
        <w:trPr>
          <w:trHeight w:val="228"/>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bl>
    <w:p>
      <w:pPr>
        <w:spacing w:after="0" w:line="125" w:lineRule="exact"/>
        <w:rPr>
          <w:sz w:val="20"/>
          <w:szCs w:val="20"/>
          <w:color w:val="auto"/>
        </w:rPr>
      </w:pPr>
    </w:p>
    <w:p>
      <w:pPr>
        <w:jc w:val="both"/>
        <w:ind w:right="20" w:firstLine="2"/>
        <w:spacing w:after="0" w:line="218" w:lineRule="auto"/>
        <w:tabs>
          <w:tab w:leader="none" w:pos="18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Rental square footage refers to the amount of area available to be rented to third parties, and the percentage leased is the amount of rental square footage currently leased to third parties. A number of our long-term leasehold operating property include entertainment components rented to one or more of our subsidiaries. The rental area to such subsidiaries is noted under the entertainment square footage. Book value includes the entire investment in the leased property, including any cinema fit-out. Rental and book value information is as of December 31, 2013.</w:t>
      </w:r>
    </w:p>
    <w:p>
      <w:pPr>
        <w:spacing w:after="0" w:line="126" w:lineRule="exact"/>
        <w:rPr>
          <w:rFonts w:ascii="Arial" w:cs="Arial" w:eastAsia="Arial" w:hAnsi="Arial"/>
          <w:sz w:val="13"/>
          <w:szCs w:val="13"/>
          <w:color w:val="auto"/>
        </w:rPr>
      </w:pPr>
    </w:p>
    <w:p>
      <w:pPr>
        <w:jc w:val="both"/>
        <w:ind w:right="20" w:firstLine="2"/>
        <w:spacing w:after="0" w:line="274" w:lineRule="auto"/>
        <w:tabs>
          <w:tab w:leader="none" w:pos="189"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Note 25 - Related Parties and Transactions to our 2013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200"/>
          </w:cols>
          <w:pgMar w:left="1360" w:top="123" w:right="1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Investment and Development Property</w:t>
      </w:r>
    </w:p>
    <w:p>
      <w:pPr>
        <w:spacing w:after="0" w:line="161" w:lineRule="exact"/>
        <w:rPr>
          <w:sz w:val="20"/>
          <w:szCs w:val="20"/>
          <w:color w:val="auto"/>
        </w:rPr>
      </w:pPr>
    </w:p>
    <w:p>
      <w:pPr>
        <w:ind w:right="20" w:firstLine="564"/>
        <w:spacing w:after="0" w:line="265" w:lineRule="auto"/>
        <w:rPr>
          <w:sz w:val="20"/>
          <w:szCs w:val="20"/>
          <w:color w:val="auto"/>
        </w:rPr>
      </w:pPr>
      <w:r>
        <w:rPr>
          <w:rFonts w:ascii="Arial" w:cs="Arial" w:eastAsia="Arial" w:hAnsi="Arial"/>
          <w:sz w:val="16"/>
          <w:szCs w:val="16"/>
          <w:color w:val="auto"/>
        </w:rPr>
        <w:t>We are engaged in several investment and development projects relative to our currently undeveloped parcels of land. In addition, we anticipate that redevelopment of one or more of our existing developed properties may also occur.</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220" w:type="dxa"/>
            <w:vAlign w:val="bottom"/>
            <w:tcBorders>
              <w:top w:val="single" w:sz="8" w:color="auto"/>
              <w:left w:val="single" w:sz="8" w:color="auto"/>
              <w:right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Gross Book Value</w:t>
            </w:r>
          </w:p>
        </w:tc>
        <w:tc>
          <w:tcPr>
            <w:tcW w:w="14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Property</w:t>
            </w:r>
            <w:r>
              <w:rPr>
                <w:rFonts w:ascii="Arial" w:cs="Arial" w:eastAsia="Arial" w:hAnsi="Arial"/>
                <w:sz w:val="15"/>
                <w:szCs w:val="15"/>
                <w:b w:val="1"/>
                <w:bCs w:val="1"/>
                <w:color w:val="auto"/>
                <w:w w:val="90"/>
                <w:vertAlign w:val="superscript"/>
              </w:rPr>
              <w:t>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Acreage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U.S. Dollars)</w:t>
            </w:r>
          </w:p>
        </w:tc>
        <w:tc>
          <w:tcPr>
            <w:tcW w:w="1440" w:type="dxa"/>
            <w:vAlign w:val="bottom"/>
          </w:tcPr>
          <w:p>
            <w:pPr>
              <w:spacing w:after="0"/>
              <w:rPr>
                <w:sz w:val="21"/>
                <w:szCs w:val="21"/>
                <w:color w:val="auto"/>
              </w:rPr>
            </w:pP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Status</w:t>
            </w: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220" w:type="dxa"/>
            <w:vAlign w:val="bottom"/>
            <w:tcBorders>
              <w:left w:val="single" w:sz="8" w:color="auto"/>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Auburn,</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2.6 acres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$1,824,000</w:t>
            </w: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0"/>
              </w:rPr>
              <w:t>We are actively pursuing the development of the next phase</w:t>
            </w:r>
          </w:p>
        </w:tc>
        <w:tc>
          <w:tcPr>
            <w:tcW w:w="0" w:type="dxa"/>
            <w:vAlign w:val="bottom"/>
          </w:tcPr>
          <w:p>
            <w:pPr>
              <w:spacing w:after="0"/>
              <w:rPr>
                <w:sz w:val="1"/>
                <w:szCs w:val="1"/>
                <w:color w:val="auto"/>
              </w:rPr>
            </w:pPr>
          </w:p>
        </w:tc>
      </w:tr>
      <w:tr>
        <w:trPr>
          <w:trHeight w:val="101"/>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Sydney, Australia</w:t>
            </w: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40" w:type="dxa"/>
            <w:vAlign w:val="bottom"/>
            <w:vMerge w:val="restart"/>
          </w:tcPr>
          <w:p>
            <w:pPr>
              <w:spacing w:after="0"/>
              <w:rPr>
                <w:sz w:val="20"/>
                <w:szCs w:val="20"/>
                <w:color w:val="auto"/>
              </w:rPr>
            </w:pPr>
            <w:r>
              <w:rPr>
                <w:rFonts w:ascii="Arial" w:cs="Arial" w:eastAsia="Arial" w:hAnsi="Arial"/>
                <w:sz w:val="14"/>
                <w:szCs w:val="14"/>
                <w:color w:val="auto"/>
              </w:rPr>
              <w:t>of this property.</w:t>
            </w:r>
          </w:p>
        </w:tc>
        <w:tc>
          <w:tcPr>
            <w:tcW w:w="16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20" w:type="dxa"/>
            <w:vAlign w:val="bottom"/>
            <w:tcBorders>
              <w:left w:val="single" w:sz="8" w:color="auto"/>
              <w:right w:val="single" w:sz="8" w:color="auto"/>
            </w:tcBorders>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144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Burwood,</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50.6 acres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$46,528,000</w:t>
            </w: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7"/>
              </w:rPr>
              <w:t>We continue to evaluate our options with regards to this</w:t>
            </w:r>
          </w:p>
        </w:tc>
        <w:tc>
          <w:tcPr>
            <w:tcW w:w="0" w:type="dxa"/>
            <w:vAlign w:val="bottom"/>
          </w:tcPr>
          <w:p>
            <w:pPr>
              <w:spacing w:after="0"/>
              <w:rPr>
                <w:sz w:val="1"/>
                <w:szCs w:val="1"/>
                <w:color w:val="auto"/>
              </w:rPr>
            </w:pPr>
          </w:p>
        </w:tc>
      </w:tr>
      <w:tr>
        <w:trPr>
          <w:trHeight w:val="101"/>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Victoria, Australia</w:t>
            </w: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40" w:type="dxa"/>
            <w:vAlign w:val="bottom"/>
            <w:vMerge w:val="restart"/>
          </w:tcPr>
          <w:p>
            <w:pPr>
              <w:spacing w:after="0"/>
              <w:rPr>
                <w:sz w:val="20"/>
                <w:szCs w:val="20"/>
                <w:color w:val="auto"/>
              </w:rPr>
            </w:pPr>
            <w:r>
              <w:rPr>
                <w:rFonts w:ascii="Arial" w:cs="Arial" w:eastAsia="Arial" w:hAnsi="Arial"/>
                <w:sz w:val="14"/>
                <w:szCs w:val="14"/>
                <w:color w:val="auto"/>
              </w:rPr>
              <w:t>property.</w:t>
            </w:r>
          </w:p>
        </w:tc>
        <w:tc>
          <w:tcPr>
            <w:tcW w:w="16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20" w:type="dxa"/>
            <w:vAlign w:val="bottom"/>
            <w:tcBorders>
              <w:left w:val="single" w:sz="8" w:color="auto"/>
              <w:right w:val="single" w:sz="8" w:color="auto"/>
            </w:tcBorders>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144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Coachella,</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7"/>
              </w:rPr>
              <w:t>202 acres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$4,047,000</w:t>
            </w: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7"/>
              </w:rPr>
              <w:t>We continue to evaluate our options with regards to this</w:t>
            </w:r>
          </w:p>
        </w:tc>
        <w:tc>
          <w:tcPr>
            <w:tcW w:w="0" w:type="dxa"/>
            <w:vAlign w:val="bottom"/>
          </w:tcPr>
          <w:p>
            <w:pPr>
              <w:spacing w:after="0"/>
              <w:rPr>
                <w:sz w:val="1"/>
                <w:szCs w:val="1"/>
                <w:color w:val="auto"/>
              </w:rPr>
            </w:pPr>
          </w:p>
        </w:tc>
      </w:tr>
      <w:tr>
        <w:trPr>
          <w:trHeight w:val="101"/>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CA, USA</w:t>
            </w: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40" w:type="dxa"/>
            <w:vAlign w:val="bottom"/>
            <w:vMerge w:val="restart"/>
          </w:tcPr>
          <w:p>
            <w:pPr>
              <w:spacing w:after="0"/>
              <w:rPr>
                <w:sz w:val="20"/>
                <w:szCs w:val="20"/>
                <w:color w:val="auto"/>
              </w:rPr>
            </w:pPr>
            <w:r>
              <w:rPr>
                <w:rFonts w:ascii="Arial" w:cs="Arial" w:eastAsia="Arial" w:hAnsi="Arial"/>
                <w:sz w:val="14"/>
                <w:szCs w:val="14"/>
                <w:color w:val="auto"/>
              </w:rPr>
              <w:t>property.</w:t>
            </w:r>
          </w:p>
        </w:tc>
        <w:tc>
          <w:tcPr>
            <w:tcW w:w="16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20" w:type="dxa"/>
            <w:vAlign w:val="bottom"/>
            <w:tcBorders>
              <w:left w:val="single" w:sz="8" w:color="auto"/>
              <w:right w:val="single" w:sz="8" w:color="auto"/>
            </w:tcBorders>
            <w:vMerge w:val="continue"/>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144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430"/>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Courtenay Central,</w:t>
            </w:r>
          </w:p>
        </w:tc>
        <w:tc>
          <w:tcPr>
            <w:tcW w:w="178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0"/>
              </w:rPr>
              <w:t>We are actively pursuing the development of the next phase</w:t>
            </w:r>
          </w:p>
        </w:tc>
        <w:tc>
          <w:tcPr>
            <w:tcW w:w="0" w:type="dxa"/>
            <w:vAlign w:val="bottom"/>
          </w:tcPr>
          <w:p>
            <w:pPr>
              <w:spacing w:after="0"/>
              <w:rPr>
                <w:sz w:val="1"/>
                <w:szCs w:val="1"/>
                <w:color w:val="auto"/>
              </w:rPr>
            </w:pPr>
          </w:p>
        </w:tc>
      </w:tr>
      <w:tr>
        <w:trPr>
          <w:trHeight w:val="82"/>
        </w:trPr>
        <w:tc>
          <w:tcPr>
            <w:tcW w:w="222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$6,953,000</w:t>
            </w:r>
          </w:p>
        </w:tc>
        <w:tc>
          <w:tcPr>
            <w:tcW w:w="1440" w:type="dxa"/>
            <w:vAlign w:val="bottom"/>
            <w:vMerge w:val="restart"/>
          </w:tcPr>
          <w:p>
            <w:pPr>
              <w:spacing w:after="0"/>
              <w:rPr>
                <w:sz w:val="20"/>
                <w:szCs w:val="20"/>
                <w:color w:val="auto"/>
              </w:rPr>
            </w:pPr>
            <w:r>
              <w:rPr>
                <w:rFonts w:ascii="Arial" w:cs="Arial" w:eastAsia="Arial" w:hAnsi="Arial"/>
                <w:sz w:val="14"/>
                <w:szCs w:val="14"/>
                <w:color w:val="auto"/>
              </w:rPr>
              <w:t>of this property having</w:t>
            </w:r>
          </w:p>
        </w:tc>
        <w:tc>
          <w:tcPr>
            <w:tcW w:w="1600" w:type="dxa"/>
            <w:vAlign w:val="bottom"/>
            <w:vMerge w:val="restart"/>
          </w:tcPr>
          <w:p>
            <w:pPr>
              <w:ind w:left="40"/>
              <w:spacing w:after="0"/>
              <w:rPr>
                <w:sz w:val="20"/>
                <w:szCs w:val="20"/>
                <w:color w:val="auto"/>
              </w:rPr>
            </w:pPr>
            <w:r>
              <w:rPr>
                <w:rFonts w:ascii="Arial" w:cs="Arial" w:eastAsia="Arial" w:hAnsi="Arial"/>
                <w:sz w:val="14"/>
                <w:szCs w:val="14"/>
                <w:color w:val="auto"/>
                <w:w w:val="95"/>
              </w:rPr>
              <w:t>signed a lease agreement</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for a</w:t>
            </w:r>
          </w:p>
        </w:tc>
        <w:tc>
          <w:tcPr>
            <w:tcW w:w="0" w:type="dxa"/>
            <w:vAlign w:val="bottom"/>
          </w:tcPr>
          <w:p>
            <w:pPr>
              <w:spacing w:after="0"/>
              <w:rPr>
                <w:sz w:val="1"/>
                <w:szCs w:val="1"/>
                <w:color w:val="auto"/>
              </w:rPr>
            </w:pPr>
          </w:p>
        </w:tc>
      </w:tr>
      <w:tr>
        <w:trPr>
          <w:trHeight w:val="94"/>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Wellington,</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1.1 acres</w:t>
            </w:r>
          </w:p>
        </w:tc>
        <w:tc>
          <w:tcPr>
            <w:tcW w:w="1800" w:type="dxa"/>
            <w:vAlign w:val="bottom"/>
            <w:tcBorders>
              <w:right w:val="single" w:sz="8" w:color="auto"/>
            </w:tcBorders>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22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34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w w:val="92"/>
              </w:rPr>
              <w:t>Countdown (Woolworths) supermarket to be developed on</w:t>
            </w:r>
          </w:p>
        </w:tc>
        <w:tc>
          <w:tcPr>
            <w:tcW w:w="0" w:type="dxa"/>
            <w:vAlign w:val="bottom"/>
          </w:tcPr>
          <w:p>
            <w:pPr>
              <w:spacing w:after="0"/>
              <w:rPr>
                <w:sz w:val="1"/>
                <w:szCs w:val="1"/>
                <w:color w:val="auto"/>
              </w:rPr>
            </w:pPr>
          </w:p>
        </w:tc>
      </w:tr>
      <w:tr>
        <w:trPr>
          <w:trHeight w:val="94"/>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New Zealand</w:t>
            </w:r>
          </w:p>
        </w:tc>
        <w:tc>
          <w:tcPr>
            <w:tcW w:w="178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34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2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440" w:type="dxa"/>
            <w:vAlign w:val="bottom"/>
            <w:vMerge w:val="restart"/>
          </w:tcPr>
          <w:p>
            <w:pPr>
              <w:spacing w:after="0"/>
              <w:rPr>
                <w:sz w:val="20"/>
                <w:szCs w:val="20"/>
                <w:color w:val="auto"/>
              </w:rPr>
            </w:pPr>
            <w:r>
              <w:rPr>
                <w:rFonts w:ascii="Arial" w:cs="Arial" w:eastAsia="Arial" w:hAnsi="Arial"/>
                <w:sz w:val="14"/>
                <w:szCs w:val="14"/>
                <w:color w:val="auto"/>
              </w:rPr>
              <w:t>this site.</w:t>
            </w:r>
          </w:p>
        </w:tc>
        <w:tc>
          <w:tcPr>
            <w:tcW w:w="16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2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44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220" w:type="dxa"/>
            <w:vAlign w:val="bottom"/>
            <w:tcBorders>
              <w:left w:val="single" w:sz="8" w:color="auto"/>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800" w:type="dxa"/>
            <w:vAlign w:val="bottom"/>
            <w:tcBorders>
              <w:bottom w:val="single" w:sz="8" w:color="auto"/>
              <w:right w:val="single" w:sz="8" w:color="auto"/>
            </w:tcBorders>
          </w:tcPr>
          <w:p>
            <w:pPr>
              <w:spacing w:after="0"/>
              <w:rPr>
                <w:sz w:val="23"/>
                <w:szCs w:val="23"/>
                <w:color w:val="auto"/>
              </w:rPr>
            </w:pPr>
          </w:p>
        </w:tc>
        <w:tc>
          <w:tcPr>
            <w:tcW w:w="3400" w:type="dxa"/>
            <w:vAlign w:val="bottom"/>
            <w:tcBorders>
              <w:bottom w:val="single" w:sz="8" w:color="auto"/>
              <w:right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Lake Taupo, Taupo, New Zealand</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0.5 acre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$2,304,000</w:t>
            </w: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1"/>
              </w:rPr>
              <w:t>We are pursuing various options to dispose of this property.</w:t>
            </w:r>
          </w:p>
        </w:tc>
        <w:tc>
          <w:tcPr>
            <w:tcW w:w="0" w:type="dxa"/>
            <w:vAlign w:val="bottom"/>
          </w:tcPr>
          <w:p>
            <w:pPr>
              <w:spacing w:after="0"/>
              <w:rPr>
                <w:sz w:val="1"/>
                <w:szCs w:val="1"/>
                <w:color w:val="auto"/>
              </w:rPr>
            </w:pPr>
          </w:p>
        </w:tc>
      </w:tr>
      <w:tr>
        <w:trPr>
          <w:trHeight w:val="165"/>
        </w:trPr>
        <w:tc>
          <w:tcPr>
            <w:tcW w:w="222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340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222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The bulk of the land is zoned for agriculture and is</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9"/>
              </w:rPr>
              <w:t>currently used for horticulture commercial purposes.  A</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64 acres zoned agricultural</w:t>
            </w:r>
          </w:p>
        </w:tc>
        <w:tc>
          <w:tcPr>
            <w:tcW w:w="18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2"/>
              </w:rPr>
              <w:t>development plan has been filed to rezone the property for</w:t>
            </w:r>
          </w:p>
        </w:tc>
        <w:tc>
          <w:tcPr>
            <w:tcW w:w="0" w:type="dxa"/>
            <w:vAlign w:val="bottom"/>
          </w:tcPr>
          <w:p>
            <w:pPr>
              <w:spacing w:after="0"/>
              <w:rPr>
                <w:sz w:val="1"/>
                <w:szCs w:val="1"/>
                <w:color w:val="auto"/>
              </w:rPr>
            </w:pPr>
          </w:p>
        </w:tc>
      </w:tr>
      <w:tr>
        <w:trPr>
          <w:trHeight w:val="94"/>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Manukau,</w:t>
            </w: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$13,993,000</w:t>
            </w:r>
          </w:p>
        </w:tc>
        <w:tc>
          <w:tcPr>
            <w:tcW w:w="1440" w:type="dxa"/>
            <w:vAlign w:val="bottom"/>
            <w:vMerge w:val="restart"/>
          </w:tcPr>
          <w:p>
            <w:pPr>
              <w:spacing w:after="0"/>
              <w:rPr>
                <w:sz w:val="20"/>
                <w:szCs w:val="20"/>
                <w:color w:val="auto"/>
              </w:rPr>
            </w:pPr>
            <w:r>
              <w:rPr>
                <w:rFonts w:ascii="Arial" w:cs="Arial" w:eastAsia="Arial" w:hAnsi="Arial"/>
                <w:sz w:val="14"/>
                <w:szCs w:val="14"/>
                <w:color w:val="auto"/>
                <w:w w:val="96"/>
              </w:rPr>
              <w:t>warehouse,  distribution</w:t>
            </w:r>
          </w:p>
        </w:tc>
        <w:tc>
          <w:tcPr>
            <w:tcW w:w="1600" w:type="dxa"/>
            <w:vAlign w:val="bottom"/>
            <w:vMerge w:val="restart"/>
          </w:tcPr>
          <w:p>
            <w:pPr>
              <w:ind w:left="40"/>
              <w:spacing w:after="0"/>
              <w:rPr>
                <w:sz w:val="20"/>
                <w:szCs w:val="20"/>
                <w:color w:val="auto"/>
              </w:rPr>
            </w:pPr>
            <w:r>
              <w:rPr>
                <w:rFonts w:ascii="Arial" w:cs="Arial" w:eastAsia="Arial" w:hAnsi="Arial"/>
                <w:sz w:val="14"/>
                <w:szCs w:val="14"/>
                <w:color w:val="auto"/>
                <w:w w:val="95"/>
              </w:rPr>
              <w:t>and  manufacturing  uses.</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We</w:t>
            </w:r>
          </w:p>
        </w:tc>
        <w:tc>
          <w:tcPr>
            <w:tcW w:w="0" w:type="dxa"/>
            <w:vAlign w:val="bottom"/>
          </w:tcPr>
          <w:p>
            <w:pPr>
              <w:spacing w:after="0"/>
              <w:rPr>
                <w:sz w:val="1"/>
                <w:szCs w:val="1"/>
                <w:color w:val="auto"/>
              </w:rPr>
            </w:pPr>
          </w:p>
        </w:tc>
      </w:tr>
      <w:tr>
        <w:trPr>
          <w:trHeight w:val="82"/>
        </w:trPr>
        <w:tc>
          <w:tcPr>
            <w:tcW w:w="222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and 6.4 acres zoned light</w:t>
            </w:r>
          </w:p>
        </w:tc>
        <w:tc>
          <w:tcPr>
            <w:tcW w:w="1800" w:type="dxa"/>
            <w:vAlign w:val="bottom"/>
            <w:tcBorders>
              <w:right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Auckland, New Zealand</w:t>
            </w: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34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w w:val="94"/>
              </w:rPr>
              <w:t>currently anticipate that this rezoning will be approved.  In</w:t>
            </w:r>
          </w:p>
        </w:tc>
        <w:tc>
          <w:tcPr>
            <w:tcW w:w="0" w:type="dxa"/>
            <w:vAlign w:val="bottom"/>
          </w:tcPr>
          <w:p>
            <w:pPr>
              <w:spacing w:after="0"/>
              <w:rPr>
                <w:sz w:val="1"/>
                <w:szCs w:val="1"/>
                <w:color w:val="auto"/>
              </w:rPr>
            </w:pPr>
          </w:p>
        </w:tc>
      </w:tr>
      <w:tr>
        <w:trPr>
          <w:trHeight w:val="82"/>
        </w:trPr>
        <w:tc>
          <w:tcPr>
            <w:tcW w:w="222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industrial</w:t>
            </w:r>
          </w:p>
        </w:tc>
        <w:tc>
          <w:tcPr>
            <w:tcW w:w="1800" w:type="dxa"/>
            <w:vAlign w:val="bottom"/>
            <w:tcBorders>
              <w:right w:val="single" w:sz="8" w:color="auto"/>
            </w:tcBorders>
          </w:tcPr>
          <w:p>
            <w:pPr>
              <w:spacing w:after="0"/>
              <w:rPr>
                <w:sz w:val="7"/>
                <w:szCs w:val="7"/>
                <w:color w:val="auto"/>
              </w:rPr>
            </w:pPr>
          </w:p>
        </w:tc>
        <w:tc>
          <w:tcPr>
            <w:tcW w:w="34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22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34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w w:val="98"/>
              </w:rPr>
              <w:t>2010, we acquired an adjacent property which is zoned</w:t>
            </w:r>
          </w:p>
        </w:tc>
        <w:tc>
          <w:tcPr>
            <w:tcW w:w="0" w:type="dxa"/>
            <w:vAlign w:val="bottom"/>
          </w:tcPr>
          <w:p>
            <w:pPr>
              <w:spacing w:after="0"/>
              <w:rPr>
                <w:sz w:val="1"/>
                <w:szCs w:val="1"/>
                <w:color w:val="auto"/>
              </w:rPr>
            </w:pPr>
          </w:p>
        </w:tc>
      </w:tr>
      <w:tr>
        <w:trPr>
          <w:trHeight w:val="79"/>
        </w:trPr>
        <w:tc>
          <w:tcPr>
            <w:tcW w:w="2220" w:type="dxa"/>
            <w:vAlign w:val="bottom"/>
            <w:tcBorders>
              <w:left w:val="single" w:sz="8" w:color="auto"/>
              <w:righ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340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5"/>
              </w:rPr>
              <w:t>industrial, but is currently unimproved. This property links</w:t>
            </w:r>
          </w:p>
        </w:tc>
        <w:tc>
          <w:tcPr>
            <w:tcW w:w="0" w:type="dxa"/>
            <w:vAlign w:val="bottom"/>
          </w:tcPr>
          <w:p>
            <w:pPr>
              <w:spacing w:after="0"/>
              <w:rPr>
                <w:sz w:val="1"/>
                <w:szCs w:val="1"/>
                <w:color w:val="auto"/>
              </w:rPr>
            </w:pP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w w:val="98"/>
              </w:rPr>
              <w:t>our existing parcel with the existing road network.</w:t>
            </w:r>
          </w:p>
        </w:tc>
        <w:tc>
          <w:tcPr>
            <w:tcW w:w="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3"/>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2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5"/>
              </w:rPr>
              <w:t>In November 2013, we entered into a definitive purchase</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Moonee Ponds, Victoria, Australia</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3.3 acres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$11,053,000</w:t>
            </w:r>
          </w:p>
        </w:tc>
        <w:tc>
          <w:tcPr>
            <w:tcW w:w="34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0"/>
              </w:rPr>
              <w:t>and sale agreement to sell our properties located in Moonee</w:t>
            </w:r>
          </w:p>
        </w:tc>
        <w:tc>
          <w:tcPr>
            <w:tcW w:w="0" w:type="dxa"/>
            <w:vAlign w:val="bottom"/>
          </w:tcPr>
          <w:p>
            <w:pPr>
              <w:spacing w:after="0"/>
              <w:rPr>
                <w:sz w:val="1"/>
                <w:szCs w:val="1"/>
                <w:color w:val="auto"/>
              </w:rPr>
            </w:pPr>
          </w:p>
        </w:tc>
      </w:tr>
      <w:tr>
        <w:trPr>
          <w:trHeight w:val="101"/>
        </w:trPr>
        <w:tc>
          <w:tcPr>
            <w:tcW w:w="2220" w:type="dxa"/>
            <w:vAlign w:val="bottom"/>
            <w:tcBorders>
              <w:left w:val="single" w:sz="8" w:color="auto"/>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34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w w:val="93"/>
              </w:rPr>
              <w:t>Ponds, Victoria, Australia with a scheduled closing date of</w:t>
            </w:r>
          </w:p>
        </w:tc>
        <w:tc>
          <w:tcPr>
            <w:tcW w:w="0" w:type="dxa"/>
            <w:vAlign w:val="bottom"/>
          </w:tcPr>
          <w:p>
            <w:pPr>
              <w:spacing w:after="0"/>
              <w:rPr>
                <w:sz w:val="1"/>
                <w:szCs w:val="1"/>
                <w:color w:val="auto"/>
              </w:rPr>
            </w:pPr>
          </w:p>
        </w:tc>
      </w:tr>
      <w:tr>
        <w:trPr>
          <w:trHeight w:val="75"/>
        </w:trPr>
        <w:tc>
          <w:tcPr>
            <w:tcW w:w="2220" w:type="dxa"/>
            <w:vAlign w:val="bottom"/>
            <w:tcBorders>
              <w:left w:val="single" w:sz="8" w:color="auto"/>
              <w:righ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340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April 16, 2015</w:t>
            </w:r>
          </w:p>
        </w:tc>
        <w:tc>
          <w:tcPr>
            <w:tcW w:w="16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20" w:firstLine="2"/>
        <w:spacing w:after="0" w:line="230" w:lineRule="auto"/>
        <w:tabs>
          <w:tab w:leader="none" w:pos="238" w:val="left"/>
        </w:tabs>
        <w:numPr>
          <w:ilvl w:val="0"/>
          <w:numId w:val="9"/>
        </w:numPr>
        <w:rPr>
          <w:rFonts w:ascii="Arial" w:cs="Arial" w:eastAsia="Arial" w:hAnsi="Arial"/>
          <w:sz w:val="13"/>
          <w:szCs w:val="13"/>
          <w:color w:val="auto"/>
        </w:rPr>
      </w:pPr>
      <w:r>
        <w:rPr>
          <w:rFonts w:ascii="Arial" w:cs="Arial" w:eastAsia="Arial" w:hAnsi="Arial"/>
          <w:sz w:val="13"/>
          <w:szCs w:val="13"/>
          <w:color w:val="auto"/>
        </w:rPr>
        <w:t>A number of our real estate holdings include additional land held for development. In addition, we have acquired certain parcels for future development. The gross book value includes, as applicable, the land, building, development costs, and capitalized interest.</w:t>
      </w:r>
    </w:p>
    <w:p>
      <w:pPr>
        <w:spacing w:after="0" w:line="128"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 xml:space="preserve">Some of our income operating property and our investment and development property carry various debt encumbrances based on their income streams and geographic locations. For an explanation of our debt and the associated security collateral please see Note 12 –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Payable </w:t>
      </w:r>
      <w:r>
        <w:rPr>
          <w:rFonts w:ascii="Arial" w:cs="Arial" w:eastAsia="Arial" w:hAnsi="Arial"/>
          <w:sz w:val="16"/>
          <w:szCs w:val="16"/>
          <w:color w:val="auto"/>
        </w:rPr>
        <w:t>to our 2013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200"/>
          </w:cols>
          <w:pgMar w:left="1360" w:top="123" w:right="1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Other Property Interests and Investments</w:t>
      </w:r>
    </w:p>
    <w:p>
      <w:pPr>
        <w:spacing w:after="0" w:line="66"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We own the fee interest in 11 parcels comprising 195 acres in Pennsylvania and Delaware. These acres consist primarily of vacant land. With the exception of certain properties located in Philadelphia (including the raised railroad bed leading to the old Reading Railroad Station), the properties are principally located in rural areas of Pennsylvania and Delaware. Additionally, we own a condominium in the Los Angeles, California area that is used for offsite corporate meetings and by our Chief Executive Officer when he is in town. Except for a negative pledge on the aforementioned Los Angeles condominium, these properties are unencumbered with any debt and are lien free.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u w:val="single" w:color="auto"/>
          <w:color w:val="auto"/>
        </w:rPr>
        <w:t>Item 3 – Legal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Tax Audit/Litigation</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Internal Revenue Service (the “IRS”) has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2013 and 2012, after the payments made during 2013 and 2012, respectively, the remaining federal tax obligation was $8.3 million and $10.0 million, respectively, in tax and interest. Of the $8.3 million owed under the installment agreement as of December 31, 2013, $3.5 million was recorded as current taxes payable, with the remaining balance being recorded as non-current tax liability. Of the $10.0 million owed under the installment agreement as of December 31, 2012, $3.5 million was recorded as current taxes payable, with the remaining balance being recorded as non-current tax liability.</w:t>
      </w:r>
    </w:p>
    <w:p>
      <w:pPr>
        <w:spacing w:after="0" w:line="12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impact of the settlement upon the state taxes of the Reading consolidated group, if the adjustment to income agreed with the IRS were reflected on state returns, would be an obligation of approximately $1.4 million in tax plus interest and potential penalty. As of December 31, 2013, no deficiency has been asserted by the State of California, and we have made no final decision as to the course of action to be followed if a deficiency is asserted.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and Asbestos Claims</w:t>
      </w:r>
    </w:p>
    <w:p>
      <w:pPr>
        <w:spacing w:after="0" w:line="172"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25" w:name="page26"/>
    <w:bookmarkEnd w:id="25"/>
    <w:p>
      <w:pPr>
        <w:jc w:val="both"/>
        <w:ind w:firstLine="564"/>
        <w:spacing w:after="0" w:line="267" w:lineRule="auto"/>
        <w:rPr>
          <w:sz w:val="20"/>
          <w:szCs w:val="20"/>
          <w:color w:val="auto"/>
        </w:rPr>
      </w:pPr>
      <w:r>
        <w:rPr>
          <w:rFonts w:ascii="Arial" w:cs="Arial" w:eastAsia="Arial" w:hAnsi="Arial"/>
          <w:sz w:val="15"/>
          <w:szCs w:val="15"/>
          <w:color w:val="auto"/>
        </w:rPr>
        <w:t>In connection with the development of our 50.6 acre Burwood site, it will be necessary to address certain environmental issues. That property was at one time used as brickworks and we have discovered petroleum and asbestos at the site. During 2007, we developed a plan for the remediation of these materials, in some cases through removal and in other cases through encapsulation. As of December 31, 2013, we estimate that the total site preparation costs associated with the removal of this contaminated soil will be $15.2 million (AUS$17.1 million) and as of that date we had already incurred a total of $7.4 million (AUS$8.3 million) of these costs. We do not believe that this has added materially to the overall development cost of the site, as it is anticipated that all of the work will be done in connection with the excavation and other development activity already contemplated for the property.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315" w:right="1359" w:bottom="1440" w:gutter="0" w:footer="0" w:header="0"/>
        </w:sectPr>
      </w:pPr>
    </w:p>
    <w:bookmarkStart w:id="26" w:name="page27"/>
    <w:bookmarkEnd w:id="26"/>
    <w:p>
      <w:pPr>
        <w:ind w:left="4300"/>
        <w:spacing w:after="0"/>
        <w:rPr>
          <w:sz w:val="20"/>
          <w:szCs w:val="20"/>
          <w:color w:val="auto"/>
        </w:rPr>
      </w:pPr>
      <w:r>
        <w:rPr>
          <w:rFonts w:ascii="Arial" w:cs="Arial" w:eastAsia="Arial" w:hAnsi="Arial"/>
          <w:sz w:val="16"/>
          <w:szCs w:val="16"/>
          <w:b w:val="1"/>
          <w:bCs w:val="1"/>
          <w:u w:val="single" w:color="auto"/>
          <w:color w:val="auto"/>
        </w:rPr>
        <w:t>PART II</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 Market for Registrant’s Common Equity, Related Stockholder Matters and Issuer Purchases of Equity Securities</w:t>
      </w:r>
    </w:p>
    <w:p>
      <w:pPr>
        <w:spacing w:after="0" w:line="168" w:lineRule="exact"/>
        <w:rPr>
          <w:sz w:val="20"/>
          <w:szCs w:val="20"/>
          <w:color w:val="auto"/>
        </w:rPr>
      </w:pPr>
    </w:p>
    <w:p>
      <w:pPr>
        <w:ind w:right="2180"/>
        <w:spacing w:after="0" w:line="446" w:lineRule="auto"/>
        <w:rPr>
          <w:sz w:val="20"/>
          <w:szCs w:val="20"/>
          <w:color w:val="auto"/>
        </w:rPr>
      </w:pPr>
      <w:r>
        <w:rPr>
          <w:rFonts w:ascii="Arial" w:cs="Arial" w:eastAsia="Arial" w:hAnsi="Arial"/>
          <w:sz w:val="16"/>
          <w:szCs w:val="16"/>
          <w:b w:val="1"/>
          <w:bCs w:val="1"/>
          <w:u w:val="single" w:color="auto"/>
          <w:color w:val="auto"/>
        </w:rPr>
        <w:t xml:space="preserve">(a) Market Price of and Dividends on the Registrant’s Common Equity and Related Stockholder Matters </w:t>
      </w:r>
      <w:r>
        <w:rPr>
          <w:rFonts w:ascii="Arial" w:cs="Arial" w:eastAsia="Arial" w:hAnsi="Arial"/>
          <w:sz w:val="16"/>
          <w:szCs w:val="16"/>
          <w:u w:val="single" w:color="auto"/>
          <w:color w:val="auto"/>
        </w:rPr>
        <w:t>Market Information</w:t>
      </w:r>
    </w:p>
    <w:p>
      <w:pPr>
        <w:spacing w:after="0" w:line="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Reading International, Inc., a Nevada corporation (“RDI” and collectively with our consolidated subsidiaries and corporate predecessors, the “Company,” “Reading” and “we,” “us,” or “our”), was incorporated in 1999. Historically, we have been listed on the AMEX and due to the 2008 purchase of the AMEX by the NYSE Alternext US; we were listed on that exchange at December 31, 2008. During July 2009, we moved our listing from NYSE Alternext to NASDAQ.</w:t>
      </w:r>
    </w:p>
    <w:p>
      <w:pPr>
        <w:spacing w:after="0" w:line="146"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The following table sets forth the high and low closing prices of the RDI and RDIB common stock for each of the quarters in 2013 and 2012 as reported by NASDAQ: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1"/>
              </w:rPr>
              <w:t>Class A Stock</w:t>
            </w:r>
          </w:p>
        </w:tc>
        <w:tc>
          <w:tcPr>
            <w:tcW w:w="60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3"/>
              </w:rPr>
              <w:t>Class B Stock</w:t>
            </w:r>
          </w:p>
        </w:tc>
        <w:tc>
          <w:tcPr>
            <w:tcW w:w="680" w:type="dxa"/>
            <w:vAlign w:val="bottom"/>
            <w:tcBorders>
              <w:bottom w:val="single" w:sz="8" w:color="auto"/>
            </w:tcBorders>
          </w:tcPr>
          <w:p>
            <w:pPr>
              <w:spacing w:after="0"/>
              <w:rPr>
                <w:sz w:val="17"/>
                <w:szCs w:val="17"/>
                <w:color w:val="auto"/>
              </w:rPr>
            </w:pPr>
          </w:p>
        </w:tc>
      </w:tr>
      <w:tr>
        <w:trPr>
          <w:trHeight w:val="207"/>
        </w:trPr>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High</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Low</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High</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Low</w:t>
            </w:r>
          </w:p>
        </w:tc>
      </w:tr>
      <w:tr>
        <w:trPr>
          <w:trHeight w:val="329"/>
        </w:trPr>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2040" w:type="dxa"/>
            <w:vAlign w:val="bottom"/>
          </w:tcPr>
          <w:p>
            <w:pPr>
              <w:ind w:left="480"/>
              <w:spacing w:after="0"/>
              <w:rPr>
                <w:sz w:val="20"/>
                <w:szCs w:val="20"/>
                <w:color w:val="auto"/>
              </w:rPr>
            </w:pPr>
            <w:r>
              <w:rPr>
                <w:rFonts w:ascii="Arial" w:cs="Arial" w:eastAsia="Arial" w:hAnsi="Arial"/>
                <w:sz w:val="16"/>
                <w:szCs w:val="16"/>
                <w:color w:val="auto"/>
              </w:rPr>
              <w:t>Fourth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7.49</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6.15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9.00</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6.99</w:t>
            </w:r>
          </w:p>
        </w:tc>
      </w:tr>
      <w:tr>
        <w:trPr>
          <w:trHeight w:val="191"/>
        </w:trPr>
        <w:tc>
          <w:tcPr>
            <w:tcW w:w="4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Third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6.58</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6.15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7.99</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6.52</w:t>
            </w:r>
          </w:p>
        </w:tc>
      </w:tr>
      <w:tr>
        <w:trPr>
          <w:trHeight w:val="188"/>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Second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6.36</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5.50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7.40</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6.00</w:t>
            </w:r>
          </w:p>
        </w:tc>
      </w:tr>
      <w:tr>
        <w:trPr>
          <w:trHeight w:val="200"/>
        </w:trPr>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First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6.08</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5.42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7.49</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5.65</w:t>
            </w:r>
          </w:p>
        </w:tc>
      </w:tr>
      <w:tr>
        <w:trPr>
          <w:trHeight w:val="342"/>
        </w:trPr>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040" w:type="dxa"/>
            <w:vAlign w:val="bottom"/>
          </w:tcPr>
          <w:p>
            <w:pPr>
              <w:ind w:left="480"/>
              <w:spacing w:after="0"/>
              <w:rPr>
                <w:sz w:val="20"/>
                <w:szCs w:val="20"/>
                <w:color w:val="auto"/>
              </w:rPr>
            </w:pPr>
            <w:r>
              <w:rPr>
                <w:rFonts w:ascii="Arial" w:cs="Arial" w:eastAsia="Arial" w:hAnsi="Arial"/>
                <w:sz w:val="16"/>
                <w:szCs w:val="16"/>
                <w:color w:val="auto"/>
              </w:rPr>
              <w:t>Fourth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6.23</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5.48</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7.40</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5.64</w:t>
            </w:r>
          </w:p>
        </w:tc>
      </w:tr>
      <w:tr>
        <w:trPr>
          <w:trHeight w:val="191"/>
        </w:trPr>
        <w:tc>
          <w:tcPr>
            <w:tcW w:w="4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Third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6.58</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4.73</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7.95</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5.00</w:t>
            </w:r>
          </w:p>
        </w:tc>
      </w:tr>
      <w:tr>
        <w:trPr>
          <w:trHeight w:val="188"/>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Second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5.88</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4.62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6.75</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4.53</w:t>
            </w:r>
          </w:p>
        </w:tc>
      </w:tr>
      <w:tr>
        <w:trPr>
          <w:trHeight w:val="200"/>
        </w:trPr>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First Quarter</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4.56</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4.12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7.00</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ind w:left="140"/>
              <w:spacing w:after="0"/>
              <w:rPr>
                <w:sz w:val="20"/>
                <w:szCs w:val="20"/>
                <w:color w:val="auto"/>
              </w:rPr>
            </w:pPr>
            <w:r>
              <w:rPr>
                <w:rFonts w:ascii="Arial" w:cs="Arial" w:eastAsia="Arial" w:hAnsi="Arial"/>
                <w:sz w:val="16"/>
                <w:szCs w:val="16"/>
                <w:color w:val="auto"/>
              </w:rPr>
              <w:t>4.26</w:t>
            </w:r>
          </w:p>
        </w:tc>
      </w:tr>
    </w:tbl>
    <w:p>
      <w:pPr>
        <w:spacing w:after="0" w:line="1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securities authorized for issuance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1880" w:type="dxa"/>
            <w:vAlign w:val="bottom"/>
          </w:tcPr>
          <w:p>
            <w:pPr>
              <w:jc w:val="center"/>
              <w:ind w:left="42"/>
              <w:spacing w:after="0"/>
              <w:rPr>
                <w:sz w:val="20"/>
                <w:szCs w:val="20"/>
                <w:color w:val="auto"/>
              </w:rPr>
            </w:pPr>
            <w:r>
              <w:rPr>
                <w:rFonts w:ascii="Arial" w:cs="Arial" w:eastAsia="Arial" w:hAnsi="Arial"/>
                <w:sz w:val="16"/>
                <w:szCs w:val="16"/>
                <w:b w:val="1"/>
                <w:bCs w:val="1"/>
                <w:color w:val="auto"/>
                <w:w w:val="87"/>
              </w:rPr>
              <w:t>Number of securities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jc w:val="center"/>
              <w:ind w:left="142"/>
              <w:spacing w:after="0"/>
              <w:rPr>
                <w:sz w:val="20"/>
                <w:szCs w:val="20"/>
                <w:color w:val="auto"/>
              </w:rPr>
            </w:pPr>
            <w:r>
              <w:rPr>
                <w:rFonts w:ascii="Arial" w:cs="Arial" w:eastAsia="Arial" w:hAnsi="Arial"/>
                <w:sz w:val="16"/>
                <w:szCs w:val="16"/>
                <w:b w:val="1"/>
                <w:bCs w:val="1"/>
                <w:color w:val="auto"/>
                <w:w w:val="86"/>
              </w:rPr>
              <w:t>Number of securities</w:t>
            </w:r>
          </w:p>
        </w:tc>
      </w:tr>
      <w:tr>
        <w:trPr>
          <w:trHeight w:val="188"/>
        </w:trPr>
        <w:tc>
          <w:tcPr>
            <w:tcW w:w="3840" w:type="dxa"/>
            <w:vAlign w:val="bottom"/>
          </w:tcPr>
          <w:p>
            <w:pPr>
              <w:spacing w:after="0"/>
              <w:rPr>
                <w:sz w:val="16"/>
                <w:szCs w:val="16"/>
                <w:color w:val="auto"/>
              </w:rPr>
            </w:pPr>
          </w:p>
        </w:tc>
        <w:tc>
          <w:tcPr>
            <w:tcW w:w="1880" w:type="dxa"/>
            <w:vAlign w:val="bottom"/>
          </w:tcPr>
          <w:p>
            <w:pPr>
              <w:jc w:val="center"/>
              <w:ind w:left="42"/>
              <w:spacing w:after="0"/>
              <w:rPr>
                <w:sz w:val="20"/>
                <w:szCs w:val="20"/>
                <w:color w:val="auto"/>
              </w:rPr>
            </w:pPr>
            <w:r>
              <w:rPr>
                <w:rFonts w:ascii="Arial" w:cs="Arial" w:eastAsia="Arial" w:hAnsi="Arial"/>
                <w:sz w:val="16"/>
                <w:szCs w:val="16"/>
                <w:b w:val="1"/>
                <w:bCs w:val="1"/>
                <w:color w:val="auto"/>
                <w:w w:val="84"/>
              </w:rPr>
              <w:t>to be issued upon</w:t>
            </w:r>
          </w:p>
        </w:tc>
        <w:tc>
          <w:tcPr>
            <w:tcW w:w="260" w:type="dxa"/>
            <w:vAlign w:val="bottom"/>
          </w:tcPr>
          <w:p>
            <w:pPr>
              <w:spacing w:after="0"/>
              <w:rPr>
                <w:sz w:val="16"/>
                <w:szCs w:val="16"/>
                <w:color w:val="auto"/>
              </w:rPr>
            </w:pPr>
          </w:p>
        </w:tc>
        <w:tc>
          <w:tcPr>
            <w:tcW w:w="160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Weighted-average</w:t>
            </w:r>
          </w:p>
        </w:tc>
        <w:tc>
          <w:tcPr>
            <w:tcW w:w="1600" w:type="dxa"/>
            <w:vAlign w:val="bottom"/>
          </w:tcPr>
          <w:p>
            <w:pPr>
              <w:jc w:val="center"/>
              <w:ind w:left="122"/>
              <w:spacing w:after="0"/>
              <w:rPr>
                <w:sz w:val="20"/>
                <w:szCs w:val="20"/>
                <w:color w:val="auto"/>
              </w:rPr>
            </w:pPr>
            <w:r>
              <w:rPr>
                <w:rFonts w:ascii="Arial" w:cs="Arial" w:eastAsia="Arial" w:hAnsi="Arial"/>
                <w:sz w:val="16"/>
                <w:szCs w:val="16"/>
                <w:b w:val="1"/>
                <w:bCs w:val="1"/>
                <w:color w:val="auto"/>
                <w:w w:val="88"/>
              </w:rPr>
              <w:t>remaining available</w:t>
            </w:r>
          </w:p>
        </w:tc>
      </w:tr>
      <w:tr>
        <w:trPr>
          <w:trHeight w:val="188"/>
        </w:trPr>
        <w:tc>
          <w:tcPr>
            <w:tcW w:w="3840" w:type="dxa"/>
            <w:vAlign w:val="bottom"/>
          </w:tcPr>
          <w:p>
            <w:pPr>
              <w:spacing w:after="0"/>
              <w:rPr>
                <w:sz w:val="16"/>
                <w:szCs w:val="16"/>
                <w:color w:val="auto"/>
              </w:rPr>
            </w:pPr>
          </w:p>
        </w:tc>
        <w:tc>
          <w:tcPr>
            <w:tcW w:w="1880" w:type="dxa"/>
            <w:vAlign w:val="bottom"/>
          </w:tcPr>
          <w:p>
            <w:pPr>
              <w:jc w:val="center"/>
              <w:ind w:left="42"/>
              <w:spacing w:after="0"/>
              <w:rPr>
                <w:sz w:val="20"/>
                <w:szCs w:val="20"/>
                <w:color w:val="auto"/>
              </w:rPr>
            </w:pPr>
            <w:r>
              <w:rPr>
                <w:rFonts w:ascii="Arial" w:cs="Arial" w:eastAsia="Arial" w:hAnsi="Arial"/>
                <w:sz w:val="16"/>
                <w:szCs w:val="16"/>
                <w:b w:val="1"/>
                <w:bCs w:val="1"/>
                <w:color w:val="auto"/>
                <w:w w:val="81"/>
              </w:rPr>
              <w:t>exercise of</w:t>
            </w:r>
          </w:p>
        </w:tc>
        <w:tc>
          <w:tcPr>
            <w:tcW w:w="260" w:type="dxa"/>
            <w:vAlign w:val="bottom"/>
          </w:tcPr>
          <w:p>
            <w:pPr>
              <w:spacing w:after="0"/>
              <w:rPr>
                <w:sz w:val="16"/>
                <w:szCs w:val="16"/>
                <w:color w:val="auto"/>
              </w:rPr>
            </w:pPr>
          </w:p>
        </w:tc>
        <w:tc>
          <w:tcPr>
            <w:tcW w:w="1600" w:type="dxa"/>
            <w:vAlign w:val="bottom"/>
          </w:tcPr>
          <w:p>
            <w:pPr>
              <w:jc w:val="center"/>
              <w:ind w:right="162"/>
              <w:spacing w:after="0"/>
              <w:rPr>
                <w:sz w:val="20"/>
                <w:szCs w:val="20"/>
                <w:color w:val="auto"/>
              </w:rPr>
            </w:pPr>
            <w:r>
              <w:rPr>
                <w:rFonts w:ascii="Arial" w:cs="Arial" w:eastAsia="Arial" w:hAnsi="Arial"/>
                <w:sz w:val="16"/>
                <w:szCs w:val="16"/>
                <w:b w:val="1"/>
                <w:bCs w:val="1"/>
                <w:color w:val="auto"/>
                <w:w w:val="85"/>
              </w:rPr>
              <w:t>exercise price of</w:t>
            </w:r>
          </w:p>
        </w:tc>
        <w:tc>
          <w:tcPr>
            <w:tcW w:w="1600" w:type="dxa"/>
            <w:vAlign w:val="bottom"/>
          </w:tcPr>
          <w:p>
            <w:pPr>
              <w:jc w:val="center"/>
              <w:ind w:left="142"/>
              <w:spacing w:after="0"/>
              <w:rPr>
                <w:sz w:val="20"/>
                <w:szCs w:val="20"/>
                <w:color w:val="auto"/>
              </w:rPr>
            </w:pPr>
            <w:r>
              <w:rPr>
                <w:rFonts w:ascii="Arial" w:cs="Arial" w:eastAsia="Arial" w:hAnsi="Arial"/>
                <w:sz w:val="16"/>
                <w:szCs w:val="16"/>
                <w:b w:val="1"/>
                <w:bCs w:val="1"/>
                <w:color w:val="auto"/>
                <w:w w:val="87"/>
              </w:rPr>
              <w:t>for future issuance</w:t>
            </w:r>
          </w:p>
        </w:tc>
      </w:tr>
      <w:tr>
        <w:trPr>
          <w:trHeight w:val="188"/>
        </w:trPr>
        <w:tc>
          <w:tcPr>
            <w:tcW w:w="3840" w:type="dxa"/>
            <w:vAlign w:val="bottom"/>
          </w:tcPr>
          <w:p>
            <w:pPr>
              <w:spacing w:after="0"/>
              <w:rPr>
                <w:sz w:val="16"/>
                <w:szCs w:val="16"/>
                <w:color w:val="auto"/>
              </w:rPr>
            </w:pPr>
          </w:p>
        </w:tc>
        <w:tc>
          <w:tcPr>
            <w:tcW w:w="1880" w:type="dxa"/>
            <w:vAlign w:val="bottom"/>
          </w:tcPr>
          <w:p>
            <w:pPr>
              <w:jc w:val="center"/>
              <w:ind w:left="42"/>
              <w:spacing w:after="0"/>
              <w:rPr>
                <w:sz w:val="20"/>
                <w:szCs w:val="20"/>
                <w:color w:val="auto"/>
              </w:rPr>
            </w:pPr>
            <w:r>
              <w:rPr>
                <w:rFonts w:ascii="Arial" w:cs="Arial" w:eastAsia="Arial" w:hAnsi="Arial"/>
                <w:sz w:val="16"/>
                <w:szCs w:val="16"/>
                <w:b w:val="1"/>
                <w:bCs w:val="1"/>
                <w:color w:val="auto"/>
                <w:w w:val="85"/>
              </w:rPr>
              <w:t>outstanding options,</w:t>
            </w:r>
          </w:p>
        </w:tc>
        <w:tc>
          <w:tcPr>
            <w:tcW w:w="260" w:type="dxa"/>
            <w:vAlign w:val="bottom"/>
          </w:tcPr>
          <w:p>
            <w:pPr>
              <w:spacing w:after="0"/>
              <w:rPr>
                <w:sz w:val="16"/>
                <w:szCs w:val="16"/>
                <w:color w:val="auto"/>
              </w:rPr>
            </w:pPr>
          </w:p>
        </w:tc>
        <w:tc>
          <w:tcPr>
            <w:tcW w:w="1600" w:type="dxa"/>
            <w:vAlign w:val="bottom"/>
          </w:tcPr>
          <w:p>
            <w:pPr>
              <w:jc w:val="center"/>
              <w:ind w:right="162"/>
              <w:spacing w:after="0"/>
              <w:rPr>
                <w:sz w:val="20"/>
                <w:szCs w:val="20"/>
                <w:color w:val="auto"/>
              </w:rPr>
            </w:pPr>
            <w:r>
              <w:rPr>
                <w:rFonts w:ascii="Arial" w:cs="Arial" w:eastAsia="Arial" w:hAnsi="Arial"/>
                <w:sz w:val="16"/>
                <w:szCs w:val="16"/>
                <w:b w:val="1"/>
                <w:bCs w:val="1"/>
                <w:color w:val="auto"/>
                <w:w w:val="85"/>
              </w:rPr>
              <w:t>outstanding options,</w:t>
            </w:r>
          </w:p>
        </w:tc>
        <w:tc>
          <w:tcPr>
            <w:tcW w:w="1600" w:type="dxa"/>
            <w:vAlign w:val="bottom"/>
          </w:tcPr>
          <w:p>
            <w:pPr>
              <w:jc w:val="center"/>
              <w:ind w:left="142"/>
              <w:spacing w:after="0"/>
              <w:rPr>
                <w:sz w:val="20"/>
                <w:szCs w:val="20"/>
                <w:color w:val="auto"/>
              </w:rPr>
            </w:pPr>
            <w:r>
              <w:rPr>
                <w:rFonts w:ascii="Arial" w:cs="Arial" w:eastAsia="Arial" w:hAnsi="Arial"/>
                <w:sz w:val="16"/>
                <w:szCs w:val="16"/>
                <w:b w:val="1"/>
                <w:bCs w:val="1"/>
                <w:color w:val="auto"/>
                <w:w w:val="89"/>
              </w:rPr>
              <w:t>under equity</w:t>
            </w:r>
          </w:p>
        </w:tc>
      </w:tr>
      <w:tr>
        <w:trPr>
          <w:trHeight w:val="208"/>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1880" w:type="dxa"/>
            <w:vAlign w:val="bottom"/>
            <w:tcBorders>
              <w:bottom w:val="single" w:sz="8" w:color="auto"/>
            </w:tcBorders>
          </w:tcPr>
          <w:p>
            <w:pPr>
              <w:jc w:val="center"/>
              <w:ind w:left="42"/>
              <w:spacing w:after="0"/>
              <w:rPr>
                <w:sz w:val="20"/>
                <w:szCs w:val="20"/>
                <w:color w:val="auto"/>
              </w:rPr>
            </w:pPr>
            <w:r>
              <w:rPr>
                <w:rFonts w:ascii="Arial" w:cs="Arial" w:eastAsia="Arial" w:hAnsi="Arial"/>
                <w:sz w:val="16"/>
                <w:szCs w:val="16"/>
                <w:b w:val="1"/>
                <w:bCs w:val="1"/>
                <w:color w:val="auto"/>
                <w:w w:val="88"/>
              </w:rPr>
              <w:t>warrants, and rights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90"/>
              </w:rPr>
              <w:t>warrants, and rights</w:t>
            </w:r>
          </w:p>
        </w:tc>
        <w:tc>
          <w:tcPr>
            <w:tcW w:w="160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b w:val="1"/>
                <w:bCs w:val="1"/>
                <w:color w:val="auto"/>
                <w:w w:val="85"/>
              </w:rPr>
              <w:t>compensation plans</w:t>
            </w:r>
          </w:p>
        </w:tc>
      </w:tr>
      <w:tr>
        <w:trPr>
          <w:trHeight w:val="364"/>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Equity compensation plans approved by security holders</w:t>
            </w:r>
          </w:p>
        </w:tc>
        <w:tc>
          <w:tcPr>
            <w:tcW w:w="1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894,950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7.33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1,829,436</w:t>
            </w:r>
          </w:p>
        </w:tc>
      </w:tr>
      <w:tr>
        <w:trPr>
          <w:trHeight w:val="184"/>
        </w:trPr>
        <w:tc>
          <w:tcPr>
            <w:tcW w:w="3840" w:type="dxa"/>
            <w:vAlign w:val="bottom"/>
            <w:tcBorders>
              <w:bottom w:val="single" w:sz="8" w:color="auto"/>
            </w:tcBorders>
          </w:tcPr>
          <w:p>
            <w:pPr>
              <w:ind w:left="1700"/>
              <w:spacing w:after="0" w:line="181" w:lineRule="exact"/>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894,950</w:t>
            </w:r>
          </w:p>
        </w:tc>
        <w:tc>
          <w:tcPr>
            <w:tcW w:w="2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color w:val="auto"/>
              </w:rPr>
              <w:t>7.33</w:t>
            </w:r>
          </w:p>
        </w:tc>
        <w:tc>
          <w:tcPr>
            <w:tcW w:w="1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1,829,436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Graph</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following line graph compares the cumulative total stockholder return on Reading International, Inc.’s common stock for the years ended December 31, 2009, 2010, 2011, 2012, and 2013 against the cumulative total return as calculated by the NASDAQ composite, the motion picture theater operator group, and the real estate operator group.</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1438910</wp:posOffset>
            </wp:positionH>
            <wp:positionV relativeFrom="page">
              <wp:posOffset>88900</wp:posOffset>
            </wp:positionV>
            <wp:extent cx="4683760" cy="3162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683760" cy="316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Holders of Record</w:t>
      </w:r>
    </w:p>
    <w:p>
      <w:pPr>
        <w:spacing w:after="0" w:line="168" w:lineRule="exact"/>
        <w:rPr>
          <w:sz w:val="20"/>
          <w:szCs w:val="20"/>
          <w:color w:val="auto"/>
        </w:rPr>
      </w:pPr>
    </w:p>
    <w:p>
      <w:pPr>
        <w:ind w:firstLine="564"/>
        <w:spacing w:after="0" w:line="381" w:lineRule="auto"/>
        <w:rPr>
          <w:sz w:val="20"/>
          <w:szCs w:val="20"/>
          <w:color w:val="auto"/>
        </w:rPr>
      </w:pPr>
      <w:r>
        <w:rPr>
          <w:rFonts w:ascii="Arial" w:cs="Arial" w:eastAsia="Arial" w:hAnsi="Arial"/>
          <w:sz w:val="13"/>
          <w:szCs w:val="13"/>
          <w:color w:val="auto"/>
        </w:rPr>
        <w:t>The number of holders of record of our Class A Stock and Class B Stock in 2013 was approximately 3,500 and 300, respectively. On March 6, 2014, the closing price per share of our Class A Stock was $7.54 and the closing price per share of our Class B Stock was $10.23.</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Dividends on Common Stock</w:t>
      </w:r>
    </w:p>
    <w:p>
      <w:pPr>
        <w:spacing w:after="0" w:line="157"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We have never declared a cash dividend on our common stock and we have no current plans to declare a dividend; however, we review this matter on an ongoing basis.</w:t>
      </w:r>
    </w:p>
    <w:p>
      <w:pPr>
        <w:spacing w:after="0" w:line="130" w:lineRule="exact"/>
        <w:rPr>
          <w:sz w:val="20"/>
          <w:szCs w:val="20"/>
          <w:color w:val="auto"/>
        </w:rPr>
      </w:pPr>
    </w:p>
    <w:p>
      <w:pPr>
        <w:ind w:left="560" w:right="3400" w:hanging="558"/>
        <w:spacing w:after="0" w:line="444" w:lineRule="auto"/>
        <w:tabs>
          <w:tab w:leader="none" w:pos="226" w:val="left"/>
        </w:tabs>
        <w:numPr>
          <w:ilvl w:val="0"/>
          <w:numId w:val="1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Recent Sales of Unregistered Securities; Use of Proceeds from Registered Securities </w:t>
      </w:r>
      <w:r>
        <w:rPr>
          <w:rFonts w:ascii="Arial" w:cs="Arial" w:eastAsia="Arial" w:hAnsi="Arial"/>
          <w:sz w:val="16"/>
          <w:szCs w:val="16"/>
          <w:color w:val="auto"/>
        </w:rPr>
        <w:t>None.</w:t>
      </w:r>
    </w:p>
    <w:p>
      <w:pPr>
        <w:ind w:left="220" w:hanging="218"/>
        <w:spacing w:after="0"/>
        <w:tabs>
          <w:tab w:leader="none" w:pos="220" w:val="left"/>
        </w:tabs>
        <w:numPr>
          <w:ilvl w:val="0"/>
          <w:numId w:val="1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Purchases of Equity Securities by the Issuer and Affiliated Purchasers</w:t>
      </w:r>
    </w:p>
    <w:p>
      <w:pPr>
        <w:spacing w:after="0" w:line="172"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During 2011, we purchased 172,300 of Class A Nonvoting shares on the open market for $747,000. No shares were purchased during either 2013 or 2012.</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440" w:right="1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Item 6 – Selected Financial Data</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2013 (the “2013 Annual Report”), and the related notes to the consolidated financial statements (dollars in thousands, except per share amounts).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20" w:type="dxa"/>
            <w:vAlign w:val="bottom"/>
            <w:gridSpan w:val="5"/>
          </w:tcPr>
          <w:p>
            <w:pPr>
              <w:spacing w:after="0"/>
              <w:rPr>
                <w:sz w:val="20"/>
                <w:szCs w:val="20"/>
                <w:color w:val="auto"/>
              </w:rPr>
            </w:pPr>
            <w:r>
              <w:rPr>
                <w:rFonts w:ascii="Arial" w:cs="Arial" w:eastAsia="Arial" w:hAnsi="Arial"/>
                <w:sz w:val="13"/>
                <w:szCs w:val="13"/>
                <w:b w:val="1"/>
                <w:bCs w:val="1"/>
                <w:color w:val="auto"/>
                <w:w w:val="88"/>
              </w:rPr>
              <w:t>At or for the Year Ended December 31,</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2013</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2011</w:t>
            </w:r>
          </w:p>
        </w:tc>
        <w:tc>
          <w:tcPr>
            <w:tcW w:w="46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w w:val="89"/>
              </w:rPr>
              <w:t>2010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2009</w:t>
            </w:r>
          </w:p>
        </w:tc>
      </w:tr>
      <w:tr>
        <w:trPr>
          <w:trHeight w:val="177"/>
        </w:trPr>
        <w:tc>
          <w:tcPr>
            <w:tcW w:w="3260" w:type="dxa"/>
            <w:vAlign w:val="bottom"/>
          </w:tcPr>
          <w:p>
            <w:pPr>
              <w:spacing w:after="0"/>
              <w:rPr>
                <w:sz w:val="20"/>
                <w:szCs w:val="20"/>
                <w:color w:val="auto"/>
              </w:rPr>
            </w:pPr>
            <w:r>
              <w:rPr>
                <w:rFonts w:ascii="Arial" w:cs="Arial" w:eastAsia="Arial" w:hAnsi="Arial"/>
                <w:sz w:val="13"/>
                <w:szCs w:val="13"/>
                <w:color w:val="auto"/>
              </w:rPr>
              <w:t>Revenue</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258,221</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254,430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244,979</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229,322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216,740</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Operating income</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20,935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19,127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18,178</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13,069</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13,910</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Income (loss) from discontinued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(405)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1,888</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Net income (loss)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9,145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(1,406)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10,896</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(12,034)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6,482</w:t>
            </w:r>
          </w:p>
        </w:tc>
      </w:tr>
      <w:tr>
        <w:trPr>
          <w:trHeight w:val="183"/>
        </w:trPr>
        <w:tc>
          <w:tcPr>
            <w:tcW w:w="3260" w:type="dxa"/>
            <w:vAlign w:val="bottom"/>
          </w:tcPr>
          <w:p>
            <w:pPr>
              <w:spacing w:after="0"/>
              <w:rPr>
                <w:sz w:val="20"/>
                <w:szCs w:val="20"/>
                <w:color w:val="auto"/>
              </w:rPr>
            </w:pPr>
            <w:r>
              <w:rPr>
                <w:rFonts w:ascii="Arial" w:cs="Arial" w:eastAsia="Arial" w:hAnsi="Arial"/>
                <w:sz w:val="13"/>
                <w:szCs w:val="13"/>
                <w:color w:val="auto"/>
                <w:w w:val="95"/>
              </w:rPr>
              <w:t>Net income (loss) attributable to Reading International, Inc.</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8"/>
        </w:trPr>
        <w:tc>
          <w:tcPr>
            <w:tcW w:w="3260" w:type="dxa"/>
            <w:vAlign w:val="bottom"/>
          </w:tcPr>
          <w:p>
            <w:pPr>
              <w:spacing w:after="0"/>
              <w:rPr>
                <w:sz w:val="20"/>
                <w:szCs w:val="20"/>
                <w:color w:val="auto"/>
              </w:rPr>
            </w:pPr>
            <w:r>
              <w:rPr>
                <w:rFonts w:ascii="Arial" w:cs="Arial" w:eastAsia="Arial" w:hAnsi="Arial"/>
                <w:sz w:val="13"/>
                <w:szCs w:val="13"/>
                <w:color w:val="auto"/>
              </w:rPr>
              <w:t>shareholders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9,041</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(914)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9,956</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(12,650)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6,094</w:t>
            </w:r>
          </w:p>
        </w:tc>
      </w:tr>
      <w:tr>
        <w:trPr>
          <w:trHeight w:val="435"/>
        </w:trPr>
        <w:tc>
          <w:tcPr>
            <w:tcW w:w="3260" w:type="dxa"/>
            <w:vAlign w:val="bottom"/>
          </w:tcPr>
          <w:p>
            <w:pPr>
              <w:spacing w:after="0"/>
              <w:rPr>
                <w:sz w:val="20"/>
                <w:szCs w:val="20"/>
                <w:color w:val="auto"/>
              </w:rPr>
            </w:pPr>
            <w:r>
              <w:rPr>
                <w:rFonts w:ascii="Arial" w:cs="Arial" w:eastAsia="Arial" w:hAnsi="Arial"/>
                <w:sz w:val="13"/>
                <w:szCs w:val="13"/>
                <w:color w:val="auto"/>
              </w:rPr>
              <w:t>Basic earnings (loss) per share – continuing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0.39</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(0.02)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0.36</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(0.56)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0.27</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w w:val="97"/>
              </w:rPr>
              <w:t>Basic earnings (loss) per share – discontinued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(0.02)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0.08</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Basic earnings (loss) per share</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0.39</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(0.04)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0.44</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(0.56)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0.27</w:t>
            </w:r>
          </w:p>
        </w:tc>
      </w:tr>
      <w:tr>
        <w:trPr>
          <w:trHeight w:val="341"/>
        </w:trPr>
        <w:tc>
          <w:tcPr>
            <w:tcW w:w="3260" w:type="dxa"/>
            <w:vAlign w:val="bottom"/>
          </w:tcPr>
          <w:p>
            <w:pPr>
              <w:spacing w:after="0"/>
              <w:rPr>
                <w:sz w:val="20"/>
                <w:szCs w:val="20"/>
                <w:color w:val="auto"/>
              </w:rPr>
            </w:pPr>
            <w:r>
              <w:rPr>
                <w:rFonts w:ascii="Arial" w:cs="Arial" w:eastAsia="Arial" w:hAnsi="Arial"/>
                <w:sz w:val="13"/>
                <w:szCs w:val="13"/>
                <w:color w:val="auto"/>
                <w:w w:val="99"/>
              </w:rPr>
              <w:t>Diluted earnings (loss) per share – continuing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0.38</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(0.02)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0.35</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(0.56)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0.27</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w w:val="95"/>
              </w:rPr>
              <w:t>Diluted earnings (loss) per share – discontinued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(0.02)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0.08</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Diluted earnings (loss) per share</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0.38</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(0.04)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0.43</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(0.56)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0.27</w:t>
            </w:r>
          </w:p>
        </w:tc>
      </w:tr>
      <w:tr>
        <w:trPr>
          <w:trHeight w:val="270"/>
        </w:trPr>
        <w:tc>
          <w:tcPr>
            <w:tcW w:w="3260" w:type="dxa"/>
            <w:vAlign w:val="bottom"/>
          </w:tcPr>
          <w:p>
            <w:pPr>
              <w:spacing w:after="0"/>
              <w:rPr>
                <w:sz w:val="20"/>
                <w:szCs w:val="20"/>
                <w:color w:val="auto"/>
              </w:rPr>
            </w:pPr>
            <w:r>
              <w:rPr>
                <w:rFonts w:ascii="Arial" w:cs="Arial" w:eastAsia="Arial" w:hAnsi="Arial"/>
                <w:sz w:val="13"/>
                <w:szCs w:val="13"/>
                <w:color w:val="auto"/>
              </w:rPr>
              <w:t>Other Information:</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Shares outstanding</w:t>
            </w:r>
          </w:p>
        </w:tc>
        <w:tc>
          <w:tcPr>
            <w:tcW w:w="3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23,083,265</w:t>
            </w:r>
          </w:p>
        </w:tc>
        <w:tc>
          <w:tcPr>
            <w:tcW w:w="320" w:type="dxa"/>
            <w:vAlign w:val="bottom"/>
          </w:tcPr>
          <w:p>
            <w:pPr>
              <w:spacing w:after="0"/>
              <w:rPr>
                <w:sz w:val="15"/>
                <w:szCs w:val="15"/>
                <w:color w:val="auto"/>
              </w:rPr>
            </w:pP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23,083,265</w:t>
            </w:r>
          </w:p>
        </w:tc>
        <w:tc>
          <w:tcPr>
            <w:tcW w:w="3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22,806,838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w w:val="89"/>
              </w:rPr>
              <w:t>22,804,313</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22,588,403</w:t>
            </w:r>
          </w:p>
        </w:tc>
      </w:tr>
      <w:tr>
        <w:trPr>
          <w:trHeight w:val="341"/>
        </w:trPr>
        <w:tc>
          <w:tcPr>
            <w:tcW w:w="3260" w:type="dxa"/>
            <w:vAlign w:val="bottom"/>
          </w:tcPr>
          <w:p>
            <w:pPr>
              <w:spacing w:after="0"/>
              <w:rPr>
                <w:sz w:val="20"/>
                <w:szCs w:val="20"/>
                <w:color w:val="auto"/>
              </w:rPr>
            </w:pPr>
            <w:r>
              <w:rPr>
                <w:rFonts w:ascii="Arial" w:cs="Arial" w:eastAsia="Arial" w:hAnsi="Arial"/>
                <w:sz w:val="13"/>
                <w:szCs w:val="13"/>
                <w:color w:val="auto"/>
              </w:rPr>
              <w:t>Weighted average number of shares outstanding–basic</w:t>
            </w:r>
          </w:p>
        </w:tc>
        <w:tc>
          <w:tcPr>
            <w:tcW w:w="3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23,348,003</w:t>
            </w:r>
          </w:p>
        </w:tc>
        <w:tc>
          <w:tcPr>
            <w:tcW w:w="320" w:type="dxa"/>
            <w:vAlign w:val="bottom"/>
          </w:tcPr>
          <w:p>
            <w:pPr>
              <w:spacing w:after="0"/>
              <w:rPr>
                <w:sz w:val="24"/>
                <w:szCs w:val="24"/>
                <w:color w:val="auto"/>
              </w:rPr>
            </w:pP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23,028,596</w:t>
            </w:r>
          </w:p>
        </w:tc>
        <w:tc>
          <w:tcPr>
            <w:tcW w:w="3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22,764,666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w w:val="89"/>
              </w:rPr>
              <w:t>22,781,392</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22,580,942</w:t>
            </w:r>
          </w:p>
        </w:tc>
      </w:tr>
      <w:tr>
        <w:trPr>
          <w:trHeight w:val="341"/>
        </w:trPr>
        <w:tc>
          <w:tcPr>
            <w:tcW w:w="3260" w:type="dxa"/>
            <w:vAlign w:val="bottom"/>
          </w:tcPr>
          <w:p>
            <w:pPr>
              <w:spacing w:after="0"/>
              <w:rPr>
                <w:sz w:val="20"/>
                <w:szCs w:val="20"/>
                <w:color w:val="auto"/>
              </w:rPr>
            </w:pPr>
            <w:r>
              <w:rPr>
                <w:rFonts w:ascii="Arial" w:cs="Arial" w:eastAsia="Arial" w:hAnsi="Arial"/>
                <w:sz w:val="13"/>
                <w:szCs w:val="13"/>
                <w:color w:val="auto"/>
                <w:w w:val="99"/>
              </w:rPr>
              <w:t>Weighted average number of shares outstanding–diluted</w:t>
            </w:r>
          </w:p>
        </w:tc>
        <w:tc>
          <w:tcPr>
            <w:tcW w:w="3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23,520,271</w:t>
            </w:r>
          </w:p>
        </w:tc>
        <w:tc>
          <w:tcPr>
            <w:tcW w:w="320" w:type="dxa"/>
            <w:vAlign w:val="bottom"/>
          </w:tcPr>
          <w:p>
            <w:pPr>
              <w:spacing w:after="0"/>
              <w:rPr>
                <w:sz w:val="24"/>
                <w:szCs w:val="24"/>
                <w:color w:val="auto"/>
              </w:rPr>
            </w:pP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23,028,596</w:t>
            </w:r>
          </w:p>
        </w:tc>
        <w:tc>
          <w:tcPr>
            <w:tcW w:w="3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22,993,135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w w:val="89"/>
              </w:rPr>
              <w:t>22,781,392</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22,767,735</w:t>
            </w:r>
          </w:p>
        </w:tc>
      </w:tr>
      <w:tr>
        <w:trPr>
          <w:trHeight w:val="270"/>
        </w:trPr>
        <w:tc>
          <w:tcPr>
            <w:tcW w:w="3260" w:type="dxa"/>
            <w:vAlign w:val="bottom"/>
          </w:tcPr>
          <w:p>
            <w:pPr>
              <w:spacing w:after="0"/>
              <w:rPr>
                <w:sz w:val="20"/>
                <w:szCs w:val="20"/>
                <w:color w:val="auto"/>
              </w:rPr>
            </w:pPr>
            <w:r>
              <w:rPr>
                <w:rFonts w:ascii="Arial" w:cs="Arial" w:eastAsia="Arial" w:hAnsi="Arial"/>
                <w:sz w:val="13"/>
                <w:szCs w:val="13"/>
                <w:color w:val="auto"/>
              </w:rPr>
              <w:t>Total assets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386,807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428,588</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430,764</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430,349</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406,417</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Total debt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168,460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196,597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209,614</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228,821</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226,993</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Working capital (deficit)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(71,794)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(21,415)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(12,844)</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(57,634)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(16,229)</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Stockholders’ equity</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121,747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130,954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124,987</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112,639</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110,263</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EBIT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24,020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20,416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18,664</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13,900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22,618</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15,197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16,049</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16,595</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15,563</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15,034</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Add: Adjustments for discontinued operations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335</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365</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351</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134</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EBITDA</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39,217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36,800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35,624</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29,814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37,786</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Debt to EBITDA</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5.34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5.88</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7.67</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6.01</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Capital expenditure (including acquisitions)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20,082</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13,723</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9,376</w:t>
            </w:r>
          </w:p>
        </w:tc>
        <w:tc>
          <w:tcPr>
            <w:tcW w:w="4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19,371</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5,686</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Number of employees at 12/31</w:t>
            </w:r>
          </w:p>
        </w:tc>
        <w:tc>
          <w:tcPr>
            <w:tcW w:w="3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2,494</w:t>
            </w:r>
          </w:p>
        </w:tc>
        <w:tc>
          <w:tcPr>
            <w:tcW w:w="320" w:type="dxa"/>
            <w:vAlign w:val="bottom"/>
          </w:tcPr>
          <w:p>
            <w:pPr>
              <w:spacing w:after="0"/>
              <w:rPr>
                <w:sz w:val="15"/>
                <w:szCs w:val="15"/>
                <w:color w:val="auto"/>
              </w:rPr>
            </w:pP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2,412</w:t>
            </w:r>
          </w:p>
        </w:tc>
        <w:tc>
          <w:tcPr>
            <w:tcW w:w="3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2,263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2,109</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2,207</w:t>
            </w:r>
          </w:p>
        </w:tc>
      </w:tr>
    </w:tbl>
    <w:p>
      <w:pPr>
        <w:spacing w:after="0" w:line="163"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spacing w:after="0" w:line="87" w:lineRule="exact"/>
        <w:rPr>
          <w:sz w:val="20"/>
          <w:szCs w:val="20"/>
          <w:color w:val="auto"/>
        </w:rPr>
      </w:pPr>
    </w:p>
    <w:p>
      <w:pPr>
        <w:jc w:val="both"/>
        <w:ind w:left="340" w:hanging="46"/>
        <w:spacing w:after="0" w:line="252" w:lineRule="auto"/>
        <w:rPr>
          <w:sz w:val="20"/>
          <w:szCs w:val="20"/>
          <w:color w:val="auto"/>
        </w:rPr>
      </w:pPr>
      <w:r>
        <w:rPr>
          <w:rFonts w:ascii="Arial" w:cs="Arial" w:eastAsia="Arial" w:hAnsi="Arial"/>
          <w:sz w:val="16"/>
          <w:szCs w:val="16"/>
          <w:color w:val="auto"/>
        </w:rPr>
        <w:t>·since we operate in multiple tax jurisdictions, we find EBIT removes the impact of the varying tax rates and tax regimes in the jurisdictions in which we operate.</w:t>
      </w:r>
    </w:p>
    <w:p>
      <w:pPr>
        <w:spacing w:after="0" w:line="1"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·in addition, we find EBIT useful as a financial measure that removes the impact from our effective tax rate of factors not directly related to our business operations, such as, whether we have acquired operating assets by purchasing those assets directly, or indirectly by purchasing the stock of a company that might hold such operating assets.</w:t>
      </w:r>
    </w:p>
    <w:p>
      <w:pPr>
        <w:jc w:val="both"/>
        <w:ind w:left="340" w:hanging="46"/>
        <w:spacing w:after="0" w:line="250" w:lineRule="auto"/>
        <w:rPr>
          <w:sz w:val="20"/>
          <w:szCs w:val="20"/>
          <w:color w:val="auto"/>
        </w:rPr>
      </w:pPr>
      <w:r>
        <w:rPr>
          <w:rFonts w:ascii="Arial" w:cs="Arial" w:eastAsia="Arial" w:hAnsi="Arial"/>
          <w:sz w:val="16"/>
          <w:szCs w:val="16"/>
          <w:color w:val="auto"/>
        </w:rPr>
        <w:t>·the use of EBIT as a financial measure also (i) removes the impact of tax timing differences which may vary from time to time and from jurisdiction to jurisdiction, (ii) allows us to compare our performance to</w:t>
      </w: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29" w:name="page30"/>
    <w:bookmarkEnd w:id="29"/>
    <w:p>
      <w:pPr>
        <w:ind w:left="560"/>
        <w:spacing w:after="0" w:line="252" w:lineRule="auto"/>
        <w:rPr>
          <w:sz w:val="20"/>
          <w:szCs w:val="20"/>
          <w:color w:val="auto"/>
        </w:rPr>
      </w:pPr>
      <w:r>
        <w:rPr>
          <w:rFonts w:ascii="Arial" w:cs="Arial" w:eastAsia="Arial" w:hAnsi="Arial"/>
          <w:sz w:val="16"/>
          <w:szCs w:val="16"/>
          <w:color w:val="auto"/>
        </w:rPr>
        <w:t>that achieved by other companies, and (iii) is useful as a financial measure that removes the impact of our historically significant net loss carry-forwards.</w:t>
      </w:r>
    </w:p>
    <w:p>
      <w:pPr>
        <w:spacing w:after="0" w:line="1" w:lineRule="exact"/>
        <w:rPr>
          <w:sz w:val="20"/>
          <w:szCs w:val="20"/>
          <w:color w:val="auto"/>
        </w:rPr>
      </w:pPr>
    </w:p>
    <w:p>
      <w:pPr>
        <w:ind w:left="340" w:hanging="46"/>
        <w:spacing w:after="0" w:line="250" w:lineRule="auto"/>
        <w:rPr>
          <w:sz w:val="20"/>
          <w:szCs w:val="20"/>
          <w:color w:val="auto"/>
        </w:rPr>
      </w:pPr>
      <w:r>
        <w:rPr>
          <w:rFonts w:ascii="Arial" w:cs="Arial" w:eastAsia="Arial" w:hAnsi="Arial"/>
          <w:sz w:val="16"/>
          <w:szCs w:val="16"/>
          <w:color w:val="auto"/>
        </w:rPr>
        <w:t>·the elimination of net interest expense helps us to compare our operating performance to those companies that may have more or less debt than we do.</w:t>
      </w:r>
    </w:p>
    <w:p>
      <w:pPr>
        <w:spacing w:after="0" w:line="134"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spacing w:after="0" w:line="125" w:lineRule="exact"/>
        <w:rPr>
          <w:sz w:val="20"/>
          <w:szCs w:val="20"/>
          <w:color w:val="auto"/>
        </w:rPr>
      </w:pPr>
    </w:p>
    <w:p>
      <w:pPr>
        <w:jc w:val="both"/>
        <w:ind w:left="340" w:hanging="46"/>
        <w:spacing w:after="0" w:line="265" w:lineRule="auto"/>
        <w:rPr>
          <w:sz w:val="20"/>
          <w:szCs w:val="20"/>
          <w:color w:val="auto"/>
        </w:rPr>
      </w:pPr>
      <w:r>
        <w:rPr>
          <w:rFonts w:ascii="Arial" w:cs="Arial" w:eastAsia="Arial" w:hAnsi="Arial"/>
          <w:sz w:val="15"/>
          <w:szCs w:val="15"/>
          <w:color w:val="auto"/>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p>
      <w:pPr>
        <w:spacing w:after="0" w:line="1" w:lineRule="exact"/>
        <w:rPr>
          <w:sz w:val="20"/>
          <w:szCs w:val="20"/>
          <w:color w:val="auto"/>
        </w:rPr>
      </w:pPr>
    </w:p>
    <w:p>
      <w:pPr>
        <w:jc w:val="both"/>
        <w:ind w:left="340" w:hanging="46"/>
        <w:spacing w:after="0" w:line="247" w:lineRule="auto"/>
        <w:rPr>
          <w:sz w:val="20"/>
          <w:szCs w:val="20"/>
          <w:color w:val="auto"/>
        </w:rPr>
      </w:pPr>
      <w:r>
        <w:rPr>
          <w:rFonts w:ascii="Arial" w:cs="Arial" w:eastAsia="Arial" w:hAnsi="Arial"/>
          <w:sz w:val="16"/>
          <w:szCs w:val="16"/>
          <w:color w:val="auto"/>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p>
      <w:pPr>
        <w:spacing w:after="0" w:line="137"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expect that investors may use EBITDA to judge our ability to generate cash, as a basis of comparison to other companies engaged in the cinema exhibition and real estate businesses and as a basis to value our company against such other companies.</w:t>
      </w:r>
    </w:p>
    <w:p>
      <w:pPr>
        <w:spacing w:after="0" w:line="99"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 to time as described in more detail in this Annual Report on Form 10-K.</w:t>
      </w:r>
    </w:p>
    <w:p>
      <w:pPr>
        <w:spacing w:after="0" w:line="10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EBIT and EBITDA also fail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be ultimately less valuable than a company that realizes the same amount of taxable earnings in a low tax jurisdiction. EBITDA fails to take into account the cost of depreciation and amortization and the fact that assets will eventually wear out and have to be replaced.</w:t>
      </w:r>
    </w:p>
    <w:p>
      <w:pPr>
        <w:spacing w:after="0" w:line="13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EBITDA, as calculated by us, may not be comparable to similarly titled measures reported by other companies. A reconciliation of net income (loss) to EBIT and EBITDA is presented below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2013</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2009</w:t>
            </w:r>
          </w:p>
        </w:tc>
      </w:tr>
      <w:tr>
        <w:trPr>
          <w:trHeight w:val="184"/>
        </w:trPr>
        <w:tc>
          <w:tcPr>
            <w:tcW w:w="3260" w:type="dxa"/>
            <w:vAlign w:val="bottom"/>
          </w:tcPr>
          <w:p>
            <w:pPr>
              <w:spacing w:after="0"/>
              <w:rPr>
                <w:sz w:val="20"/>
                <w:szCs w:val="20"/>
                <w:color w:val="auto"/>
              </w:rPr>
            </w:pPr>
            <w:r>
              <w:rPr>
                <w:rFonts w:ascii="Arial" w:cs="Arial" w:eastAsia="Arial" w:hAnsi="Arial"/>
                <w:sz w:val="13"/>
                <w:szCs w:val="13"/>
                <w:color w:val="auto"/>
                <w:w w:val="95"/>
              </w:rPr>
              <w:t>Net income (loss) attributable to Reading International, Inc.</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8"/>
        </w:trPr>
        <w:tc>
          <w:tcPr>
            <w:tcW w:w="3260" w:type="dxa"/>
            <w:vAlign w:val="bottom"/>
          </w:tcPr>
          <w:p>
            <w:pPr>
              <w:spacing w:after="0"/>
              <w:rPr>
                <w:sz w:val="20"/>
                <w:szCs w:val="20"/>
                <w:color w:val="auto"/>
              </w:rPr>
            </w:pPr>
            <w:r>
              <w:rPr>
                <w:rFonts w:ascii="Arial" w:cs="Arial" w:eastAsia="Arial" w:hAnsi="Arial"/>
                <w:sz w:val="13"/>
                <w:szCs w:val="13"/>
                <w:color w:val="auto"/>
              </w:rPr>
              <w:t>shareholders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9,041</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(914)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9,956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(12,650)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6,094</w:t>
            </w:r>
          </w:p>
        </w:tc>
      </w:tr>
      <w:tr>
        <w:trPr>
          <w:trHeight w:val="176"/>
        </w:trPr>
        <w:tc>
          <w:tcPr>
            <w:tcW w:w="3260" w:type="dxa"/>
            <w:vAlign w:val="bottom"/>
          </w:tcPr>
          <w:p>
            <w:pPr>
              <w:spacing w:after="0"/>
              <w:rPr>
                <w:sz w:val="20"/>
                <w:szCs w:val="20"/>
                <w:color w:val="auto"/>
              </w:rPr>
            </w:pPr>
            <w:r>
              <w:rPr>
                <w:rFonts w:ascii="Arial" w:cs="Arial" w:eastAsia="Arial" w:hAnsi="Arial"/>
                <w:sz w:val="13"/>
                <w:szCs w:val="13"/>
                <w:color w:val="auto"/>
              </w:rPr>
              <w:t>Add: Interest expense, net</w:t>
            </w:r>
          </w:p>
        </w:tc>
        <w:tc>
          <w:tcPr>
            <w:tcW w:w="3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10,037</w:t>
            </w:r>
          </w:p>
        </w:tc>
        <w:tc>
          <w:tcPr>
            <w:tcW w:w="32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16,426</w:t>
            </w:r>
          </w:p>
        </w:tc>
        <w:tc>
          <w:tcPr>
            <w:tcW w:w="3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21,038</w:t>
            </w:r>
          </w:p>
        </w:tc>
        <w:tc>
          <w:tcPr>
            <w:tcW w:w="32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12,286</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14,572</w:t>
            </w:r>
          </w:p>
        </w:tc>
      </w:tr>
      <w:tr>
        <w:trPr>
          <w:trHeight w:val="164"/>
        </w:trPr>
        <w:tc>
          <w:tcPr>
            <w:tcW w:w="3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Add: Income tax (benefit) expense</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4,942</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4,904</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(12,330)</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14,264</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1,952</w:t>
            </w:r>
          </w:p>
        </w:tc>
      </w:tr>
      <w:tr>
        <w:trPr>
          <w:trHeight w:val="149"/>
        </w:trPr>
        <w:tc>
          <w:tcPr>
            <w:tcW w:w="3260" w:type="dxa"/>
            <w:vAlign w:val="bottom"/>
          </w:tcPr>
          <w:p>
            <w:pPr>
              <w:spacing w:after="0"/>
              <w:rPr>
                <w:sz w:val="20"/>
                <w:szCs w:val="20"/>
                <w:color w:val="auto"/>
              </w:rPr>
            </w:pPr>
            <w:r>
              <w:rPr>
                <w:rFonts w:ascii="Arial" w:cs="Arial" w:eastAsia="Arial" w:hAnsi="Arial"/>
                <w:sz w:val="13"/>
                <w:szCs w:val="13"/>
                <w:color w:val="auto"/>
              </w:rPr>
              <w:t>EBIT</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24,020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20,416</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18,664</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13,900</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22,618</w:t>
            </w:r>
          </w:p>
        </w:tc>
      </w:tr>
      <w:tr>
        <w:trPr>
          <w:trHeight w:val="172"/>
        </w:trPr>
        <w:tc>
          <w:tcPr>
            <w:tcW w:w="3260" w:type="dxa"/>
            <w:vAlign w:val="bottom"/>
          </w:tcPr>
          <w:p>
            <w:pPr>
              <w:spacing w:after="0"/>
              <w:rPr>
                <w:sz w:val="20"/>
                <w:szCs w:val="20"/>
                <w:color w:val="auto"/>
              </w:rPr>
            </w:pPr>
            <w:r>
              <w:rPr>
                <w:rFonts w:ascii="Arial" w:cs="Arial" w:eastAsia="Arial" w:hAnsi="Arial"/>
                <w:sz w:val="13"/>
                <w:szCs w:val="13"/>
                <w:color w:val="auto"/>
              </w:rPr>
              <w:t>Add: Depreciation and amortization</w:t>
            </w:r>
          </w:p>
        </w:tc>
        <w:tc>
          <w:tcPr>
            <w:tcW w:w="3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15,197</w:t>
            </w:r>
          </w:p>
        </w:tc>
        <w:tc>
          <w:tcPr>
            <w:tcW w:w="32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16,049</w:t>
            </w:r>
          </w:p>
        </w:tc>
        <w:tc>
          <w:tcPr>
            <w:tcW w:w="3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16,595</w:t>
            </w:r>
          </w:p>
        </w:tc>
        <w:tc>
          <w:tcPr>
            <w:tcW w:w="3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15,563</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15,034</w:t>
            </w:r>
          </w:p>
        </w:tc>
      </w:tr>
      <w:tr>
        <w:trPr>
          <w:trHeight w:val="164"/>
        </w:trPr>
        <w:tc>
          <w:tcPr>
            <w:tcW w:w="3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Adjustments for discontinued operations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335</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365</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351</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r>
      <w:tr>
        <w:trPr>
          <w:trHeight w:val="148"/>
        </w:trPr>
        <w:tc>
          <w:tcPr>
            <w:tcW w:w="32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EBITDA</w:t>
            </w:r>
          </w:p>
        </w:tc>
        <w:tc>
          <w:tcPr>
            <w:tcW w:w="320" w:type="dxa"/>
            <w:vAlign w:val="bottom"/>
            <w:tcBorders>
              <w:bottom w:val="single" w:sz="8" w:color="auto"/>
            </w:tcBorders>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line="144" w:lineRule="exact"/>
              <w:rPr>
                <w:sz w:val="20"/>
                <w:szCs w:val="20"/>
                <w:color w:val="auto"/>
              </w:rPr>
            </w:pPr>
            <w:r>
              <w:rPr>
                <w:rFonts w:ascii="Arial" w:cs="Arial" w:eastAsia="Arial" w:hAnsi="Arial"/>
                <w:sz w:val="13"/>
                <w:szCs w:val="13"/>
                <w:color w:val="auto"/>
              </w:rPr>
              <w:t>39,217</w:t>
            </w:r>
          </w:p>
        </w:tc>
        <w:tc>
          <w:tcPr>
            <w:tcW w:w="320" w:type="dxa"/>
            <w:vAlign w:val="bottom"/>
            <w:tcBorders>
              <w:bottom w:val="single" w:sz="8" w:color="auto"/>
            </w:tcBorders>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36,800</w:t>
            </w:r>
          </w:p>
        </w:tc>
        <w:tc>
          <w:tcPr>
            <w:tcW w:w="320" w:type="dxa"/>
            <w:vAlign w:val="bottom"/>
            <w:tcBorders>
              <w:bottom w:val="single" w:sz="8" w:color="auto"/>
            </w:tcBorders>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line="144" w:lineRule="exact"/>
              <w:rPr>
                <w:sz w:val="20"/>
                <w:szCs w:val="20"/>
                <w:color w:val="auto"/>
              </w:rPr>
            </w:pPr>
            <w:r>
              <w:rPr>
                <w:rFonts w:ascii="Arial" w:cs="Arial" w:eastAsia="Arial" w:hAnsi="Arial"/>
                <w:sz w:val="13"/>
                <w:szCs w:val="13"/>
                <w:color w:val="auto"/>
              </w:rPr>
              <w:t>35,624</w:t>
            </w:r>
          </w:p>
        </w:tc>
        <w:tc>
          <w:tcPr>
            <w:tcW w:w="320" w:type="dxa"/>
            <w:vAlign w:val="bottom"/>
            <w:tcBorders>
              <w:bottom w:val="single" w:sz="8" w:color="auto"/>
            </w:tcBorders>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29,814</w:t>
            </w:r>
          </w:p>
        </w:tc>
        <w:tc>
          <w:tcPr>
            <w:tcW w:w="320" w:type="dxa"/>
            <w:vAlign w:val="bottom"/>
            <w:tcBorders>
              <w:bottom w:val="single" w:sz="8" w:color="auto"/>
            </w:tcBorders>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37,786</w:t>
            </w: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auto"/>
        </w:rPr>
        <w:t>Item 7 – Management’s Discussions and Analysis of Financial Condition and Results of Operations</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following review should be read in conjunction with the consolidated financial statements and related notes included in this 2013 Annual Report. Historical results and percentage relationships do not necessarily indicate operating results for any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are an internationally diversified company principally focused on the development, ownership, and operation of entertainment and real property assets in the United States, Australia, and New Zealand. Currently, we operate in two business segments: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Cinema Exhibition, through our 56 multiplex theaters, and</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 Estate, including investment, development, and the rental of retail, commercial and live theater assets.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believe that these two business segments complement one another, as the comparatively consistent cash flows generated by our cinema operations can be used to fund new cinema business opportunities and the front-end cash demands of our real estate investment and development business.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manage our worldwide cinema exhibition businesses under various different brands: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US, under the Reading, Angelika Film Center, Consolidated Amusements, and City Cinemas brands;</w:t>
      </w:r>
    </w:p>
    <w:p>
      <w:pPr>
        <w:spacing w:after="0" w:line="16" w:lineRule="exact"/>
        <w:rPr>
          <w:sz w:val="20"/>
          <w:szCs w:val="20"/>
          <w:color w:val="auto"/>
        </w:rPr>
      </w:pPr>
    </w:p>
    <w:p>
      <w:pPr>
        <w:ind w:left="440" w:hanging="157"/>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Australia, under the Reading brand; and</w:t>
      </w:r>
    </w:p>
    <w:p>
      <w:pPr>
        <w:spacing w:after="0" w:line="3" w:lineRule="exact"/>
        <w:rPr>
          <w:rFonts w:ascii="Arial" w:cs="Arial" w:eastAsia="Arial" w:hAnsi="Arial"/>
          <w:sz w:val="16"/>
          <w:szCs w:val="16"/>
          <w:color w:val="auto"/>
        </w:rPr>
      </w:pPr>
    </w:p>
    <w:p>
      <w:pPr>
        <w:ind w:left="400" w:hanging="117"/>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New Zealand, under the Reading and Rialto brands.</w:t>
      </w:r>
    </w:p>
    <w:p>
      <w:pPr>
        <w:spacing w:after="0" w:line="157" w:lineRule="exact"/>
        <w:rPr>
          <w:sz w:val="20"/>
          <w:szCs w:val="20"/>
          <w:color w:val="auto"/>
        </w:rPr>
      </w:pPr>
    </w:p>
    <w:p>
      <w:pPr>
        <w:jc w:val="both"/>
        <w:ind w:firstLine="564"/>
        <w:spacing w:after="0" w:line="264" w:lineRule="auto"/>
        <w:rPr>
          <w:sz w:val="20"/>
          <w:szCs w:val="20"/>
          <w:color w:val="auto"/>
        </w:rPr>
      </w:pPr>
      <w:r>
        <w:rPr>
          <w:rFonts w:ascii="Arial" w:cs="Arial" w:eastAsia="Arial" w:hAnsi="Arial"/>
          <w:sz w:val="15"/>
          <w:szCs w:val="15"/>
          <w:color w:val="auto"/>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Since we believe the cinema exhibition business to be a mature business with most markets either adequately screened or over-screened, we see growth in our cinema business coming principally from the enhancement of our current cinemas, the development in select markets of specialty cinemas, and the opportunistic acquisition of already existing cinemas rather than from the development of new conventional cinemas. From time to time, we invest in the securities of other companies, where we believe the business or assets of those companies to be attractive or to offer synergies to our existing entertainment and real estate businesses. In the current environment, we intend to focus on the development and redevelopment of our existing assets (particularly our New York assets and our Angelika Film Center chain), as well as to continue to be opportunistic in identifying and endeavoring to acquire undervalued assets, particularly assets with proven cash flow and which we believe to be resistant to current recessionary trends.</w:t>
      </w:r>
    </w:p>
    <w:p>
      <w:pPr>
        <w:spacing w:after="0" w:line="131"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 generating cinema operations and our cash 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Climate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 General</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After years of uncertainty as to the future of digital exhibition and the impact of this technology on cinema exhibition, it became clear in 2012 that the industry must go digital. We have now completed the conversion of all of our U.S., Australia, and New Zealand cinema operations to digital projection. Over several years, we anticipate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6"/>
          <w:szCs w:val="16"/>
          <w:color w:val="auto"/>
        </w:rPr>
        <w:t>that the cost of this conversion will be covered in substantial part by the receipt of Virtual Print Fees paid by film distributors for the use of such digital projection equipment.</w:t>
      </w:r>
    </w:p>
    <w:p>
      <w:pPr>
        <w:spacing w:after="0" w:line="122"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In the case of “in-home” entertainment alternatives, the industry has experienced significant leaps in recent periods in both the quality and affordability of in-home entertainment systems and in the accessibility to entertainment programming through cable, satellite, DVD, and internet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issues are common to both our domestic and international cinema operations.</w:t>
      </w:r>
    </w:p>
    <w:p>
      <w:pPr>
        <w:spacing w:after="0" w:line="104"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Certain new entrants to the cinema exhibition market, as well as certain of our historic competitors, have begun to develop new and to reposition existing cinemas that offer a broader selection of premium seating and food and beverage offerings. These include, in some cases, food service to the seat and the offering of alcoholic beverages. We have for some years offered premium seating and alcoholic beverages in certain of our overseas cinemas. We have also offered café food selections and alcoholic beverages domestically in certain of our Angelika Film Centers. Accordingly, we are experienced in and believe that we can compete effectively with this emerging competition. We are currently reviewing the potential for expanding our offerings at a variety of our domestic cinemas.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 Australia / New Zealand</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The film exhibition industry in Australia and New Zealand is highly concentrated in that Village, Event, and Hoyts (the “Major Exhibitors”) control approximately 65% of the cinema box office in Australia while Event and Hoyts control approximately 55% of New Zealand’s cinema box office. The industry is also vertically integrated in that one of the Major Exhibitors, Roadshow Film Distributors (part of Village), also serves as a distributor of film in Australia and New Zealand for Warner Bros. and New Line.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 shared facility arrangements, and have historically not engaged in head-to-head 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Exhibition – North America</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North America, distributors may find it more commercially appealing to deal with major exhibitors, rather than to deal with independents like us, which tends to compress the supply of screens in a very limited number of markets. This competitive disadvantage has increased significantly in recent periods with the development of mega circuits like Regal and AMC who are able to offer distributors access to screens on a truly nationwide basis, or, on the other hand, to deny access if their desires with respect to film supply are not satisfied.</w:t>
      </w:r>
    </w:p>
    <w:p>
      <w:pPr>
        <w:spacing w:after="0" w:line="8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These consolidations can adversely affect our ability to get film in certain U.S. markets where we compete against major exhibitors. With the restructuring and consolidation undertaken in the industry, and the emergence of increasingly attractive “in-home” entertainment alternatives, strategic cinema acquisitions by our U.S. operation have and can continue to be a way to combat such a competitive disadvantage.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 Australia and New Zealand</w:t>
      </w:r>
    </w:p>
    <w:p>
      <w:pPr>
        <w:spacing w:after="0" w:line="157"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although project commencements have slowed. Once developed, we remain confident that our Australian and New Zealand holdings will continue to provide value and cash flows to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 North America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32" w:name="page33"/>
    <w:bookmarkEnd w:id="32"/>
    <w:p>
      <w:pPr>
        <w:jc w:val="both"/>
        <w:ind w:firstLine="564"/>
        <w:spacing w:after="0" w:line="265" w:lineRule="auto"/>
        <w:rPr>
          <w:sz w:val="20"/>
          <w:szCs w:val="20"/>
          <w:color w:val="auto"/>
        </w:rPr>
      </w:pPr>
      <w:r>
        <w:rPr>
          <w:rFonts w:ascii="Arial" w:cs="Arial" w:eastAsia="Arial" w:hAnsi="Arial"/>
          <w:sz w:val="16"/>
          <w:szCs w:val="16"/>
          <w:color w:val="auto"/>
        </w:rPr>
        <w:t>The commercial real estate market has improved somewhat over the past two years and we have noted some strong increases associated with our real estate located in large urban environments.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Business Segments</w:t>
      </w:r>
    </w:p>
    <w:p>
      <w:pPr>
        <w:spacing w:after="0" w:line="168" w:lineRule="exact"/>
        <w:rPr>
          <w:sz w:val="20"/>
          <w:szCs w:val="20"/>
          <w:color w:val="auto"/>
        </w:rPr>
      </w:pPr>
    </w:p>
    <w:p>
      <w:pPr>
        <w:ind w:left="560"/>
        <w:spacing w:after="0"/>
        <w:tabs>
          <w:tab w:leader="none" w:pos="6860" w:val="left"/>
        </w:tabs>
        <w:rPr>
          <w:sz w:val="20"/>
          <w:szCs w:val="20"/>
          <w:color w:val="auto"/>
        </w:rPr>
      </w:pPr>
      <w:r>
        <w:rPr>
          <w:rFonts w:ascii="Arial" w:cs="Arial" w:eastAsia="Arial" w:hAnsi="Arial"/>
          <w:sz w:val="16"/>
          <w:szCs w:val="16"/>
          <w:color w:val="auto"/>
        </w:rPr>
        <w:t>As indicated above, our two primary business segments are cinema exhibition and real estate.</w:t>
      </w:r>
      <w:r>
        <w:rPr>
          <w:sz w:val="20"/>
          <w:szCs w:val="20"/>
          <w:color w:val="auto"/>
        </w:rPr>
        <w:tab/>
      </w:r>
      <w:r>
        <w:rPr>
          <w:rFonts w:ascii="Arial" w:cs="Arial" w:eastAsia="Arial" w:hAnsi="Arial"/>
          <w:sz w:val="13"/>
          <w:szCs w:val="13"/>
          <w:color w:val="auto"/>
        </w:rPr>
        <w:t>These segments are summarized as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Cinema Exhibition</w:t>
      </w:r>
    </w:p>
    <w:p>
      <w:pPr>
        <w:spacing w:after="0" w:line="157"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 xml:space="preserve">One of our primary businesses consists of the ownership and operation of cinemas. For a breakdown of our current cinema assets that we own and/or manage please see Item 1 – </w:t>
      </w:r>
      <w:r>
        <w:rPr>
          <w:rFonts w:ascii="Arial" w:cs="Arial" w:eastAsia="Arial" w:hAnsi="Arial"/>
          <w:sz w:val="13"/>
          <w:szCs w:val="13"/>
          <w:i w:val="1"/>
          <w:iCs w:val="1"/>
          <w:color w:val="auto"/>
        </w:rPr>
        <w:t>Our Business</w:t>
      </w:r>
      <w:r>
        <w:rPr>
          <w:rFonts w:ascii="Arial" w:cs="Arial" w:eastAsia="Arial" w:hAnsi="Arial"/>
          <w:sz w:val="13"/>
          <w:szCs w:val="13"/>
          <w:color w:val="auto"/>
        </w:rPr>
        <w:t xml:space="preserve"> of this 2013 Annual Report under the subheading “Our Cinema Exhibition Activities.”</w:t>
      </w:r>
    </w:p>
    <w:p>
      <w:pPr>
        <w:spacing w:after="0" w:line="66"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On December 31, 2013, we acquired a 5-screen cinema in the U.S. that we previously had managed since 2003. In 2012, we opened one cinema with 8 screens and closed two cinemas having a total of 8 screens. In 2011, we purchased one 17-screen cinema.</w:t>
      </w:r>
    </w:p>
    <w:p>
      <w:pPr>
        <w:spacing w:after="0" w:line="99"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Our cinema revenue consists of admissions, concessions, and advertising. The cinema operating expense consists of the costs directly attributable to the operation of the cinemas including film rent expense, operating costs, and occupancy costs. Cinema revenue and expense fluctuate with the availability of quality first-run films and the numbers of weeks the first–run films stay in the market.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fiscal 2013, our income operating property consisted of the following:</w:t>
      </w:r>
    </w:p>
    <w:p>
      <w:pPr>
        <w:spacing w:after="0" w:line="157" w:lineRule="exact"/>
        <w:rPr>
          <w:sz w:val="20"/>
          <w:szCs w:val="20"/>
          <w:color w:val="auto"/>
        </w:rPr>
      </w:pPr>
    </w:p>
    <w:p>
      <w:pPr>
        <w:ind w:left="280" w:right="1340"/>
        <w:spacing w:after="0" w:line="252" w:lineRule="auto"/>
        <w:rPr>
          <w:sz w:val="20"/>
          <w:szCs w:val="20"/>
          <w:color w:val="auto"/>
        </w:rPr>
      </w:pPr>
      <w:r>
        <w:rPr>
          <w:rFonts w:ascii="Arial" w:cs="Arial" w:eastAsia="Arial" w:hAnsi="Arial"/>
          <w:sz w:val="16"/>
          <w:szCs w:val="16"/>
          <w:color w:val="auto"/>
        </w:rPr>
        <w:t>·our Belmont, Western Australia ETRC, our Auburn, New South Wales ETRC and our Wellington, New Zealand ETRC; · our Newmarket shopping center in Newmarket, Queensland, a suburb of Brisbane;</w:t>
      </w:r>
    </w:p>
    <w:p>
      <w:pPr>
        <w:spacing w:after="0" w:line="1"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·three single auditorium live theaters in Manhattan (Minetta Lane, Orpheum, and Union Square) and a four auditorium live theater complex in Chicago (The Royal George) and, in the case of the Union Square and the Royal George, their accompanying ancillary retail and commercial tenants;</w:t>
      </w:r>
    </w:p>
    <w:p>
      <w:pPr>
        <w:jc w:val="both"/>
        <w:ind w:left="340" w:hanging="46"/>
        <w:spacing w:after="0" w:line="245" w:lineRule="auto"/>
        <w:rPr>
          <w:sz w:val="20"/>
          <w:szCs w:val="20"/>
          <w:color w:val="auto"/>
        </w:rPr>
      </w:pPr>
      <w:r>
        <w:rPr>
          <w:rFonts w:ascii="Arial" w:cs="Arial" w:eastAsia="Arial" w:hAnsi="Arial"/>
          <w:sz w:val="16"/>
          <w:szCs w:val="16"/>
          <w:color w:val="auto"/>
        </w:rPr>
        <w:t>·a New Zealand commercial property located at Lake Taupo and Australian commercial properties rented to unrelated third parties, to be held for current income and long-term appreciation; and</w:t>
      </w:r>
    </w:p>
    <w:p>
      <w:pPr>
        <w:ind w:left="280"/>
        <w:spacing w:after="0"/>
        <w:rPr>
          <w:sz w:val="20"/>
          <w:szCs w:val="20"/>
          <w:color w:val="auto"/>
        </w:rPr>
      </w:pPr>
      <w:r>
        <w:rPr>
          <w:rFonts w:ascii="Arial" w:cs="Arial" w:eastAsia="Arial" w:hAnsi="Arial"/>
          <w:sz w:val="16"/>
          <w:szCs w:val="16"/>
          <w:color w:val="auto"/>
        </w:rPr>
        <w:t>· the ancillary retail and commercial tenants at some of our non-ETRC cinema properties.</w:t>
      </w:r>
    </w:p>
    <w:p>
      <w:pPr>
        <w:spacing w:after="0" w:line="14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addition, we had various parcels of unimproved real estate held for development in Australia and New Zealand and certain unimproved land in the United States that was used in our historic activities. We also owned an 8,100 square foot commercial building in Melbourne, which serves as our administrative headquarters for Australia and New Zealand, approximately 36% of which is leased to an unrelated third party.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Acquisitions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Assets</w:t>
      </w:r>
    </w:p>
    <w:p>
      <w:pPr>
        <w:spacing w:after="0" w:line="15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On December 31, 2013, we settled a management fee claim that we had against the owner of the Plano, Texas cinema that we had managed since 2003 for a cash receipt of $1.9 million. As part of the settlement, we acquired that entity, and through the purchase of that entity acquired the underlying cinema’s lease and the associated personal property, equipment, and trade fixtures. Because the fair value of the lease, in light of anticipated rent payments, resulted in a lease liability of $320,000 and the acquired net assets, including cash received in connection with the settlement, were valued at $1.7 million, we recorded a net gain on acquisition and settlement of $1.4 million which is included as other income in our statement of operating income for the year ended December 31, 2013. We also acquired in 2013 the 50% interest we did not own in AFC LLC. In August 2011, we purchased the CalOaks Cinema, our largest multi-screened cinema to date, for $4.2 million.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Nonoperating Assets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33" w:name="page34"/>
    <w:bookmarkEnd w:id="33"/>
    <w:p>
      <w:pPr>
        <w:jc w:val="both"/>
        <w:spacing w:after="0" w:line="249" w:lineRule="auto"/>
        <w:rPr>
          <w:sz w:val="20"/>
          <w:szCs w:val="20"/>
          <w:color w:val="auto"/>
        </w:rPr>
      </w:pPr>
      <w:r>
        <w:rPr>
          <w:rFonts w:ascii="Arial" w:cs="Arial" w:eastAsia="Arial" w:hAnsi="Arial"/>
          <w:sz w:val="16"/>
          <w:szCs w:val="16"/>
          <w:color w:val="auto"/>
        </w:rPr>
        <w:t>On January 10, 2012, Shadow View Land and Farming, LLC, a limited liability company owned by our Company, acquired a 202-acre property, zoned for the development of up to 816 single-family residential units, located in the City of Coachella, California. The property was acquired at a foreclosure auction for $5.5 million. The property was acquired as a long-term investment in developable land. Half of the funds used to acquire the land were provided by James J. Cotter, our Chairman, Chief Executive Officer and controlling shareholder. Upon the approval of our Conflicts Committee, these funds were converted into a 50% interest in Shadow View Land and Farming, LLC. We are the managing member of this company.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Disposals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Moonee Ponds Properties – Held for Sale</w:t>
      </w:r>
    </w:p>
    <w:p>
      <w:pPr>
        <w:spacing w:after="0" w:line="157"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In 2013, we entered into a purchase and sale agreement to sell our 3.3-acre properties in Moonee Ponds for AUS$23.0 million which is scheduled to close on April 16, 2015 and is classified as land held for sale on our December 31, 2013 consolidated balance sheet.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Indooroopilly Property</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November 20, 2012, we sold our Indooroopilly property for $12.4 million (AUS$12.0 million). As the book value was $12.5 million (AUS$12.1 million) for this property, we recorded a loss on sale as an impairment expense of $318,000 (AUS$306,000) for the year ended December 31, 2012 which included the cost to sell the property.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Taringa Properties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February 21, 2012, we sold our three properties in the Taringa area of Brisbane, Australia of approximately 1.1 acres for $1.9 million (AUS$1.8 million). Because the net carrying amounts of these properties were greater than the total sale price, we recorded an impairment expense for these properties of $369,000 (AUS$365,000) for the year ended December 31, 2011.</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Elsternwick Cinema</w:t>
      </w:r>
    </w:p>
    <w:p>
      <w:pPr>
        <w:spacing w:after="0" w:line="157"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On April 14, 2011, we sold our 66.7% share of the 5-screen Elsternwick Classic cinema located in Melbourne, Australia to our joint venture partner for $1.9 million (AUS$1.8 million) and recognized a gain on sale of a discontinued operation of $1.7 million (AUS$1.6 million).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and Development Property</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We are engaged in several real estate development projects. For a complete list of these properties with their size, status, and gross book values see Item 2 –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under the heading of “Investment and Development Property.”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Critical Accounting Policies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spacing w:after="0" w:line="142" w:lineRule="exact"/>
        <w:rPr>
          <w:sz w:val="20"/>
          <w:szCs w:val="20"/>
          <w:color w:val="auto"/>
        </w:rPr>
      </w:pPr>
    </w:p>
    <w:p>
      <w:pPr>
        <w:ind w:left="360" w:hanging="77"/>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of long-lived assets, including goodwill and intangible assets;</w:t>
      </w:r>
    </w:p>
    <w:p>
      <w:pPr>
        <w:spacing w:after="0" w:line="15" w:lineRule="exact"/>
        <w:rPr>
          <w:rFonts w:ascii="Arial" w:cs="Arial" w:eastAsia="Arial" w:hAnsi="Arial"/>
          <w:sz w:val="16"/>
          <w:szCs w:val="16"/>
          <w:color w:val="auto"/>
        </w:rPr>
      </w:pPr>
    </w:p>
    <w:p>
      <w:pPr>
        <w:ind w:left="420" w:hanging="137"/>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 valuation allowance and obligations; and</w:t>
      </w:r>
    </w:p>
    <w:p>
      <w:pPr>
        <w:spacing w:after="0" w:line="3" w:lineRule="exact"/>
        <w:rPr>
          <w:rFonts w:ascii="Arial" w:cs="Arial" w:eastAsia="Arial" w:hAnsi="Arial"/>
          <w:sz w:val="16"/>
          <w:szCs w:val="16"/>
          <w:color w:val="auto"/>
        </w:rPr>
      </w:pPr>
    </w:p>
    <w:p>
      <w:pPr>
        <w:ind w:left="460" w:hanging="177"/>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legal and environmental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 including goodwill and intangible assets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34" w:name="page35"/>
    <w:bookmarkEnd w:id="34"/>
    <w:p>
      <w:pPr>
        <w:jc w:val="both"/>
        <w:ind w:firstLine="564"/>
        <w:spacing w:after="0" w:line="321" w:lineRule="auto"/>
        <w:rPr>
          <w:sz w:val="20"/>
          <w:szCs w:val="20"/>
          <w:color w:val="auto"/>
        </w:rPr>
      </w:pPr>
      <w:r>
        <w:rPr>
          <w:rFonts w:ascii="Arial" w:cs="Arial" w:eastAsia="Arial" w:hAnsi="Arial"/>
          <w:sz w:val="13"/>
          <w:szCs w:val="13"/>
          <w:color w:val="auto"/>
        </w:rPr>
        <w:t>Pursuant to FASB ASC 360-35, we review internal management reports on a monthly basis as well as monitoring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undiscounted future cash flows is less than the carrying amount of the asset, then impairment is recognized for the amount by which the carrying value of the asset exceeds its estimated fair value based on an appraisal or a discounted cash flow calculation.</w:t>
      </w:r>
    </w:p>
    <w:p>
      <w:pPr>
        <w:spacing w:after="0" w:line="93"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 xml:space="preserve">For certain non-income producing properties, we obtain appraisals or other evidence to evaluate whether there are impairment indicators for these assets. Based on calculations of current value from appraisals and a sales contract, we recorded impairment losses of $1.5 million and $369,000 relating to certain of our property and cinema locations for the years ended December 31, 2012 and 2011, respectively. No impairment losses were recorded in 2013. For a further explanation of our 2012 impairment losses see below under the heading “Coachella impairment” and see Note 7 – </w:t>
      </w:r>
      <w:r>
        <w:rPr>
          <w:rFonts w:ascii="Arial" w:cs="Arial" w:eastAsia="Arial" w:hAnsi="Arial"/>
          <w:sz w:val="15"/>
          <w:szCs w:val="15"/>
          <w:i w:val="1"/>
          <w:iCs w:val="1"/>
          <w:color w:val="auto"/>
        </w:rPr>
        <w:t>Investment and Development Property</w:t>
      </w:r>
      <w:r>
        <w:rPr>
          <w:rFonts w:ascii="Arial" w:cs="Arial" w:eastAsia="Arial" w:hAnsi="Arial"/>
          <w:sz w:val="15"/>
          <w:szCs w:val="15"/>
          <w:color w:val="auto"/>
        </w:rPr>
        <w:t xml:space="preserve"> to our 2013 Consolidated Financial Statements.</w:t>
      </w:r>
    </w:p>
    <w:p>
      <w:pPr>
        <w:spacing w:after="0" w:line="134"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Pursuant to FASB ASC 350-35, goodwill and intangible assets are evaluated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There was no impairment for the goodwill and intangible assets for the years ended December 31, 2013, 2012, and 2011,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valuation allowance and obligations</w:t>
      </w:r>
    </w:p>
    <w:p>
      <w:pPr>
        <w:spacing w:after="0" w:line="157" w:lineRule="exact"/>
        <w:rPr>
          <w:sz w:val="20"/>
          <w:szCs w:val="20"/>
          <w:color w:val="auto"/>
        </w:rPr>
      </w:pPr>
    </w:p>
    <w:p>
      <w:pPr>
        <w:jc w:val="both"/>
        <w:ind w:firstLine="564"/>
        <w:spacing w:after="0" w:line="314" w:lineRule="auto"/>
        <w:rPr>
          <w:sz w:val="20"/>
          <w:szCs w:val="20"/>
          <w:color w:val="auto"/>
        </w:rPr>
      </w:pPr>
      <w:r>
        <w:rPr>
          <w:rFonts w:ascii="Arial" w:cs="Arial" w:eastAsia="Arial" w:hAnsi="Arial"/>
          <w:sz w:val="13"/>
          <w:szCs w:val="13"/>
          <w:color w:val="auto"/>
        </w:rPr>
        <w:t>We record our estimated future tax benefits and liabilities arising from the temporary differences between the tax bases of assets and liabilities and amounts reported in the accompanying consolidated balance sheets, as well as operating loss carry-forwards. We estimate the recoverability of any tax assets recorded on the balance sheet and provide any necessary allowances as required. As of December 31, 2013, we had recorded approximately $43.8 million of deferred tax assets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$35.0 million resulting in a net deferred tax asset of $8.8 million. The recoverability of deferred tax assets is dependent upon our ability to generate future taxable income. There is no assurance that sufficient future taxable income will be generated to benefit from our tax loss carry-forwards and tax credit carry-forwards.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and environmental obligations</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From time to time, we are involved with claims and lawsuits arising in the ordinary course of our business that may include contractual obligations, insurance claims, tax claims, employment matters, and anti-trust issues, among other matters.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auto"/>
        </w:rPr>
        <w:t>2012 Coachella impairment</w:t>
      </w:r>
    </w:p>
    <w:p>
      <w:pPr>
        <w:spacing w:after="0" w:line="157"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In January 2012, we acquired in a foreclosure auction for $5.5 million a 202-acre property located in Coachella, California zoned for the development of up to 816 single-family residential units. The only other bidder was the holder of the mortgage on the property who bid $5.46 million for the property. At the time of the purchase, we knew, based on our due diligence that we were paying more for the property than would be supported by an appraisal done under the Uniform Standards of Professional Appraisal Practice (“USPAP”). However, the amount that we bid was the lowest price at which we were able to acquire the property from the mortgagor. In valuing the property, we took into account a variety of factors, including the fact that the property is located within the City of Coachella, the state of the land use entitlements, and the fact that the prior owner had invested considerable time and money in obtaining the entitlements from the City of Coachella. Since an independent USPAP appraisal of the property produced an appraised value as of December 2012 at $4.0 million, we wrote down the book value of the property by $1.5 million as of the end of our 2012 fiscal year. As noted below, this property is owned by a limited liability company which is, in turn, 50% owned by Mr. James J. Cotter who, accordingly, shares in any impairment loss to the extent of his ownership interest.</w:t>
      </w:r>
    </w:p>
    <w:p>
      <w:pPr>
        <w:spacing w:after="0" w:line="30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acquired the property as a potentially long-term investment based on the expectation that ready-for-development residential real estate will recover in value. As we are not in the business of developing single family residences, it is anticipated that the property will eventually be sold to a developer of this type of property.</w:t>
      </w:r>
    </w:p>
    <w:p>
      <w:pPr>
        <w:spacing w:after="0" w:line="130"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hold the property in a limited liability company, which we manage. This company is owned 50/50 by ourselves and our Chairman and Chief Executive Officer, James J. Cotter. The opportunity to acquire the property was originally presented to Mr. Cotter in his individual capacity and the transaction was approved by our Conflicts Committee, comprised entirely of independent directors.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currently have two operating segments: Cinema Exhibition and Real Estate. Our cinema exhibition segment includes the operations of our consolidated cinemas. Our real estate segment includes the operating results of our commercial real estate holdings, cinema real estate, live theater real estate, and ETRC’s.</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tables below summarize the results of operations for our principal business segments for the years ended December 31, 2013, 2012, and 2011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2013</w:t>
            </w:r>
          </w:p>
        </w:tc>
        <w:tc>
          <w:tcPr>
            <w:tcW w:w="2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Cinema Exhibition</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auto"/>
              </w:rPr>
              <w:t>Revenue</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239,418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(7,653)</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258,221</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200,859</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10,830</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(7,653)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204,036</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10,741</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4,023</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14,764</w:t>
            </w: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w:t>
            </w:r>
          </w:p>
        </w:tc>
      </w:tr>
      <w:tr>
        <w:trPr>
          <w:trHeight w:val="174"/>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35,504</w:t>
            </w:r>
          </w:p>
        </w:tc>
      </w:tr>
    </w:tbl>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2012</w:t>
            </w:r>
          </w:p>
        </w:tc>
        <w:tc>
          <w:tcPr>
            <w:tcW w:w="2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Cinema Exhibition</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auto"/>
              </w:rPr>
              <w:t>Revenue</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234,703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27,256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(7,529)</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254,430</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198,040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11,163</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(7,529)</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201,674</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11,154</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4,441</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15,595</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2,598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718</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Impairment expense</w:t>
            </w:r>
          </w:p>
        </w:tc>
        <w:tc>
          <w:tcPr>
            <w:tcW w:w="1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r>
      <w:tr>
        <w:trPr>
          <w:trHeight w:val="174"/>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22,911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32,382</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2011</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3"/>
              </w:rPr>
              <w:t>Cinema Exhibition</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168"/>
        </w:trPr>
        <w:tc>
          <w:tcPr>
            <w:tcW w:w="4160" w:type="dxa"/>
            <w:vAlign w:val="bottom"/>
          </w:tcPr>
          <w:p>
            <w:pPr>
              <w:spacing w:after="0"/>
              <w:rPr>
                <w:sz w:val="20"/>
                <w:szCs w:val="20"/>
                <w:color w:val="auto"/>
              </w:rPr>
            </w:pPr>
            <w:r>
              <w:rPr>
                <w:rFonts w:ascii="Arial" w:cs="Arial" w:eastAsia="Arial" w:hAnsi="Arial"/>
                <w:sz w:val="14"/>
                <w:szCs w:val="14"/>
                <w:color w:val="auto"/>
              </w:rPr>
              <w:t>Revenue</w:t>
            </w:r>
          </w:p>
        </w:tc>
        <w:tc>
          <w:tcPr>
            <w:tcW w:w="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225,849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26,562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(7,432)</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244,979</w:t>
            </w: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Operating expense</w:t>
            </w:r>
          </w:p>
        </w:tc>
        <w:tc>
          <w:tcPr>
            <w:tcW w:w="44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189,647</w:t>
            </w: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10,190</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(7,432)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192,405</w:t>
            </w: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11,842</w:t>
            </w: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4,444</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16,286</w:t>
            </w: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44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2,740</w:t>
            </w: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3,386</w:t>
            </w:r>
          </w:p>
        </w:tc>
      </w:tr>
      <w:tr>
        <w:trPr>
          <w:trHeight w:val="182"/>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Impairment expense</w:t>
            </w: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369</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r>
      <w:tr>
        <w:trPr>
          <w:trHeight w:val="174"/>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21,620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10,913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32,533</w:t>
            </w:r>
          </w:p>
        </w:tc>
      </w:tr>
      <w:tr>
        <w:trPr>
          <w:trHeight w:val="422"/>
        </w:trPr>
        <w:tc>
          <w:tcPr>
            <w:tcW w:w="4160" w:type="dxa"/>
            <w:vAlign w:val="bottom"/>
          </w:tcPr>
          <w:p>
            <w:pPr>
              <w:spacing w:after="0"/>
              <w:rPr>
                <w:sz w:val="20"/>
                <w:szCs w:val="20"/>
                <w:color w:val="auto"/>
              </w:rPr>
            </w:pPr>
            <w:r>
              <w:rPr>
                <w:rFonts w:ascii="Arial" w:cs="Arial" w:eastAsia="Arial" w:hAnsi="Arial"/>
                <w:sz w:val="14"/>
                <w:szCs w:val="14"/>
                <w:b w:val="1"/>
                <w:bCs w:val="1"/>
                <w:color w:val="auto"/>
              </w:rPr>
              <w:t>Reconciliation to net income attributable</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2"/>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 Reading International, Inc. shareholders:</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2011</w:t>
            </w:r>
          </w:p>
        </w:tc>
      </w:tr>
      <w:tr>
        <w:trPr>
          <w:trHeight w:val="168"/>
        </w:trPr>
        <w:tc>
          <w:tcPr>
            <w:tcW w:w="4160" w:type="dxa"/>
            <w:vAlign w:val="bottom"/>
          </w:tcPr>
          <w:p>
            <w:pPr>
              <w:spacing w:after="0"/>
              <w:rPr>
                <w:sz w:val="20"/>
                <w:szCs w:val="20"/>
                <w:color w:val="auto"/>
              </w:rPr>
            </w:pPr>
            <w:r>
              <w:rPr>
                <w:rFonts w:ascii="Arial" w:cs="Arial" w:eastAsia="Arial" w:hAnsi="Arial"/>
                <w:sz w:val="14"/>
                <w:szCs w:val="14"/>
                <w:color w:val="auto"/>
              </w:rPr>
              <w:t>Total segment operating income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35,504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32,382</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32,533</w:t>
            </w:r>
          </w:p>
        </w:tc>
      </w:tr>
      <w:tr>
        <w:trPr>
          <w:trHeight w:val="176"/>
        </w:trPr>
        <w:tc>
          <w:tcPr>
            <w:tcW w:w="4160" w:type="dxa"/>
            <w:vAlign w:val="bottom"/>
          </w:tcPr>
          <w:p>
            <w:pPr>
              <w:ind w:left="100"/>
              <w:spacing w:after="0"/>
              <w:rPr>
                <w:sz w:val="20"/>
                <w:szCs w:val="20"/>
                <w:color w:val="auto"/>
              </w:rPr>
            </w:pPr>
            <w:r>
              <w:rPr>
                <w:rFonts w:ascii="Arial" w:cs="Arial" w:eastAsia="Arial" w:hAnsi="Arial"/>
                <w:sz w:val="14"/>
                <w:szCs w:val="14"/>
                <w:color w:val="auto"/>
              </w:rPr>
              <w:t>Non-segment:</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433</w:t>
            </w:r>
          </w:p>
        </w:tc>
        <w:tc>
          <w:tcPr>
            <w:tcW w:w="18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454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182"/>
        </w:trPr>
        <w:tc>
          <w:tcPr>
            <w:tcW w:w="4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 expense</w:t>
            </w: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14,136</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12,801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14,046</w:t>
            </w: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Operating income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20,935</w:t>
            </w:r>
          </w:p>
        </w:tc>
        <w:tc>
          <w:tcPr>
            <w:tcW w:w="180" w:type="dxa"/>
            <w:vAlign w:val="bottom"/>
          </w:tcPr>
          <w:p>
            <w:pPr>
              <w:spacing w:after="0"/>
              <w:rPr>
                <w:sz w:val="14"/>
                <w:szCs w:val="1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19,127</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18,178</w:t>
            </w:r>
          </w:p>
        </w:tc>
      </w:tr>
      <w:tr>
        <w:trPr>
          <w:trHeight w:val="176"/>
        </w:trPr>
        <w:tc>
          <w:tcPr>
            <w:tcW w:w="416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(10,037)</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(16,426)</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(21,038)</w:t>
            </w:r>
          </w:p>
        </w:tc>
      </w:tr>
      <w:tr>
        <w:trPr>
          <w:trHeight w:val="176"/>
        </w:trPr>
        <w:tc>
          <w:tcPr>
            <w:tcW w:w="4160" w:type="dxa"/>
            <w:vAlign w:val="bottom"/>
          </w:tcPr>
          <w:p>
            <w:pPr>
              <w:ind w:left="100"/>
              <w:spacing w:after="0"/>
              <w:rPr>
                <w:sz w:val="20"/>
                <w:szCs w:val="20"/>
                <w:color w:val="auto"/>
              </w:rPr>
            </w:pPr>
            <w:r>
              <w:rPr>
                <w:rFonts w:ascii="Arial" w:cs="Arial" w:eastAsia="Arial" w:hAnsi="Arial"/>
                <w:sz w:val="14"/>
                <w:szCs w:val="14"/>
                <w:color w:val="auto"/>
              </w:rPr>
              <w:t>Other income (loss)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1,876</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1,157</w:t>
            </w:r>
          </w:p>
        </w:tc>
      </w:tr>
      <w:tr>
        <w:trPr>
          <w:trHeight w:val="176"/>
        </w:trPr>
        <w:tc>
          <w:tcPr>
            <w:tcW w:w="4160" w:type="dxa"/>
            <w:vAlign w:val="bottom"/>
          </w:tcPr>
          <w:p>
            <w:pPr>
              <w:ind w:left="100"/>
              <w:spacing w:after="0"/>
              <w:rPr>
                <w:sz w:val="20"/>
                <w:szCs w:val="20"/>
                <w:color w:val="auto"/>
              </w:rPr>
            </w:pPr>
            <w:r>
              <w:rPr>
                <w:rFonts w:ascii="Arial" w:cs="Arial" w:eastAsia="Arial" w:hAnsi="Arial"/>
                <w:sz w:val="14"/>
                <w:szCs w:val="14"/>
                <w:color w:val="auto"/>
              </w:rPr>
              <w:t>Gain (loss) on sale of assets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144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4160" w:type="dxa"/>
            <w:vAlign w:val="bottom"/>
          </w:tcPr>
          <w:p>
            <w:pPr>
              <w:ind w:left="100"/>
              <w:spacing w:after="0"/>
              <w:rPr>
                <w:sz w:val="20"/>
                <w:szCs w:val="20"/>
                <w:color w:val="auto"/>
              </w:rPr>
            </w:pPr>
            <w:r>
              <w:rPr>
                <w:rFonts w:ascii="Arial" w:cs="Arial" w:eastAsia="Arial" w:hAnsi="Arial"/>
                <w:sz w:val="14"/>
                <w:szCs w:val="14"/>
                <w:color w:val="auto"/>
              </w:rPr>
              <w:t>Income tax benefit (expense)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(4,942)</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(4,904)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12,330</w:t>
            </w:r>
          </w:p>
        </w:tc>
      </w:tr>
      <w:tr>
        <w:trPr>
          <w:trHeight w:val="337"/>
        </w:trPr>
        <w:tc>
          <w:tcPr>
            <w:tcW w:w="4160" w:type="dxa"/>
            <w:vAlign w:val="bottom"/>
          </w:tcPr>
          <w:p>
            <w:pPr>
              <w:ind w:left="100"/>
              <w:spacing w:after="0"/>
              <w:rPr>
                <w:sz w:val="20"/>
                <w:szCs w:val="20"/>
                <w:color w:val="auto"/>
              </w:rPr>
            </w:pPr>
            <w:r>
              <w:rPr>
                <w:rFonts w:ascii="Arial" w:cs="Arial" w:eastAsia="Arial" w:hAnsi="Arial"/>
                <w:sz w:val="14"/>
                <w:szCs w:val="14"/>
                <w:color w:val="auto"/>
                <w:w w:val="98"/>
              </w:rPr>
              <w:t>Equity earnings (loss) of unconsolidated joint ventures and entities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1,369</w:t>
            </w:r>
          </w:p>
        </w:tc>
        <w:tc>
          <w:tcPr>
            <w:tcW w:w="18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1,621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(1,552)</w:t>
            </w:r>
          </w:p>
        </w:tc>
      </w:tr>
      <w:tr>
        <w:trPr>
          <w:trHeight w:val="176"/>
        </w:trPr>
        <w:tc>
          <w:tcPr>
            <w:tcW w:w="4160" w:type="dxa"/>
            <w:vAlign w:val="bottom"/>
          </w:tcPr>
          <w:p>
            <w:pPr>
              <w:ind w:left="100"/>
              <w:spacing w:after="0"/>
              <w:rPr>
                <w:sz w:val="20"/>
                <w:szCs w:val="20"/>
                <w:color w:val="auto"/>
              </w:rPr>
            </w:pPr>
            <w:r>
              <w:rPr>
                <w:rFonts w:ascii="Arial" w:cs="Arial" w:eastAsia="Arial" w:hAnsi="Arial"/>
                <w:sz w:val="14"/>
                <w:szCs w:val="14"/>
                <w:color w:val="auto"/>
              </w:rPr>
              <w:t>Income (loss) from discontinued operations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82"/>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Gain (loss) on sale of discontinued operation</w:t>
            </w: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Net income (loss)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9,145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(1,406)</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10,896</w:t>
            </w:r>
          </w:p>
        </w:tc>
      </w:tr>
      <w:tr>
        <w:trPr>
          <w:trHeight w:val="182"/>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(income) loss attributable to noncontrolling interests</w:t>
            </w: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492</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w w:val="97"/>
              </w:rPr>
              <w:t>Net income (loss) attributable to Reading International, Inc. common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8"/>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shareholders</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9,041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Cinema Exhibition Segment</w:t>
      </w:r>
    </w:p>
    <w:p>
      <w:pPr>
        <w:spacing w:after="0" w:line="161" w:lineRule="exact"/>
        <w:rPr>
          <w:sz w:val="20"/>
          <w:szCs w:val="20"/>
          <w:color w:val="auto"/>
        </w:rPr>
      </w:pPr>
    </w:p>
    <w:p>
      <w:pPr>
        <w:jc w:val="both"/>
        <w:ind w:right="20" w:firstLine="564"/>
        <w:spacing w:after="0" w:line="341" w:lineRule="auto"/>
        <w:rPr>
          <w:sz w:val="20"/>
          <w:szCs w:val="20"/>
          <w:color w:val="auto"/>
        </w:rPr>
      </w:pPr>
      <w:r>
        <w:rPr>
          <w:rFonts w:ascii="Arial" w:cs="Arial" w:eastAsia="Arial" w:hAnsi="Arial"/>
          <w:sz w:val="13"/>
          <w:szCs w:val="13"/>
          <w:color w:val="auto"/>
        </w:rPr>
        <w:t>The following tables and discussion that follows detail our operating results for our 2013, 2012, and 2011 cinema exhibition segment (dollars in thousands). All percentages below are expressed as a percent of total revenue, except film rent and advertising cost which is expressed as a percentage of admissions revenue and concession cost which is expressed as a percentage of concessions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20"/>
                <w:szCs w:val="20"/>
                <w:color w:val="auto"/>
              </w:rPr>
            </w:pPr>
            <w:r>
              <w:rPr>
                <w:rFonts w:ascii="Arial" w:cs="Arial" w:eastAsia="Arial" w:hAnsi="Arial"/>
                <w:sz w:val="16"/>
                <w:szCs w:val="16"/>
                <w:b w:val="1"/>
                <w:bCs w:val="1"/>
                <w:color w:val="auto"/>
                <w:w w:val="97"/>
              </w:rPr>
              <w:t>Operating  Income  by  Country  for  the  Year</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80" w:type="dxa"/>
            <w:vAlign w:val="bottom"/>
          </w:tcPr>
          <w:p>
            <w:pPr>
              <w:spacing w:after="0" w:line="175" w:lineRule="exact"/>
              <w:rPr>
                <w:sz w:val="20"/>
                <w:szCs w:val="20"/>
                <w:color w:val="auto"/>
              </w:rPr>
            </w:pPr>
            <w:r>
              <w:rPr>
                <w:rFonts w:ascii="Arial" w:cs="Arial" w:eastAsia="Arial" w:hAnsi="Arial"/>
                <w:sz w:val="16"/>
                <w:szCs w:val="16"/>
                <w:color w:val="auto"/>
              </w:rPr>
              <w:t>Admissions revenue</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84,725</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line="175" w:lineRule="exact"/>
              <w:rPr>
                <w:sz w:val="20"/>
                <w:szCs w:val="20"/>
                <w:color w:val="auto"/>
              </w:rPr>
            </w:pPr>
            <w:r>
              <w:rPr>
                <w:rFonts w:ascii="Arial" w:cs="Arial" w:eastAsia="Arial" w:hAnsi="Arial"/>
                <w:sz w:val="16"/>
                <w:szCs w:val="16"/>
                <w:color w:val="auto"/>
              </w:rPr>
              <w:t>61,741</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15,039</w:t>
            </w:r>
          </w:p>
        </w:tc>
        <w:tc>
          <w:tcPr>
            <w:tcW w:w="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161,505</w:t>
            </w:r>
          </w:p>
        </w:tc>
        <w:tc>
          <w:tcPr>
            <w:tcW w:w="20" w:type="dxa"/>
            <w:vAlign w:val="bottom"/>
          </w:tcPr>
          <w:p>
            <w:pPr>
              <w:spacing w:after="0"/>
              <w:rPr>
                <w:sz w:val="15"/>
                <w:szCs w:val="15"/>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35,056</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24,025</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5,596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64,677</w:t>
            </w:r>
          </w:p>
        </w:tc>
        <w:tc>
          <w:tcPr>
            <w:tcW w:w="20" w:type="dxa"/>
            <w:vAlign w:val="bottom"/>
          </w:tcPr>
          <w:p>
            <w:pPr>
              <w:spacing w:after="0"/>
              <w:rPr>
                <w:sz w:val="16"/>
                <w:szCs w:val="16"/>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Advertising and other revenues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6,540</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5,655</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1,041</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13,236</w:t>
            </w:r>
          </w:p>
        </w:tc>
        <w:tc>
          <w:tcPr>
            <w:tcW w:w="20" w:type="dxa"/>
            <w:vAlign w:val="bottom"/>
          </w:tcPr>
          <w:p>
            <w:pPr>
              <w:spacing w:after="0"/>
              <w:rPr>
                <w:sz w:val="17"/>
                <w:szCs w:val="17"/>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126,321</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91,421</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21,676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239,418</w:t>
            </w:r>
          </w:p>
        </w:tc>
        <w:tc>
          <w:tcPr>
            <w:tcW w:w="20" w:type="dxa"/>
            <w:vAlign w:val="bottom"/>
          </w:tcPr>
          <w:p>
            <w:pPr>
              <w:spacing w:after="0"/>
              <w:rPr>
                <w:sz w:val="16"/>
                <w:szCs w:val="16"/>
                <w:color w:val="auto"/>
              </w:rPr>
            </w:pPr>
          </w:p>
        </w:tc>
      </w:tr>
      <w:tr>
        <w:trPr>
          <w:trHeight w:val="340"/>
        </w:trPr>
        <w:tc>
          <w:tcPr>
            <w:tcW w:w="338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44,284</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29,060</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7,116</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80,460</w:t>
            </w:r>
          </w:p>
        </w:tc>
        <w:tc>
          <w:tcPr>
            <w:tcW w:w="20" w:type="dxa"/>
            <w:vAlign w:val="bottom"/>
          </w:tcPr>
          <w:p>
            <w:pPr>
              <w:spacing w:after="0"/>
              <w:rPr>
                <w:sz w:val="24"/>
                <w:szCs w:val="24"/>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 cost</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5,924</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4,847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1,438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12,209</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25,981</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18,371</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3,943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48,295</w:t>
            </w:r>
          </w:p>
        </w:tc>
        <w:tc>
          <w:tcPr>
            <w:tcW w:w="20" w:type="dxa"/>
            <w:vAlign w:val="bottom"/>
          </w:tcPr>
          <w:p>
            <w:pPr>
              <w:spacing w:after="0"/>
              <w:rPr>
                <w:sz w:val="16"/>
                <w:szCs w:val="16"/>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31,930</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22,218</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5,747</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59,895</w:t>
            </w:r>
          </w:p>
        </w:tc>
        <w:tc>
          <w:tcPr>
            <w:tcW w:w="20" w:type="dxa"/>
            <w:vAlign w:val="bottom"/>
          </w:tcPr>
          <w:p>
            <w:pPr>
              <w:spacing w:after="0"/>
              <w:rPr>
                <w:sz w:val="17"/>
                <w:szCs w:val="17"/>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108,119</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74,496</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18,244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200,859</w:t>
            </w:r>
          </w:p>
        </w:tc>
        <w:tc>
          <w:tcPr>
            <w:tcW w:w="20" w:type="dxa"/>
            <w:vAlign w:val="bottom"/>
          </w:tcPr>
          <w:p>
            <w:pPr>
              <w:spacing w:after="0"/>
              <w:rPr>
                <w:sz w:val="16"/>
                <w:szCs w:val="16"/>
                <w:color w:val="auto"/>
              </w:rPr>
            </w:pPr>
          </w:p>
        </w:tc>
      </w:tr>
      <w:tr>
        <w:trPr>
          <w:trHeight w:val="340"/>
        </w:trPr>
        <w:tc>
          <w:tcPr>
            <w:tcW w:w="3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6,181</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3,603</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957</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10,741</w:t>
            </w:r>
          </w:p>
        </w:tc>
        <w:tc>
          <w:tcPr>
            <w:tcW w:w="20" w:type="dxa"/>
            <w:vAlign w:val="bottom"/>
          </w:tcPr>
          <w:p>
            <w:pPr>
              <w:spacing w:after="0"/>
              <w:rPr>
                <w:sz w:val="24"/>
                <w:szCs w:val="24"/>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2,347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926</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20" w:type="dxa"/>
            <w:vAlign w:val="bottom"/>
          </w:tcPr>
          <w:p>
            <w:pPr>
              <w:spacing w:after="0"/>
              <w:rPr>
                <w:sz w:val="17"/>
                <w:szCs w:val="17"/>
                <w:color w:val="auto"/>
              </w:rPr>
            </w:pPr>
          </w:p>
        </w:tc>
      </w:tr>
      <w:tr>
        <w:trPr>
          <w:trHeight w:val="184"/>
        </w:trPr>
        <w:tc>
          <w:tcPr>
            <w:tcW w:w="33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9,674</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12,396</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2,475</w:t>
            </w:r>
          </w:p>
        </w:tc>
        <w:tc>
          <w:tcPr>
            <w:tcW w:w="4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24,545</w:t>
            </w:r>
          </w:p>
        </w:tc>
        <w:tc>
          <w:tcPr>
            <w:tcW w:w="20" w:type="dxa"/>
            <w:vAlign w:val="bottom"/>
          </w:tcPr>
          <w:p>
            <w:pPr>
              <w:spacing w:after="0"/>
              <w:rPr>
                <w:sz w:val="15"/>
                <w:szCs w:val="15"/>
                <w:color w:val="auto"/>
              </w:rPr>
            </w:pPr>
          </w:p>
        </w:tc>
      </w:tr>
      <w:tr>
        <w:trPr>
          <w:trHeight w:val="786"/>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3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3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315" w:right="1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20"/>
                <w:szCs w:val="20"/>
                <w:color w:val="auto"/>
              </w:rPr>
            </w:pPr>
            <w:r>
              <w:rPr>
                <w:rFonts w:ascii="Arial" w:cs="Arial" w:eastAsia="Arial" w:hAnsi="Arial"/>
                <w:sz w:val="16"/>
                <w:szCs w:val="16"/>
                <w:b w:val="1"/>
                <w:bCs w:val="1"/>
                <w:color w:val="auto"/>
                <w:w w:val="93"/>
              </w:rPr>
              <w:t>Operating Data as a Percentage of Revenue for</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80" w:type="dxa"/>
            <w:vAlign w:val="bottom"/>
          </w:tcPr>
          <w:p>
            <w:pPr>
              <w:spacing w:after="0" w:line="175" w:lineRule="exact"/>
              <w:rPr>
                <w:sz w:val="20"/>
                <w:szCs w:val="20"/>
                <w:color w:val="auto"/>
              </w:rPr>
            </w:pPr>
            <w:r>
              <w:rPr>
                <w:rFonts w:ascii="Arial" w:cs="Arial" w:eastAsia="Arial" w:hAnsi="Arial"/>
                <w:sz w:val="16"/>
                <w:szCs w:val="16"/>
                <w:color w:val="auto"/>
              </w:rPr>
              <w:t>Admissions revenue</w:t>
            </w:r>
          </w:p>
        </w:tc>
        <w:tc>
          <w:tcPr>
            <w:tcW w:w="240" w:type="dxa"/>
            <w:vAlign w:val="bottom"/>
          </w:tcPr>
          <w:p>
            <w:pPr>
              <w:spacing w:after="0"/>
              <w:rPr>
                <w:sz w:val="15"/>
                <w:szCs w:val="15"/>
                <w:color w:val="auto"/>
              </w:rPr>
            </w:pPr>
          </w:p>
        </w:tc>
        <w:tc>
          <w:tcPr>
            <w:tcW w:w="12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67.1%</w:t>
            </w:r>
          </w:p>
        </w:tc>
        <w:tc>
          <w:tcPr>
            <w:tcW w:w="320" w:type="dxa"/>
            <w:vAlign w:val="bottom"/>
          </w:tcPr>
          <w:p>
            <w:pPr>
              <w:spacing w:after="0"/>
              <w:rPr>
                <w:sz w:val="15"/>
                <w:szCs w:val="15"/>
                <w:color w:val="auto"/>
              </w:rPr>
            </w:pPr>
          </w:p>
        </w:tc>
        <w:tc>
          <w:tcPr>
            <w:tcW w:w="1140" w:type="dxa"/>
            <w:vAlign w:val="bottom"/>
          </w:tcPr>
          <w:p>
            <w:pPr>
              <w:jc w:val="right"/>
              <w:ind w:right="2"/>
              <w:spacing w:after="0" w:line="175" w:lineRule="exact"/>
              <w:rPr>
                <w:sz w:val="20"/>
                <w:szCs w:val="20"/>
                <w:color w:val="auto"/>
              </w:rPr>
            </w:pPr>
            <w:r>
              <w:rPr>
                <w:rFonts w:ascii="Arial" w:cs="Arial" w:eastAsia="Arial" w:hAnsi="Arial"/>
                <w:sz w:val="16"/>
                <w:szCs w:val="16"/>
                <w:color w:val="auto"/>
              </w:rPr>
              <w:t>67.5%</w:t>
            </w:r>
          </w:p>
        </w:tc>
        <w:tc>
          <w:tcPr>
            <w:tcW w:w="280" w:type="dxa"/>
            <w:vAlign w:val="bottom"/>
          </w:tcPr>
          <w:p>
            <w:pPr>
              <w:spacing w:after="0"/>
              <w:rPr>
                <w:sz w:val="15"/>
                <w:szCs w:val="15"/>
                <w:color w:val="auto"/>
              </w:rPr>
            </w:pP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69.4%</w:t>
            </w:r>
          </w:p>
        </w:tc>
        <w:tc>
          <w:tcPr>
            <w:tcW w:w="4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67.5%</w:t>
            </w:r>
          </w:p>
        </w:tc>
        <w:tc>
          <w:tcPr>
            <w:tcW w:w="20" w:type="dxa"/>
            <w:vAlign w:val="bottom"/>
          </w:tcPr>
          <w:p>
            <w:pPr>
              <w:spacing w:after="0"/>
              <w:rPr>
                <w:sz w:val="15"/>
                <w:szCs w:val="15"/>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27.8%</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26.3%</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w:t>
            </w:r>
          </w:p>
        </w:tc>
        <w:tc>
          <w:tcPr>
            <w:tcW w:w="20" w:type="dxa"/>
            <w:vAlign w:val="bottom"/>
          </w:tcPr>
          <w:p>
            <w:pPr>
              <w:spacing w:after="0"/>
              <w:rPr>
                <w:sz w:val="16"/>
                <w:szCs w:val="16"/>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6"/>
                <w:szCs w:val="16"/>
                <w:color w:val="auto"/>
              </w:rPr>
            </w:pPr>
          </w:p>
        </w:tc>
      </w:tr>
      <w:tr>
        <w:trPr>
          <w:trHeight w:val="211"/>
        </w:trPr>
        <w:tc>
          <w:tcPr>
            <w:tcW w:w="338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18"/>
                <w:szCs w:val="18"/>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52.3%</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47.1%</w:t>
            </w:r>
          </w:p>
        </w:tc>
        <w:tc>
          <w:tcPr>
            <w:tcW w:w="28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47.3%</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w:t>
            </w:r>
          </w:p>
        </w:tc>
        <w:tc>
          <w:tcPr>
            <w:tcW w:w="20" w:type="dxa"/>
            <w:vAlign w:val="bottom"/>
          </w:tcPr>
          <w:p>
            <w:pPr>
              <w:spacing w:after="0"/>
              <w:rPr>
                <w:sz w:val="18"/>
                <w:szCs w:val="18"/>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6"/>
                <w:szCs w:val="16"/>
                <w:color w:val="auto"/>
              </w:rPr>
              <w:t>Concession cost</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16.9%</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20.2%</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25.7%</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7"/>
                <w:szCs w:val="17"/>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20.6%</w:t>
            </w:r>
          </w:p>
        </w:tc>
        <w:tc>
          <w:tcPr>
            <w:tcW w:w="3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20.1%</w:t>
            </w:r>
          </w:p>
        </w:tc>
        <w:tc>
          <w:tcPr>
            <w:tcW w:w="28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9"/>
                <w:szCs w:val="19"/>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25.3%</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26.5%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Total operating cost and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85.6%</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81.5%</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83.9%</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6"/>
                <w:szCs w:val="16"/>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7.7%</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11.4%</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7"/>
                <w:szCs w:val="17"/>
                <w:color w:val="auto"/>
              </w:rPr>
            </w:pPr>
          </w:p>
        </w:tc>
      </w:tr>
      <w:tr>
        <w:trPr>
          <w:trHeight w:val="349"/>
        </w:trPr>
        <w:tc>
          <w:tcPr>
            <w:tcW w:w="3380" w:type="dxa"/>
            <w:vAlign w:val="bottom"/>
          </w:tcPr>
          <w:p>
            <w:pPr>
              <w:spacing w:after="0"/>
              <w:rPr>
                <w:sz w:val="20"/>
                <w:szCs w:val="20"/>
                <w:color w:val="auto"/>
              </w:rPr>
            </w:pPr>
            <w:r>
              <w:rPr>
                <w:rFonts w:ascii="Arial" w:cs="Arial" w:eastAsia="Arial" w:hAnsi="Arial"/>
                <w:sz w:val="16"/>
                <w:szCs w:val="16"/>
                <w:b w:val="1"/>
                <w:bCs w:val="1"/>
                <w:color w:val="auto"/>
                <w:w w:val="97"/>
              </w:rPr>
              <w:t>Operating  Income  by  Country  for  the  Year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80" w:type="dxa"/>
            <w:vAlign w:val="bottom"/>
          </w:tcPr>
          <w:p>
            <w:pPr>
              <w:spacing w:after="0" w:line="175" w:lineRule="exact"/>
              <w:rPr>
                <w:sz w:val="20"/>
                <w:szCs w:val="20"/>
                <w:color w:val="auto"/>
              </w:rPr>
            </w:pPr>
            <w:r>
              <w:rPr>
                <w:rFonts w:ascii="Arial" w:cs="Arial" w:eastAsia="Arial" w:hAnsi="Arial"/>
                <w:sz w:val="16"/>
                <w:szCs w:val="16"/>
                <w:color w:val="auto"/>
              </w:rPr>
              <w:t>Admissions revenue</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78,745</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line="175" w:lineRule="exact"/>
              <w:rPr>
                <w:sz w:val="20"/>
                <w:szCs w:val="20"/>
                <w:color w:val="auto"/>
              </w:rPr>
            </w:pPr>
            <w:r>
              <w:rPr>
                <w:rFonts w:ascii="Arial" w:cs="Arial" w:eastAsia="Arial" w:hAnsi="Arial"/>
                <w:sz w:val="16"/>
                <w:szCs w:val="16"/>
                <w:color w:val="auto"/>
              </w:rPr>
              <w:t>68,819</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13,897</w:t>
            </w:r>
          </w:p>
        </w:tc>
        <w:tc>
          <w:tcPr>
            <w:tcW w:w="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161,461</w:t>
            </w:r>
          </w:p>
        </w:tc>
        <w:tc>
          <w:tcPr>
            <w:tcW w:w="20" w:type="dxa"/>
            <w:vAlign w:val="bottom"/>
          </w:tcPr>
          <w:p>
            <w:pPr>
              <w:spacing w:after="0"/>
              <w:rPr>
                <w:sz w:val="15"/>
                <w:szCs w:val="15"/>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32,219</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24,564</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4,266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61,049</w:t>
            </w:r>
          </w:p>
        </w:tc>
        <w:tc>
          <w:tcPr>
            <w:tcW w:w="20" w:type="dxa"/>
            <w:vAlign w:val="bottom"/>
          </w:tcPr>
          <w:p>
            <w:pPr>
              <w:spacing w:after="0"/>
              <w:rPr>
                <w:sz w:val="16"/>
                <w:szCs w:val="16"/>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Advertising and other revenues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5,433</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5,806</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954</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12,193</w:t>
            </w:r>
          </w:p>
        </w:tc>
        <w:tc>
          <w:tcPr>
            <w:tcW w:w="20" w:type="dxa"/>
            <w:vAlign w:val="bottom"/>
          </w:tcPr>
          <w:p>
            <w:pPr>
              <w:spacing w:after="0"/>
              <w:rPr>
                <w:sz w:val="17"/>
                <w:szCs w:val="17"/>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116,397</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99,189</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19,117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234,703</w:t>
            </w:r>
          </w:p>
        </w:tc>
        <w:tc>
          <w:tcPr>
            <w:tcW w:w="20" w:type="dxa"/>
            <w:vAlign w:val="bottom"/>
          </w:tcPr>
          <w:p>
            <w:pPr>
              <w:spacing w:after="0"/>
              <w:rPr>
                <w:sz w:val="16"/>
                <w:szCs w:val="16"/>
                <w:color w:val="auto"/>
              </w:rPr>
            </w:pPr>
          </w:p>
        </w:tc>
      </w:tr>
      <w:tr>
        <w:trPr>
          <w:trHeight w:val="340"/>
        </w:trPr>
        <w:tc>
          <w:tcPr>
            <w:tcW w:w="338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40,690</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32,953</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6,517</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80,160</w:t>
            </w:r>
          </w:p>
        </w:tc>
        <w:tc>
          <w:tcPr>
            <w:tcW w:w="20" w:type="dxa"/>
            <w:vAlign w:val="bottom"/>
          </w:tcPr>
          <w:p>
            <w:pPr>
              <w:spacing w:after="0"/>
              <w:rPr>
                <w:sz w:val="24"/>
                <w:szCs w:val="24"/>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 cost</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5,205</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4,908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1,034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11,147</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26,143</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19,233</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3,503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48,879</w:t>
            </w:r>
          </w:p>
        </w:tc>
        <w:tc>
          <w:tcPr>
            <w:tcW w:w="20" w:type="dxa"/>
            <w:vAlign w:val="bottom"/>
          </w:tcPr>
          <w:p>
            <w:pPr>
              <w:spacing w:after="0"/>
              <w:rPr>
                <w:sz w:val="16"/>
                <w:szCs w:val="16"/>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29,870</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23,024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4,960</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57,854</w:t>
            </w:r>
          </w:p>
        </w:tc>
        <w:tc>
          <w:tcPr>
            <w:tcW w:w="20" w:type="dxa"/>
            <w:vAlign w:val="bottom"/>
          </w:tcPr>
          <w:p>
            <w:pPr>
              <w:spacing w:after="0"/>
              <w:rPr>
                <w:sz w:val="17"/>
                <w:szCs w:val="17"/>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101,908</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80,118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16,014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198,040</w:t>
            </w:r>
          </w:p>
        </w:tc>
        <w:tc>
          <w:tcPr>
            <w:tcW w:w="20" w:type="dxa"/>
            <w:vAlign w:val="bottom"/>
          </w:tcPr>
          <w:p>
            <w:pPr>
              <w:spacing w:after="0"/>
              <w:rPr>
                <w:sz w:val="16"/>
                <w:szCs w:val="16"/>
                <w:color w:val="auto"/>
              </w:rPr>
            </w:pPr>
          </w:p>
        </w:tc>
      </w:tr>
      <w:tr>
        <w:trPr>
          <w:trHeight w:val="340"/>
        </w:trPr>
        <w:tc>
          <w:tcPr>
            <w:tcW w:w="3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6,482</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3,589</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1,083</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11,154</w:t>
            </w:r>
          </w:p>
        </w:tc>
        <w:tc>
          <w:tcPr>
            <w:tcW w:w="20" w:type="dxa"/>
            <w:vAlign w:val="bottom"/>
          </w:tcPr>
          <w:p>
            <w:pPr>
              <w:spacing w:after="0"/>
              <w:rPr>
                <w:sz w:val="24"/>
                <w:szCs w:val="24"/>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1,937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661</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w:t>
            </w:r>
          </w:p>
        </w:tc>
        <w:tc>
          <w:tcPr>
            <w:tcW w:w="20" w:type="dxa"/>
            <w:vAlign w:val="bottom"/>
          </w:tcPr>
          <w:p>
            <w:pPr>
              <w:spacing w:after="0"/>
              <w:rPr>
                <w:sz w:val="17"/>
                <w:szCs w:val="17"/>
                <w:color w:val="auto"/>
              </w:rPr>
            </w:pPr>
          </w:p>
        </w:tc>
      </w:tr>
      <w:tr>
        <w:trPr>
          <w:trHeight w:val="184"/>
        </w:trPr>
        <w:tc>
          <w:tcPr>
            <w:tcW w:w="33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6,070</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14,821</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22,911</w:t>
            </w:r>
          </w:p>
        </w:tc>
        <w:tc>
          <w:tcPr>
            <w:tcW w:w="20" w:type="dxa"/>
            <w:vAlign w:val="bottom"/>
          </w:tcPr>
          <w:p>
            <w:pPr>
              <w:spacing w:after="0"/>
              <w:rPr>
                <w:sz w:val="15"/>
                <w:szCs w:val="15"/>
                <w:color w:val="auto"/>
              </w:rPr>
            </w:pPr>
          </w:p>
        </w:tc>
      </w:tr>
      <w:tr>
        <w:trPr>
          <w:trHeight w:val="359"/>
        </w:trPr>
        <w:tc>
          <w:tcPr>
            <w:tcW w:w="3380" w:type="dxa"/>
            <w:vAlign w:val="bottom"/>
          </w:tcPr>
          <w:p>
            <w:pPr>
              <w:spacing w:after="0"/>
              <w:rPr>
                <w:sz w:val="20"/>
                <w:szCs w:val="20"/>
                <w:color w:val="auto"/>
              </w:rPr>
            </w:pPr>
            <w:r>
              <w:rPr>
                <w:rFonts w:ascii="Arial" w:cs="Arial" w:eastAsia="Arial" w:hAnsi="Arial"/>
                <w:sz w:val="16"/>
                <w:szCs w:val="16"/>
                <w:b w:val="1"/>
                <w:bCs w:val="1"/>
                <w:color w:val="auto"/>
                <w:w w:val="93"/>
              </w:rPr>
              <w:t>Operating Data as a Percentage of Revenue for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80" w:type="dxa"/>
            <w:vAlign w:val="bottom"/>
          </w:tcPr>
          <w:p>
            <w:pPr>
              <w:spacing w:after="0" w:line="175" w:lineRule="exact"/>
              <w:rPr>
                <w:sz w:val="20"/>
                <w:szCs w:val="20"/>
                <w:color w:val="auto"/>
              </w:rPr>
            </w:pPr>
            <w:r>
              <w:rPr>
                <w:rFonts w:ascii="Arial" w:cs="Arial" w:eastAsia="Arial" w:hAnsi="Arial"/>
                <w:sz w:val="16"/>
                <w:szCs w:val="16"/>
                <w:color w:val="auto"/>
              </w:rPr>
              <w:t>Admissions revenue</w:t>
            </w:r>
          </w:p>
        </w:tc>
        <w:tc>
          <w:tcPr>
            <w:tcW w:w="240" w:type="dxa"/>
            <w:vAlign w:val="bottom"/>
          </w:tcPr>
          <w:p>
            <w:pPr>
              <w:spacing w:after="0"/>
              <w:rPr>
                <w:sz w:val="15"/>
                <w:szCs w:val="15"/>
                <w:color w:val="auto"/>
              </w:rPr>
            </w:pPr>
          </w:p>
        </w:tc>
        <w:tc>
          <w:tcPr>
            <w:tcW w:w="12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67.7%</w:t>
            </w:r>
          </w:p>
        </w:tc>
        <w:tc>
          <w:tcPr>
            <w:tcW w:w="320" w:type="dxa"/>
            <w:vAlign w:val="bottom"/>
          </w:tcPr>
          <w:p>
            <w:pPr>
              <w:spacing w:after="0"/>
              <w:rPr>
                <w:sz w:val="15"/>
                <w:szCs w:val="15"/>
                <w:color w:val="auto"/>
              </w:rPr>
            </w:pPr>
          </w:p>
        </w:tc>
        <w:tc>
          <w:tcPr>
            <w:tcW w:w="1140" w:type="dxa"/>
            <w:vAlign w:val="bottom"/>
          </w:tcPr>
          <w:p>
            <w:pPr>
              <w:jc w:val="right"/>
              <w:ind w:right="2"/>
              <w:spacing w:after="0" w:line="175" w:lineRule="exact"/>
              <w:rPr>
                <w:sz w:val="20"/>
                <w:szCs w:val="20"/>
                <w:color w:val="auto"/>
              </w:rPr>
            </w:pPr>
            <w:r>
              <w:rPr>
                <w:rFonts w:ascii="Arial" w:cs="Arial" w:eastAsia="Arial" w:hAnsi="Arial"/>
                <w:sz w:val="16"/>
                <w:szCs w:val="16"/>
                <w:color w:val="auto"/>
              </w:rPr>
              <w:t>69.4%</w:t>
            </w:r>
          </w:p>
        </w:tc>
        <w:tc>
          <w:tcPr>
            <w:tcW w:w="280" w:type="dxa"/>
            <w:vAlign w:val="bottom"/>
          </w:tcPr>
          <w:p>
            <w:pPr>
              <w:spacing w:after="0"/>
              <w:rPr>
                <w:sz w:val="15"/>
                <w:szCs w:val="15"/>
                <w:color w:val="auto"/>
              </w:rPr>
            </w:pP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72.7%</w:t>
            </w:r>
          </w:p>
        </w:tc>
        <w:tc>
          <w:tcPr>
            <w:tcW w:w="4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68.8%</w:t>
            </w:r>
          </w:p>
        </w:tc>
        <w:tc>
          <w:tcPr>
            <w:tcW w:w="20" w:type="dxa"/>
            <w:vAlign w:val="bottom"/>
          </w:tcPr>
          <w:p>
            <w:pPr>
              <w:spacing w:after="0"/>
              <w:rPr>
                <w:sz w:val="15"/>
                <w:szCs w:val="15"/>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27.7%</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24.8%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22.3%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6"/>
                <w:szCs w:val="16"/>
                <w:color w:val="auto"/>
              </w:rPr>
            </w:pP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6"/>
                <w:szCs w:val="16"/>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51.7%</w:t>
            </w:r>
          </w:p>
        </w:tc>
        <w:tc>
          <w:tcPr>
            <w:tcW w:w="32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47.9%</w:t>
            </w: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46.9%</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w:t>
            </w:r>
          </w:p>
        </w:tc>
        <w:tc>
          <w:tcPr>
            <w:tcW w:w="20" w:type="dxa"/>
            <w:vAlign w:val="bottom"/>
          </w:tcPr>
          <w:p>
            <w:pPr>
              <w:spacing w:after="0"/>
              <w:rPr>
                <w:sz w:val="23"/>
                <w:szCs w:val="23"/>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6"/>
                <w:szCs w:val="16"/>
                <w:color w:val="auto"/>
              </w:rPr>
              <w:t>Concession cost</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16.2%</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24.2%</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7"/>
                <w:szCs w:val="17"/>
                <w:color w:val="auto"/>
              </w:rPr>
            </w:pPr>
          </w:p>
        </w:tc>
      </w:tr>
      <w:tr>
        <w:trPr>
          <w:trHeight w:val="282"/>
        </w:trPr>
        <w:tc>
          <w:tcPr>
            <w:tcW w:w="338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22.5%</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18.3%</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24"/>
                <w:szCs w:val="24"/>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25.7%</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Total operating cost and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87.6%</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80.8%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83.8%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84.4%</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14.9%</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10.6%</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r>
      <w:tr>
        <w:trPr>
          <w:trHeight w:val="799"/>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3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3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158" w:right="1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20"/>
                <w:szCs w:val="20"/>
                <w:color w:val="auto"/>
              </w:rPr>
            </w:pPr>
            <w:r>
              <w:rPr>
                <w:rFonts w:ascii="Arial" w:cs="Arial" w:eastAsia="Arial" w:hAnsi="Arial"/>
                <w:sz w:val="16"/>
                <w:szCs w:val="16"/>
                <w:b w:val="1"/>
                <w:bCs w:val="1"/>
                <w:color w:val="auto"/>
                <w:w w:val="97"/>
              </w:rPr>
              <w:t>Operating  Income  by  Country  for  the  Year</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75"/>
        </w:trPr>
        <w:tc>
          <w:tcPr>
            <w:tcW w:w="3380" w:type="dxa"/>
            <w:vAlign w:val="bottom"/>
          </w:tcPr>
          <w:p>
            <w:pPr>
              <w:spacing w:after="0" w:line="175" w:lineRule="exact"/>
              <w:rPr>
                <w:sz w:val="20"/>
                <w:szCs w:val="20"/>
                <w:color w:val="auto"/>
              </w:rPr>
            </w:pPr>
            <w:r>
              <w:rPr>
                <w:rFonts w:ascii="Arial" w:cs="Arial" w:eastAsia="Arial" w:hAnsi="Arial"/>
                <w:sz w:val="16"/>
                <w:szCs w:val="16"/>
                <w:color w:val="auto"/>
              </w:rPr>
              <w:t>Admissions revenue</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73,062</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line="175" w:lineRule="exact"/>
              <w:rPr>
                <w:sz w:val="20"/>
                <w:szCs w:val="20"/>
                <w:color w:val="auto"/>
              </w:rPr>
            </w:pPr>
            <w:r>
              <w:rPr>
                <w:rFonts w:ascii="Arial" w:cs="Arial" w:eastAsia="Arial" w:hAnsi="Arial"/>
                <w:sz w:val="16"/>
                <w:szCs w:val="16"/>
                <w:color w:val="auto"/>
              </w:rPr>
              <w:t>72,887</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12,622</w:t>
            </w:r>
          </w:p>
        </w:tc>
        <w:tc>
          <w:tcPr>
            <w:tcW w:w="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158,571</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28,225</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23,306</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3,446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54,977</w:t>
            </w: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Advertising and other revenues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5,482</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6,019</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800</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12,301</w:t>
            </w: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106,769</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102,212</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16,868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225,849</w:t>
            </w:r>
          </w:p>
        </w:tc>
      </w:tr>
      <w:tr>
        <w:trPr>
          <w:trHeight w:val="340"/>
        </w:trPr>
        <w:tc>
          <w:tcPr>
            <w:tcW w:w="338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37,360</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34,390</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5,878</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77,628</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 cost</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4,460</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4,963</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852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10,275</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25,210</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19,107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3,157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47,474</w:t>
            </w: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27,033</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22,274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4,963</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54,270</w:t>
            </w: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94,063</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80,734</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14,850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189,647</w:t>
            </w:r>
          </w:p>
        </w:tc>
      </w:tr>
      <w:tr>
        <w:trPr>
          <w:trHeight w:val="340"/>
        </w:trPr>
        <w:tc>
          <w:tcPr>
            <w:tcW w:w="3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6,525</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4,218</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1,099</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11,842</w:t>
            </w: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1,973</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691</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76</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w:t>
            </w:r>
          </w:p>
        </w:tc>
      </w:tr>
      <w:tr>
        <w:trPr>
          <w:trHeight w:val="184"/>
        </w:trPr>
        <w:tc>
          <w:tcPr>
            <w:tcW w:w="33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Segment operating income</w:t>
            </w:r>
          </w:p>
        </w:tc>
        <w:tc>
          <w:tcPr>
            <w:tcW w:w="2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4,208</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16,569</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843</w:t>
            </w:r>
          </w:p>
        </w:tc>
        <w:tc>
          <w:tcPr>
            <w:tcW w:w="4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21,620</w:t>
            </w:r>
          </w:p>
        </w:tc>
      </w:tr>
      <w:tr>
        <w:trPr>
          <w:trHeight w:val="477"/>
        </w:trPr>
        <w:tc>
          <w:tcPr>
            <w:tcW w:w="3380" w:type="dxa"/>
            <w:vAlign w:val="bottom"/>
          </w:tcPr>
          <w:p>
            <w:pPr>
              <w:spacing w:after="0"/>
              <w:rPr>
                <w:sz w:val="20"/>
                <w:szCs w:val="20"/>
                <w:color w:val="auto"/>
              </w:rPr>
            </w:pPr>
            <w:r>
              <w:rPr>
                <w:rFonts w:ascii="Arial" w:cs="Arial" w:eastAsia="Arial" w:hAnsi="Arial"/>
                <w:sz w:val="16"/>
                <w:szCs w:val="16"/>
                <w:b w:val="1"/>
                <w:bCs w:val="1"/>
                <w:color w:val="auto"/>
                <w:w w:val="93"/>
              </w:rPr>
              <w:t>Operating Data as a Percentage of Revenue for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75"/>
        </w:trPr>
        <w:tc>
          <w:tcPr>
            <w:tcW w:w="3380" w:type="dxa"/>
            <w:vAlign w:val="bottom"/>
          </w:tcPr>
          <w:p>
            <w:pPr>
              <w:spacing w:after="0" w:line="175" w:lineRule="exact"/>
              <w:rPr>
                <w:sz w:val="20"/>
                <w:szCs w:val="20"/>
                <w:color w:val="auto"/>
              </w:rPr>
            </w:pPr>
            <w:r>
              <w:rPr>
                <w:rFonts w:ascii="Arial" w:cs="Arial" w:eastAsia="Arial" w:hAnsi="Arial"/>
                <w:sz w:val="16"/>
                <w:szCs w:val="16"/>
                <w:color w:val="auto"/>
              </w:rPr>
              <w:t>Admissions revenue</w:t>
            </w:r>
          </w:p>
        </w:tc>
        <w:tc>
          <w:tcPr>
            <w:tcW w:w="240" w:type="dxa"/>
            <w:vAlign w:val="bottom"/>
          </w:tcPr>
          <w:p>
            <w:pPr>
              <w:spacing w:after="0"/>
              <w:rPr>
                <w:sz w:val="15"/>
                <w:szCs w:val="15"/>
                <w:color w:val="auto"/>
              </w:rPr>
            </w:pPr>
          </w:p>
        </w:tc>
        <w:tc>
          <w:tcPr>
            <w:tcW w:w="12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68.4%</w:t>
            </w:r>
          </w:p>
        </w:tc>
        <w:tc>
          <w:tcPr>
            <w:tcW w:w="320" w:type="dxa"/>
            <w:vAlign w:val="bottom"/>
          </w:tcPr>
          <w:p>
            <w:pPr>
              <w:spacing w:after="0"/>
              <w:rPr>
                <w:sz w:val="15"/>
                <w:szCs w:val="15"/>
                <w:color w:val="auto"/>
              </w:rPr>
            </w:pPr>
          </w:p>
        </w:tc>
        <w:tc>
          <w:tcPr>
            <w:tcW w:w="1140" w:type="dxa"/>
            <w:vAlign w:val="bottom"/>
          </w:tcPr>
          <w:p>
            <w:pPr>
              <w:jc w:val="right"/>
              <w:ind w:right="2"/>
              <w:spacing w:after="0" w:line="175" w:lineRule="exact"/>
              <w:rPr>
                <w:sz w:val="20"/>
                <w:szCs w:val="20"/>
                <w:color w:val="auto"/>
              </w:rPr>
            </w:pPr>
            <w:r>
              <w:rPr>
                <w:rFonts w:ascii="Arial" w:cs="Arial" w:eastAsia="Arial" w:hAnsi="Arial"/>
                <w:sz w:val="16"/>
                <w:szCs w:val="16"/>
                <w:color w:val="auto"/>
              </w:rPr>
              <w:t>71.3%</w:t>
            </w:r>
          </w:p>
        </w:tc>
        <w:tc>
          <w:tcPr>
            <w:tcW w:w="280" w:type="dxa"/>
            <w:vAlign w:val="bottom"/>
          </w:tcPr>
          <w:p>
            <w:pPr>
              <w:spacing w:after="0"/>
              <w:rPr>
                <w:sz w:val="15"/>
                <w:szCs w:val="15"/>
                <w:color w:val="auto"/>
              </w:rPr>
            </w:pP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74.8%</w:t>
            </w:r>
          </w:p>
        </w:tc>
        <w:tc>
          <w:tcPr>
            <w:tcW w:w="4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70.2%</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Concessions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26.4%</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22.8%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20.4%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0"/>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Advertising and other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192"/>
        </w:trPr>
        <w:tc>
          <w:tcPr>
            <w:tcW w:w="3380" w:type="dxa"/>
            <w:vAlign w:val="bottom"/>
          </w:tcPr>
          <w:p>
            <w:pPr>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3380" w:type="dxa"/>
            <w:vAlign w:val="bottom"/>
          </w:tcPr>
          <w:p>
            <w:pPr>
              <w:spacing w:after="0"/>
              <w:rPr>
                <w:sz w:val="20"/>
                <w:szCs w:val="20"/>
                <w:color w:val="auto"/>
              </w:rPr>
            </w:pPr>
            <w:r>
              <w:rPr>
                <w:rFonts w:ascii="Arial" w:cs="Arial" w:eastAsia="Arial" w:hAnsi="Arial"/>
                <w:sz w:val="16"/>
                <w:szCs w:val="16"/>
                <w:color w:val="auto"/>
              </w:rPr>
              <w:t>Film rent and advertising cost</w:t>
            </w:r>
          </w:p>
        </w:tc>
        <w:tc>
          <w:tcPr>
            <w:tcW w:w="24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51.1%</w:t>
            </w:r>
          </w:p>
        </w:tc>
        <w:tc>
          <w:tcPr>
            <w:tcW w:w="32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47.2%</w:t>
            </w: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46.6%</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00"/>
        </w:trPr>
        <w:tc>
          <w:tcPr>
            <w:tcW w:w="3380" w:type="dxa"/>
            <w:vAlign w:val="bottom"/>
          </w:tcPr>
          <w:p>
            <w:pPr>
              <w:spacing w:after="0"/>
              <w:rPr>
                <w:sz w:val="20"/>
                <w:szCs w:val="20"/>
                <w:color w:val="auto"/>
              </w:rPr>
            </w:pPr>
            <w:r>
              <w:rPr>
                <w:rFonts w:ascii="Arial" w:cs="Arial" w:eastAsia="Arial" w:hAnsi="Arial"/>
                <w:sz w:val="16"/>
                <w:szCs w:val="16"/>
                <w:color w:val="auto"/>
              </w:rPr>
              <w:t>Concession cost</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15.8%</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21.3%</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24.7%</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82"/>
        </w:trPr>
        <w:tc>
          <w:tcPr>
            <w:tcW w:w="3380" w:type="dxa"/>
            <w:vAlign w:val="bottom"/>
          </w:tcPr>
          <w:p>
            <w:pPr>
              <w:spacing w:after="0"/>
              <w:rPr>
                <w:sz w:val="20"/>
                <w:szCs w:val="20"/>
                <w:color w:val="auto"/>
              </w:rPr>
            </w:pPr>
            <w:r>
              <w:rPr>
                <w:rFonts w:ascii="Arial" w:cs="Arial" w:eastAsia="Arial" w:hAnsi="Arial"/>
                <w:sz w:val="16"/>
                <w:szCs w:val="16"/>
                <w:color w:val="auto"/>
              </w:rPr>
              <w:t>Occupancy expense</w:t>
            </w:r>
          </w:p>
        </w:tc>
        <w:tc>
          <w:tcPr>
            <w:tcW w:w="24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23.6%</w:t>
            </w: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18.7%</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Other operating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25.3%</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29.4%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Total operating cost and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88.1%</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79.0%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88.0%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6.1%</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338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5.0%</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Results for 2013 Compared to 2012</w:t>
      </w:r>
    </w:p>
    <w:p>
      <w:pPr>
        <w:spacing w:after="0" w:line="157" w:lineRule="exact"/>
        <w:rPr>
          <w:sz w:val="20"/>
          <w:szCs w:val="20"/>
          <w:color w:val="auto"/>
        </w:rPr>
      </w:pPr>
    </w:p>
    <w:p>
      <w:pPr>
        <w:ind w:left="340" w:hanging="46"/>
        <w:spacing w:after="0" w:line="252" w:lineRule="auto"/>
        <w:rPr>
          <w:sz w:val="20"/>
          <w:szCs w:val="20"/>
          <w:color w:val="auto"/>
        </w:rPr>
      </w:pPr>
      <w:r>
        <w:rPr>
          <w:rFonts w:ascii="Arial" w:cs="Arial" w:eastAsia="Arial" w:hAnsi="Arial"/>
          <w:sz w:val="16"/>
          <w:szCs w:val="16"/>
          <w:color w:val="auto"/>
        </w:rPr>
        <w:t>·Cinema revenue increased in 2013 by $4.7 million or 2.0% compared to 2012. The geographic activity of our revenue can be summarized as follows:</w:t>
      </w:r>
    </w:p>
    <w:p>
      <w:pPr>
        <w:spacing w:after="0" w:line="1" w:lineRule="exact"/>
        <w:rPr>
          <w:sz w:val="20"/>
          <w:szCs w:val="20"/>
          <w:color w:val="auto"/>
        </w:rPr>
      </w:pPr>
    </w:p>
    <w:p>
      <w:pPr>
        <w:jc w:val="both"/>
        <w:ind w:left="960" w:hanging="116"/>
        <w:spacing w:after="0" w:line="236"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United States - Revenue in the United States increased by $9.9 million or 8.5%. This increase in revenue was predominately</w:t>
      </w:r>
      <w:r>
        <w:rPr>
          <w:rFonts w:ascii="Courier New" w:cs="Courier New" w:eastAsia="Courier New" w:hAnsi="Courier New"/>
          <w:sz w:val="16"/>
          <w:szCs w:val="16"/>
          <w:color w:val="auto"/>
        </w:rPr>
        <w:t xml:space="preserve"> </w:t>
      </w:r>
      <w:r>
        <w:rPr>
          <w:rFonts w:ascii="Arial" w:cs="Arial" w:eastAsia="Arial" w:hAnsi="Arial"/>
          <w:sz w:val="16"/>
          <w:szCs w:val="16"/>
          <w:color w:val="auto"/>
        </w:rPr>
        <w:t>attributable to a 440,000 person increase in box office admissions and a 2.6% increase in the average ticket price coupled with a commensurate increase in concessions revenue. Both of these increases were primarily related to the quality of film product in 2013 compared to the same period in 2012.</w:t>
      </w:r>
    </w:p>
    <w:p>
      <w:pPr>
        <w:jc w:val="both"/>
        <w:ind w:left="960" w:hanging="116"/>
        <w:spacing w:after="0" w:line="251"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Australia - Revenue in Australia decreased by $7.8 million or 7.8%. This decrease in revenue was primarily related to a 5.1%</w:t>
      </w:r>
      <w:r>
        <w:rPr>
          <w:rFonts w:ascii="Courier New" w:cs="Courier New" w:eastAsia="Courier New" w:hAnsi="Courier New"/>
          <w:sz w:val="15"/>
          <w:szCs w:val="15"/>
          <w:color w:val="auto"/>
        </w:rPr>
        <w:t xml:space="preserve"> </w:t>
      </w:r>
      <w:r>
        <w:rPr>
          <w:rFonts w:ascii="Arial" w:cs="Arial" w:eastAsia="Arial" w:hAnsi="Arial"/>
          <w:sz w:val="15"/>
          <w:szCs w:val="15"/>
          <w:color w:val="auto"/>
        </w:rPr>
        <w:t>decrease in the average ticket price resulting from a continued and expanded competitive ticket pricing model; offset in part by, a 60,000 person increase in box office admissions. As noted below, this decrease in revenue was exacerbated by a decrease in the value of the Australian dollar compared to the U.S. dollar for the comparable periods (see below).</w:t>
      </w:r>
    </w:p>
    <w:p>
      <w:pPr>
        <w:spacing w:after="0" w:line="2" w:lineRule="exact"/>
        <w:rPr>
          <w:sz w:val="20"/>
          <w:szCs w:val="20"/>
          <w:color w:val="auto"/>
        </w:rPr>
      </w:pPr>
    </w:p>
    <w:p>
      <w:pPr>
        <w:jc w:val="both"/>
        <w:ind w:left="960" w:hanging="116"/>
        <w:spacing w:after="0" w:line="236"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Revenue in New Zealand increased by $2.6 million or 13.4%. This increase in revenue was predominately</w:t>
      </w:r>
      <w:r>
        <w:rPr>
          <w:rFonts w:ascii="Courier New" w:cs="Courier New" w:eastAsia="Courier New" w:hAnsi="Courier New"/>
          <w:sz w:val="16"/>
          <w:szCs w:val="16"/>
          <w:color w:val="auto"/>
        </w:rPr>
        <w:t xml:space="preserve"> </w:t>
      </w:r>
      <w:r>
        <w:rPr>
          <w:rFonts w:ascii="Arial" w:cs="Arial" w:eastAsia="Arial" w:hAnsi="Arial"/>
          <w:sz w:val="16"/>
          <w:szCs w:val="16"/>
          <w:color w:val="auto"/>
        </w:rPr>
        <w:t>attributable to a year over year 121,000 person increase in admissions; somewhat offset by, a decrease in the average ticket price of 0.4%. The increase in New Zealand admissions was primarily as a result of increased revenues coming from our previously earthquake</w:t>
      </w:r>
    </w:p>
    <w:p>
      <w:pPr>
        <w:spacing w:after="0" w:line="200" w:lineRule="exact"/>
        <w:rPr>
          <w:sz w:val="20"/>
          <w:szCs w:val="20"/>
          <w:color w:val="auto"/>
        </w:rPr>
      </w:pPr>
    </w:p>
    <w:p>
      <w:pPr>
        <w:spacing w:after="0" w:line="32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72390</wp:posOffset>
            </wp:positionV>
            <wp:extent cx="5872480" cy="47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287" w:right="1359" w:bottom="1440" w:gutter="0" w:footer="0" w:header="0"/>
        </w:sectPr>
      </w:pPr>
    </w:p>
    <w:bookmarkStart w:id="39" w:name="page40"/>
    <w:bookmarkEnd w:id="39"/>
    <w:p>
      <w:pPr>
        <w:ind w:left="1120"/>
        <w:spacing w:after="0" w:line="252" w:lineRule="auto"/>
        <w:rPr>
          <w:sz w:val="20"/>
          <w:szCs w:val="20"/>
          <w:color w:val="auto"/>
        </w:rPr>
      </w:pPr>
      <w:r>
        <w:rPr>
          <w:rFonts w:ascii="Arial" w:cs="Arial" w:eastAsia="Arial" w:hAnsi="Arial"/>
          <w:sz w:val="16"/>
          <w:szCs w:val="16"/>
          <w:color w:val="auto"/>
        </w:rPr>
        <w:t>damaged New Zealand multiplex. This increase in revenue was somewhat enhanced by an increase in the value of the New Zealand dollar compared to the U.S. dollar (see below).</w:t>
      </w:r>
    </w:p>
    <w:p>
      <w:pPr>
        <w:spacing w:after="0" w:line="1" w:lineRule="exact"/>
        <w:rPr>
          <w:sz w:val="20"/>
          <w:szCs w:val="20"/>
          <w:color w:val="auto"/>
        </w:rPr>
      </w:pPr>
    </w:p>
    <w:p>
      <w:pPr>
        <w:ind w:left="340" w:hanging="46"/>
        <w:spacing w:after="0" w:line="244" w:lineRule="auto"/>
        <w:rPr>
          <w:sz w:val="20"/>
          <w:szCs w:val="20"/>
          <w:color w:val="auto"/>
        </w:rPr>
      </w:pPr>
      <w:r>
        <w:rPr>
          <w:rFonts w:ascii="Arial" w:cs="Arial" w:eastAsia="Arial" w:hAnsi="Arial"/>
          <w:sz w:val="16"/>
          <w:szCs w:val="16"/>
          <w:color w:val="auto"/>
        </w:rPr>
        <w:t>·Operating expense increased in 2013 by $2.8 million or 1.4% compared to 2012. Year over year operating expense percentage decreased in relation to revenue from 84.4% to 83.9%.</w:t>
      </w:r>
    </w:p>
    <w:p>
      <w:pPr>
        <w:spacing w:after="0" w:line="2" w:lineRule="exact"/>
        <w:rPr>
          <w:sz w:val="20"/>
          <w:szCs w:val="20"/>
          <w:color w:val="auto"/>
        </w:rPr>
      </w:pPr>
    </w:p>
    <w:p>
      <w:pPr>
        <w:jc w:val="both"/>
        <w:ind w:left="960" w:hanging="116"/>
        <w:spacing w:after="0" w:line="236"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United States - Operating expense in the United States increased by $6.2 million or 6.1% primarily related to a $3.6 million</w:t>
      </w:r>
      <w:r>
        <w:rPr>
          <w:rFonts w:ascii="Courier New" w:cs="Courier New" w:eastAsia="Courier New" w:hAnsi="Courier New"/>
          <w:sz w:val="16"/>
          <w:szCs w:val="16"/>
          <w:color w:val="auto"/>
        </w:rPr>
        <w:t xml:space="preserve"> </w:t>
      </w:r>
      <w:r>
        <w:rPr>
          <w:rFonts w:ascii="Arial" w:cs="Arial" w:eastAsia="Arial" w:hAnsi="Arial"/>
          <w:sz w:val="16"/>
          <w:szCs w:val="16"/>
          <w:color w:val="auto"/>
        </w:rPr>
        <w:t>increase in film rent and advertising primarily associated with the aforementioned increases in revenues from admissions and a $2.0 million increase in other operating expense including a $778,000 increase in projection costs primarily related to our new digital equipment lease.</w:t>
      </w:r>
    </w:p>
    <w:p>
      <w:pPr>
        <w:jc w:val="both"/>
        <w:ind w:left="960" w:hanging="116"/>
        <w:spacing w:after="0" w:line="233"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Australia - Operating expense in Australia decreased by $5.6 million or 7.0%. This decrease was in line with the above-mentioned</w:t>
      </w:r>
      <w:r>
        <w:rPr>
          <w:rFonts w:ascii="Courier New" w:cs="Courier New" w:eastAsia="Courier New" w:hAnsi="Courier New"/>
          <w:sz w:val="16"/>
          <w:szCs w:val="16"/>
          <w:color w:val="auto"/>
        </w:rPr>
        <w:t xml:space="preserve"> </w:t>
      </w:r>
      <w:r>
        <w:rPr>
          <w:rFonts w:ascii="Arial" w:cs="Arial" w:eastAsia="Arial" w:hAnsi="Arial"/>
          <w:sz w:val="16"/>
          <w:szCs w:val="16"/>
          <w:color w:val="auto"/>
        </w:rPr>
        <w:t>decrease in cinema revenue which directly affects film rental costs and exacerbated by the year over year decrease in the value of the Australian dollar compared to the U.S. dollar (see below).</w:t>
      </w:r>
    </w:p>
    <w:p>
      <w:pPr>
        <w:jc w:val="both"/>
        <w:ind w:left="960" w:hanging="116"/>
        <w:spacing w:after="0" w:line="233"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Operating expense in New Zealand increased by $2.2 million or 13.9%. This increase was in line with the above-mentioned increase in cinema revenue which directly affects film rental costs and with the above-mentioned year over year increase in the value of the New Zealand dollar compared to the U.S. dollar (see below).</w:t>
      </w:r>
    </w:p>
    <w:p>
      <w:pPr>
        <w:spacing w:after="0" w:line="1" w:lineRule="exact"/>
        <w:rPr>
          <w:sz w:val="20"/>
          <w:szCs w:val="20"/>
          <w:color w:val="auto"/>
        </w:rPr>
      </w:pPr>
    </w:p>
    <w:p>
      <w:pPr>
        <w:ind w:left="340" w:hanging="46"/>
        <w:spacing w:after="0" w:line="245" w:lineRule="auto"/>
        <w:rPr>
          <w:sz w:val="20"/>
          <w:szCs w:val="20"/>
          <w:color w:val="auto"/>
        </w:rPr>
      </w:pPr>
      <w:r>
        <w:rPr>
          <w:rFonts w:ascii="Arial" w:cs="Arial" w:eastAsia="Arial" w:hAnsi="Arial"/>
          <w:sz w:val="16"/>
          <w:szCs w:val="16"/>
          <w:color w:val="auto"/>
        </w:rPr>
        <w:t>·Depreciation expense decreased in 2013 by $413,000 or 3.7% compared to 2012. This decrease was primarily related to several of our cinema assets reaching the end of their depreciable lives.</w:t>
      </w:r>
    </w:p>
    <w:p>
      <w:pPr>
        <w:ind w:left="340" w:hanging="46"/>
        <w:spacing w:after="0" w:line="245" w:lineRule="auto"/>
        <w:rPr>
          <w:sz w:val="20"/>
          <w:szCs w:val="20"/>
          <w:color w:val="auto"/>
        </w:rPr>
      </w:pPr>
      <w:r>
        <w:rPr>
          <w:rFonts w:ascii="Arial" w:cs="Arial" w:eastAsia="Arial" w:hAnsi="Arial"/>
          <w:sz w:val="16"/>
          <w:szCs w:val="16"/>
          <w:color w:val="auto"/>
        </w:rPr>
        <w:t>·General and administrative expense increased in 2013 by $675,000 or 26.0% compared to 2012. This increase was primarily related to an increase in labor expense from our U.S. and Australian cinema operations.</w:t>
      </w:r>
    </w:p>
    <w:p>
      <w:pPr>
        <w:ind w:left="340" w:hanging="46"/>
        <w:spacing w:after="0" w:line="245" w:lineRule="auto"/>
        <w:rPr>
          <w:sz w:val="20"/>
          <w:szCs w:val="20"/>
          <w:color w:val="auto"/>
        </w:rPr>
      </w:pPr>
      <w:r>
        <w:rPr>
          <w:rFonts w:ascii="Arial" w:cs="Arial" w:eastAsia="Arial" w:hAnsi="Arial"/>
          <w:sz w:val="16"/>
          <w:szCs w:val="16"/>
          <w:color w:val="auto"/>
        </w:rPr>
        <w:t>·Australian average exchange rates decreased by 6.5% from 2012 to 2013 and the New Zealand average exchange rates increased by 1.2% from 2012 to 2013 both of which had an impact on our statements of operations.</w:t>
      </w:r>
    </w:p>
    <w:p>
      <w:pPr>
        <w:ind w:left="340" w:hanging="46"/>
        <w:spacing w:after="0" w:line="250" w:lineRule="auto"/>
        <w:rPr>
          <w:sz w:val="20"/>
          <w:szCs w:val="20"/>
          <w:color w:val="auto"/>
        </w:rPr>
      </w:pPr>
      <w:r>
        <w:rPr>
          <w:rFonts w:ascii="Arial" w:cs="Arial" w:eastAsia="Arial" w:hAnsi="Arial"/>
          <w:sz w:val="16"/>
          <w:szCs w:val="16"/>
          <w:color w:val="auto"/>
        </w:rPr>
        <w:t>·As a result, cinema exhibition segment operating income increased in 2013 by $1.6 million compared to 2012 primarily from the aforementioned increase in revenue from our U.S. and New Zealand cinema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Cinema Results for 2012 Compared to 2011</w:t>
      </w:r>
    </w:p>
    <w:p>
      <w:pPr>
        <w:spacing w:after="0" w:line="168" w:lineRule="exact"/>
        <w:rPr>
          <w:sz w:val="20"/>
          <w:szCs w:val="20"/>
          <w:color w:val="auto"/>
        </w:rPr>
      </w:pPr>
    </w:p>
    <w:p>
      <w:pPr>
        <w:ind w:left="340" w:hanging="46"/>
        <w:spacing w:after="0" w:line="252" w:lineRule="auto"/>
        <w:rPr>
          <w:sz w:val="20"/>
          <w:szCs w:val="20"/>
          <w:color w:val="auto"/>
        </w:rPr>
      </w:pPr>
      <w:r>
        <w:rPr>
          <w:rFonts w:ascii="Arial" w:cs="Arial" w:eastAsia="Arial" w:hAnsi="Arial"/>
          <w:sz w:val="16"/>
          <w:szCs w:val="16"/>
          <w:color w:val="auto"/>
        </w:rPr>
        <w:t>·Cinema revenue increased in 2012 by $8.9 million or 3.9% compared to 2011. The geographic activity of our revenue can be summarized as follows:</w:t>
      </w:r>
    </w:p>
    <w:p>
      <w:pPr>
        <w:spacing w:after="0" w:line="1" w:lineRule="exact"/>
        <w:rPr>
          <w:sz w:val="20"/>
          <w:szCs w:val="20"/>
          <w:color w:val="auto"/>
        </w:rPr>
      </w:pPr>
    </w:p>
    <w:p>
      <w:pPr>
        <w:jc w:val="both"/>
        <w:ind w:left="960" w:hanging="116"/>
        <w:spacing w:after="0" w:line="296" w:lineRule="auto"/>
        <w:rPr>
          <w:sz w:val="20"/>
          <w:szCs w:val="20"/>
          <w:color w:val="auto"/>
        </w:rPr>
      </w:pPr>
      <w:r>
        <w:rPr>
          <w:rFonts w:ascii="Courier New" w:cs="Courier New" w:eastAsia="Courier New" w:hAnsi="Courier New"/>
          <w:sz w:val="13"/>
          <w:szCs w:val="13"/>
          <w:color w:val="auto"/>
        </w:rPr>
        <w:t xml:space="preserve">o </w:t>
      </w:r>
      <w:r>
        <w:rPr>
          <w:rFonts w:ascii="Arial" w:cs="Arial" w:eastAsia="Arial" w:hAnsi="Arial"/>
          <w:sz w:val="13"/>
          <w:szCs w:val="13"/>
          <w:color w:val="auto"/>
        </w:rPr>
        <w:t>United States - Revenue in the United States increased by $9.6 million or 9.0%. This increase in revenue was predominately</w:t>
      </w:r>
      <w:r>
        <w:rPr>
          <w:rFonts w:ascii="Courier New" w:cs="Courier New" w:eastAsia="Courier New" w:hAnsi="Courier New"/>
          <w:sz w:val="13"/>
          <w:szCs w:val="13"/>
          <w:color w:val="auto"/>
        </w:rPr>
        <w:t xml:space="preserve"> </w:t>
      </w:r>
      <w:r>
        <w:rPr>
          <w:rFonts w:ascii="Arial" w:cs="Arial" w:eastAsia="Arial" w:hAnsi="Arial"/>
          <w:sz w:val="13"/>
          <w:szCs w:val="13"/>
          <w:color w:val="auto"/>
        </w:rPr>
        <w:t>attributable to a 722,000 person increase in box office admissions and a commensurate increase in admissions and concessions revenue primarily from our 2011 acquisition of the CalOaks cinema in Murrieta, California and from our newly opened AFC Mosaic cinema in the greater Washington D.C. metropolitan area; offset by, a 0.7% decrease in the average ticket price.</w:t>
      </w:r>
    </w:p>
    <w:p>
      <w:pPr>
        <w:jc w:val="both"/>
        <w:ind w:left="960" w:hanging="116"/>
        <w:spacing w:after="0" w:line="237"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Australia - Revenue in Australia decreased by $3.0 million or 3.0%. This decrease in revenue was primarily related to a 91,000</w:t>
      </w:r>
      <w:r>
        <w:rPr>
          <w:rFonts w:ascii="Courier New" w:cs="Courier New" w:eastAsia="Courier New" w:hAnsi="Courier New"/>
          <w:sz w:val="16"/>
          <w:szCs w:val="16"/>
          <w:color w:val="auto"/>
        </w:rPr>
        <w:t xml:space="preserve"> </w:t>
      </w:r>
      <w:r>
        <w:rPr>
          <w:rFonts w:ascii="Arial" w:cs="Arial" w:eastAsia="Arial" w:hAnsi="Arial"/>
          <w:sz w:val="16"/>
          <w:szCs w:val="16"/>
          <w:color w:val="auto"/>
        </w:rPr>
        <w:t>person decrease in box office admissions coupled with a 3.9% decrease in the average ticket price resulting from a more competitive ticket pricing model. This decrease included the temporary closure of a cinema in Australia due to renovations during the second quarter. As noted below, there was only a nominal change in the Australian dollar compared to the U.S. dollar for the comparable period (see below).</w:t>
      </w:r>
    </w:p>
    <w:p>
      <w:pPr>
        <w:spacing w:after="0" w:line="3" w:lineRule="exact"/>
        <w:rPr>
          <w:sz w:val="20"/>
          <w:szCs w:val="20"/>
          <w:color w:val="auto"/>
        </w:rPr>
      </w:pPr>
    </w:p>
    <w:p>
      <w:pPr>
        <w:jc w:val="both"/>
        <w:ind w:left="960" w:hanging="116"/>
        <w:spacing w:after="0" w:line="253" w:lineRule="auto"/>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New Zealand - Revenue in New Zealand increased by $2.2 million or 13.3%. This increase in revenue was predominately</w:t>
      </w:r>
      <w:r>
        <w:rPr>
          <w:rFonts w:ascii="Courier New" w:cs="Courier New" w:eastAsia="Courier New" w:hAnsi="Courier New"/>
          <w:sz w:val="15"/>
          <w:szCs w:val="15"/>
          <w:color w:val="auto"/>
        </w:rPr>
        <w:t xml:space="preserve"> </w:t>
      </w:r>
      <w:r>
        <w:rPr>
          <w:rFonts w:ascii="Arial" w:cs="Arial" w:eastAsia="Arial" w:hAnsi="Arial"/>
          <w:sz w:val="15"/>
          <w:szCs w:val="15"/>
          <w:color w:val="auto"/>
        </w:rPr>
        <w:t>attributable to a year over year 236,000 person increase in admissions; offset by, a decrease in the average ticket price of 7.6% resulting from a more competitive ticket pricing model. The increase in New Zealand admissions was primarily as a result of the reopening of an earthquake damaged New Zealand multiplex in early January 2012. This increase in revenue was somewhat enhanced by an increase in the value of the New Zealand dollar compared to the U.S. dollar (see below).</w:t>
      </w:r>
    </w:p>
    <w:p>
      <w:pPr>
        <w:spacing w:after="0" w:line="3" w:lineRule="exact"/>
        <w:rPr>
          <w:sz w:val="20"/>
          <w:szCs w:val="20"/>
          <w:color w:val="auto"/>
        </w:rPr>
      </w:pPr>
    </w:p>
    <w:p>
      <w:pPr>
        <w:ind w:left="340" w:hanging="46"/>
        <w:spacing w:after="0" w:line="244" w:lineRule="auto"/>
        <w:rPr>
          <w:sz w:val="20"/>
          <w:szCs w:val="20"/>
          <w:color w:val="auto"/>
        </w:rPr>
      </w:pPr>
      <w:r>
        <w:rPr>
          <w:rFonts w:ascii="Arial" w:cs="Arial" w:eastAsia="Arial" w:hAnsi="Arial"/>
          <w:sz w:val="16"/>
          <w:szCs w:val="16"/>
          <w:color w:val="auto"/>
        </w:rPr>
        <w:t>·Operating expense increased in 2012 by $8.4 million or 4.4% compared to 2011. Year over year operating expense percentage increased in relation to revenue from 84.0% to 84.4%.</w:t>
      </w:r>
    </w:p>
    <w:p>
      <w:pPr>
        <w:spacing w:after="0" w:line="2" w:lineRule="exact"/>
        <w:rPr>
          <w:sz w:val="20"/>
          <w:szCs w:val="20"/>
          <w:color w:val="auto"/>
        </w:rPr>
      </w:pPr>
    </w:p>
    <w:p>
      <w:pPr>
        <w:ind w:left="960" w:hanging="116"/>
        <w:spacing w:after="0" w:line="227"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United States - Operating expense in the United States increased by $7.8 million or 8.3% primarily related to a $3.3 million</w:t>
      </w:r>
      <w:r>
        <w:rPr>
          <w:rFonts w:ascii="Courier New" w:cs="Courier New" w:eastAsia="Courier New" w:hAnsi="Courier New"/>
          <w:sz w:val="16"/>
          <w:szCs w:val="16"/>
          <w:color w:val="auto"/>
        </w:rPr>
        <w:t xml:space="preserve"> </w:t>
      </w:r>
      <w:r>
        <w:rPr>
          <w:rFonts w:ascii="Arial" w:cs="Arial" w:eastAsia="Arial" w:hAnsi="Arial"/>
          <w:sz w:val="16"/>
          <w:szCs w:val="16"/>
          <w:color w:val="auto"/>
        </w:rPr>
        <w:t>increase in film rent and advertising and a $3.1 million increase in other</w:t>
      </w:r>
    </w:p>
    <w:p>
      <w:pPr>
        <w:spacing w:after="0" w:line="200" w:lineRule="exact"/>
        <w:rPr>
          <w:sz w:val="20"/>
          <w:szCs w:val="20"/>
          <w:color w:val="auto"/>
        </w:rPr>
      </w:pPr>
    </w:p>
    <w:p>
      <w:pPr>
        <w:spacing w:after="0" w:line="3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0" w:name="page41"/>
    <w:bookmarkEnd w:id="40"/>
    <w:p>
      <w:pPr>
        <w:ind w:left="1120"/>
        <w:spacing w:after="0"/>
        <w:rPr>
          <w:sz w:val="20"/>
          <w:szCs w:val="20"/>
          <w:color w:val="auto"/>
        </w:rPr>
      </w:pPr>
      <w:r>
        <w:rPr>
          <w:rFonts w:ascii="Arial" w:cs="Arial" w:eastAsia="Arial" w:hAnsi="Arial"/>
          <w:sz w:val="15"/>
          <w:szCs w:val="15"/>
          <w:color w:val="auto"/>
        </w:rPr>
        <w:t>operating expense both of which were primarily associated with the aforementioned newly acquired and opened cinemas.</w:t>
      </w:r>
    </w:p>
    <w:p>
      <w:pPr>
        <w:spacing w:after="0" w:line="27" w:lineRule="exact"/>
        <w:rPr>
          <w:sz w:val="20"/>
          <w:szCs w:val="20"/>
          <w:color w:val="auto"/>
        </w:rPr>
      </w:pPr>
    </w:p>
    <w:p>
      <w:pPr>
        <w:jc w:val="both"/>
        <w:ind w:left="960" w:right="20" w:hanging="116"/>
        <w:spacing w:after="0" w:line="233"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Australia - Operating expense in Australia decreased by $616,000 or 0.8%. This decrease was in line with the above-mentioned</w:t>
      </w:r>
      <w:r>
        <w:rPr>
          <w:rFonts w:ascii="Courier New" w:cs="Courier New" w:eastAsia="Courier New" w:hAnsi="Courier New"/>
          <w:sz w:val="16"/>
          <w:szCs w:val="16"/>
          <w:color w:val="auto"/>
        </w:rPr>
        <w:t xml:space="preserve"> </w:t>
      </w:r>
      <w:r>
        <w:rPr>
          <w:rFonts w:ascii="Arial" w:cs="Arial" w:eastAsia="Arial" w:hAnsi="Arial"/>
          <w:sz w:val="16"/>
          <w:szCs w:val="16"/>
          <w:color w:val="auto"/>
        </w:rPr>
        <w:t>decrease in cinema revenue which directly affects film rental costs and with the year over year nominal increase in the value of the Australian dollar compared to the U.S. dollar (see below).</w:t>
      </w:r>
    </w:p>
    <w:p>
      <w:pPr>
        <w:jc w:val="both"/>
        <w:ind w:left="960" w:right="20" w:hanging="116"/>
        <w:spacing w:after="0" w:line="233"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Zealand - Operating expense in New Zealand increased by $1.2 million or 7.8%. This increase was in line with the above-mentioned increase in cinema revenue which directly affects film rental costs offset by the above-mentioned year over year increase in the value of the New Zealand dollar compared to the U.S. dollar (see below).</w:t>
      </w:r>
    </w:p>
    <w:p>
      <w:pPr>
        <w:spacing w:after="0" w:line="1" w:lineRule="exact"/>
        <w:rPr>
          <w:sz w:val="20"/>
          <w:szCs w:val="20"/>
          <w:color w:val="auto"/>
        </w:rPr>
      </w:pPr>
    </w:p>
    <w:p>
      <w:pPr>
        <w:ind w:left="340" w:right="20" w:hanging="46"/>
        <w:spacing w:after="0" w:line="245" w:lineRule="auto"/>
        <w:rPr>
          <w:sz w:val="20"/>
          <w:szCs w:val="20"/>
          <w:color w:val="auto"/>
        </w:rPr>
      </w:pPr>
      <w:r>
        <w:rPr>
          <w:rFonts w:ascii="Arial" w:cs="Arial" w:eastAsia="Arial" w:hAnsi="Arial"/>
          <w:sz w:val="16"/>
          <w:szCs w:val="16"/>
          <w:color w:val="auto"/>
        </w:rPr>
        <w:t>·Depreciation expense decreased in 2012 by $688,000 or 5.8% compared to 2011. This decrease was primarily related to several of our cinema assets reaching the end of their depreciable lives.</w:t>
      </w:r>
    </w:p>
    <w:p>
      <w:pPr>
        <w:ind w:left="340" w:right="20" w:hanging="46"/>
        <w:spacing w:after="0" w:line="245" w:lineRule="auto"/>
        <w:rPr>
          <w:sz w:val="20"/>
          <w:szCs w:val="20"/>
          <w:color w:val="auto"/>
        </w:rPr>
      </w:pPr>
      <w:r>
        <w:rPr>
          <w:rFonts w:ascii="Arial" w:cs="Arial" w:eastAsia="Arial" w:hAnsi="Arial"/>
          <w:sz w:val="16"/>
          <w:szCs w:val="16"/>
          <w:color w:val="auto"/>
        </w:rPr>
        <w:t>·General and administrative expense decreased in 2012 by $142,000 or 5.2% compared to 2011. This decrease was primarily related to preopening costs in 2011 for a newly opened Australian cinema which did not recur in 2012.</w:t>
      </w:r>
    </w:p>
    <w:p>
      <w:pPr>
        <w:ind w:left="340" w:right="20" w:hanging="46"/>
        <w:spacing w:after="0" w:line="245" w:lineRule="auto"/>
        <w:rPr>
          <w:sz w:val="20"/>
          <w:szCs w:val="20"/>
          <w:color w:val="auto"/>
        </w:rPr>
      </w:pPr>
      <w:r>
        <w:rPr>
          <w:rFonts w:ascii="Arial" w:cs="Arial" w:eastAsia="Arial" w:hAnsi="Arial"/>
          <w:sz w:val="16"/>
          <w:szCs w:val="16"/>
          <w:color w:val="auto"/>
        </w:rPr>
        <w:t>·Australian and New Zealand monthly average exchange rates for 2012 increased by 0.3% and 2.4%, respectively, from those in 2011, which had an overall positive impact our statements of operations.</w:t>
      </w:r>
    </w:p>
    <w:p>
      <w:pPr>
        <w:ind w:left="340" w:right="20" w:hanging="46"/>
        <w:spacing w:after="0" w:line="250" w:lineRule="auto"/>
        <w:rPr>
          <w:sz w:val="20"/>
          <w:szCs w:val="20"/>
          <w:color w:val="auto"/>
        </w:rPr>
      </w:pPr>
      <w:r>
        <w:rPr>
          <w:rFonts w:ascii="Arial" w:cs="Arial" w:eastAsia="Arial" w:hAnsi="Arial"/>
          <w:sz w:val="16"/>
          <w:szCs w:val="16"/>
          <w:color w:val="auto"/>
        </w:rPr>
        <w:t>·As a result, cinema exhibition segment operating income increased in 2012 by $1.3 million compared to 2011 primarily from the aforementioned increase in revenue from our Australian cinema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Real Estate Segment</w:t>
      </w:r>
    </w:p>
    <w:p>
      <w:pPr>
        <w:spacing w:after="0" w:line="161" w:lineRule="exact"/>
        <w:rPr>
          <w:sz w:val="20"/>
          <w:szCs w:val="20"/>
          <w:color w:val="auto"/>
        </w:rPr>
      </w:pPr>
    </w:p>
    <w:p>
      <w:pPr>
        <w:jc w:val="both"/>
        <w:ind w:right="20" w:firstLine="564"/>
        <w:spacing w:after="0" w:line="299" w:lineRule="auto"/>
        <w:rPr>
          <w:sz w:val="20"/>
          <w:szCs w:val="20"/>
          <w:color w:val="auto"/>
        </w:rPr>
      </w:pPr>
      <w:r>
        <w:rPr>
          <w:rFonts w:ascii="Arial" w:cs="Arial" w:eastAsia="Arial" w:hAnsi="Arial"/>
          <w:sz w:val="15"/>
          <w:szCs w:val="15"/>
          <w:color w:val="auto"/>
        </w:rPr>
        <w:t>As discussed above, our other business segment is the development and management of real estate. These holdings include our rental live theaters, certain fee owned properties used in our cinema business, and unimproved real estate held for development.</w:t>
      </w:r>
    </w:p>
    <w:p>
      <w:pPr>
        <w:spacing w:after="0" w:line="111" w:lineRule="exact"/>
        <w:rPr>
          <w:sz w:val="20"/>
          <w:szCs w:val="20"/>
          <w:color w:val="auto"/>
        </w:rPr>
      </w:pPr>
    </w:p>
    <w:p>
      <w:pPr>
        <w:jc w:val="both"/>
        <w:ind w:right="20" w:firstLine="564"/>
        <w:spacing w:after="0" w:line="280" w:lineRule="auto"/>
        <w:rPr>
          <w:sz w:val="20"/>
          <w:szCs w:val="20"/>
          <w:color w:val="auto"/>
        </w:rPr>
      </w:pPr>
      <w:r>
        <w:rPr>
          <w:rFonts w:ascii="Arial" w:cs="Arial" w:eastAsia="Arial" w:hAnsi="Arial"/>
          <w:sz w:val="15"/>
          <w:szCs w:val="15"/>
          <w:color w:val="auto"/>
        </w:rPr>
        <w:t>The tables and discussion that follow detail our operating results for our 2013, 2012, and 2011 real estate segment (dollars in thousands). All percentages below are expressed as a percent of total revenue except live theater cost which is expressed as a percentage of live theater rental and ancillary revenue, and property cost which is expressed as a percentage of property rental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Pr>
          <w:p>
            <w:pPr>
              <w:spacing w:after="0"/>
              <w:rPr>
                <w:sz w:val="20"/>
                <w:szCs w:val="20"/>
                <w:color w:val="auto"/>
              </w:rPr>
            </w:pPr>
            <w:r>
              <w:rPr>
                <w:rFonts w:ascii="Arial" w:cs="Arial" w:eastAsia="Arial" w:hAnsi="Arial"/>
                <w:sz w:val="16"/>
                <w:szCs w:val="16"/>
                <w:b w:val="1"/>
                <w:bCs w:val="1"/>
                <w:color w:val="auto"/>
                <w:w w:val="96"/>
              </w:rPr>
              <w:t>Operating  Income  by  Country  for  the  Year</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6"/>
                <w:szCs w:val="16"/>
                <w:color w:val="auto"/>
              </w:rPr>
              <w:t>Live theater rental and ancillary income</w:t>
            </w:r>
          </w:p>
        </w:tc>
        <w:tc>
          <w:tcPr>
            <w:tcW w:w="26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3,500</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3,500</w:t>
            </w:r>
          </w:p>
        </w:tc>
        <w:tc>
          <w:tcPr>
            <w:tcW w:w="20" w:type="dxa"/>
            <w:vAlign w:val="bottom"/>
          </w:tcPr>
          <w:p>
            <w:pPr>
              <w:spacing w:after="0"/>
              <w:rPr>
                <w:sz w:val="15"/>
                <w:szCs w:val="15"/>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income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1,692</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14,424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6,840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22,956</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5,192</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14,424</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6,840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26,456</w:t>
            </w:r>
          </w:p>
        </w:tc>
        <w:tc>
          <w:tcPr>
            <w:tcW w:w="20" w:type="dxa"/>
            <w:vAlign w:val="bottom"/>
          </w:tcPr>
          <w:p>
            <w:pPr>
              <w:spacing w:after="0"/>
              <w:rPr>
                <w:sz w:val="16"/>
                <w:szCs w:val="16"/>
                <w:color w:val="auto"/>
              </w:rPr>
            </w:pPr>
          </w:p>
        </w:tc>
      </w:tr>
      <w:tr>
        <w:trPr>
          <w:trHeight w:val="340"/>
        </w:trPr>
        <w:tc>
          <w:tcPr>
            <w:tcW w:w="3360" w:type="dxa"/>
            <w:vAlign w:val="bottom"/>
          </w:tcPr>
          <w:p>
            <w:pPr>
              <w:spacing w:after="0"/>
              <w:rPr>
                <w:sz w:val="20"/>
                <w:szCs w:val="20"/>
                <w:color w:val="auto"/>
              </w:rPr>
            </w:pPr>
            <w:r>
              <w:rPr>
                <w:rFonts w:ascii="Arial" w:cs="Arial" w:eastAsia="Arial" w:hAnsi="Arial"/>
                <w:sz w:val="16"/>
                <w:szCs w:val="16"/>
                <w:color w:val="auto"/>
              </w:rPr>
              <w:t>Live theater costs</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1,574</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1,574</w:t>
            </w:r>
          </w:p>
        </w:tc>
        <w:tc>
          <w:tcPr>
            <w:tcW w:w="20" w:type="dxa"/>
            <w:vAlign w:val="bottom"/>
          </w:tcPr>
          <w:p>
            <w:pPr>
              <w:spacing w:after="0"/>
              <w:rPr>
                <w:sz w:val="24"/>
                <w:szCs w:val="24"/>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Property rental cost</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316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2,362</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1,684</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4,362</w:t>
            </w:r>
          </w:p>
        </w:tc>
        <w:tc>
          <w:tcPr>
            <w:tcW w:w="20" w:type="dxa"/>
            <w:vAlign w:val="bottom"/>
          </w:tcPr>
          <w:p>
            <w:pPr>
              <w:spacing w:after="0"/>
              <w:rPr>
                <w:sz w:val="16"/>
                <w:szCs w:val="16"/>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946</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3,139</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809</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operating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2,836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5,501</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2,493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10,830</w:t>
            </w:r>
          </w:p>
        </w:tc>
        <w:tc>
          <w:tcPr>
            <w:tcW w:w="20" w:type="dxa"/>
            <w:vAlign w:val="bottom"/>
          </w:tcPr>
          <w:p>
            <w:pPr>
              <w:spacing w:after="0"/>
              <w:rPr>
                <w:sz w:val="16"/>
                <w:szCs w:val="16"/>
                <w:color w:val="auto"/>
              </w:rPr>
            </w:pPr>
          </w:p>
        </w:tc>
      </w:tr>
      <w:tr>
        <w:trPr>
          <w:trHeight w:val="340"/>
        </w:trPr>
        <w:tc>
          <w:tcPr>
            <w:tcW w:w="33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314</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2,635</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1,074</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4,023</w:t>
            </w:r>
          </w:p>
        </w:tc>
        <w:tc>
          <w:tcPr>
            <w:tcW w:w="20" w:type="dxa"/>
            <w:vAlign w:val="bottom"/>
          </w:tcPr>
          <w:p>
            <w:pPr>
              <w:spacing w:after="0"/>
              <w:rPr>
                <w:sz w:val="24"/>
                <w:szCs w:val="24"/>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527</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20" w:type="dxa"/>
            <w:vAlign w:val="bottom"/>
          </w:tcPr>
          <w:p>
            <w:pPr>
              <w:spacing w:after="0"/>
              <w:rPr>
                <w:sz w:val="17"/>
                <w:szCs w:val="17"/>
                <w:color w:val="auto"/>
              </w:rPr>
            </w:pPr>
          </w:p>
        </w:tc>
      </w:tr>
      <w:tr>
        <w:trPr>
          <w:trHeight w:val="184"/>
        </w:trPr>
        <w:tc>
          <w:tcPr>
            <w:tcW w:w="33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Segment operating income</w:t>
            </w:r>
          </w:p>
        </w:tc>
        <w:tc>
          <w:tcPr>
            <w:tcW w:w="2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1,975</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5,761</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3,223</w:t>
            </w:r>
          </w:p>
        </w:tc>
        <w:tc>
          <w:tcPr>
            <w:tcW w:w="4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10,959</w:t>
            </w:r>
          </w:p>
        </w:tc>
        <w:tc>
          <w:tcPr>
            <w:tcW w:w="20" w:type="dxa"/>
            <w:vAlign w:val="bottom"/>
          </w:tcPr>
          <w:p>
            <w:pPr>
              <w:spacing w:after="0"/>
              <w:rPr>
                <w:sz w:val="15"/>
                <w:szCs w:val="15"/>
                <w:color w:val="auto"/>
              </w:rPr>
            </w:pPr>
          </w:p>
        </w:tc>
      </w:tr>
      <w:tr>
        <w:trPr>
          <w:trHeight w:val="442"/>
        </w:trPr>
        <w:tc>
          <w:tcPr>
            <w:tcW w:w="3360" w:type="dxa"/>
            <w:vAlign w:val="bottom"/>
          </w:tcPr>
          <w:p>
            <w:pPr>
              <w:spacing w:after="0"/>
              <w:rPr>
                <w:sz w:val="20"/>
                <w:szCs w:val="20"/>
                <w:color w:val="auto"/>
              </w:rPr>
            </w:pPr>
            <w:r>
              <w:rPr>
                <w:rFonts w:ascii="Arial" w:cs="Arial" w:eastAsia="Arial" w:hAnsi="Arial"/>
                <w:sz w:val="16"/>
                <w:szCs w:val="16"/>
                <w:b w:val="1"/>
                <w:bCs w:val="1"/>
                <w:color w:val="auto"/>
                <w:w w:val="93"/>
              </w:rPr>
              <w:t>Operating Data as a Percentage of Revenue for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6"/>
                <w:szCs w:val="16"/>
                <w:color w:val="auto"/>
              </w:rPr>
              <w:t>Live theater rental and ancillary revenue</w:t>
            </w:r>
          </w:p>
        </w:tc>
        <w:tc>
          <w:tcPr>
            <w:tcW w:w="260" w:type="dxa"/>
            <w:vAlign w:val="bottom"/>
          </w:tcPr>
          <w:p>
            <w:pPr>
              <w:spacing w:after="0"/>
              <w:rPr>
                <w:sz w:val="15"/>
                <w:szCs w:val="15"/>
                <w:color w:val="auto"/>
              </w:rPr>
            </w:pP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67.4%</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13.2%</w:t>
            </w:r>
          </w:p>
        </w:tc>
        <w:tc>
          <w:tcPr>
            <w:tcW w:w="20" w:type="dxa"/>
            <w:vAlign w:val="bottom"/>
          </w:tcPr>
          <w:p>
            <w:pPr>
              <w:spacing w:after="0"/>
              <w:rPr>
                <w:sz w:val="15"/>
                <w:szCs w:val="15"/>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revenue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32.6%</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revenue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6"/>
                <w:szCs w:val="16"/>
                <w:color w:val="auto"/>
              </w:rPr>
            </w:pPr>
          </w:p>
        </w:tc>
      </w:tr>
      <w:tr>
        <w:trPr>
          <w:trHeight w:val="269"/>
        </w:trPr>
        <w:tc>
          <w:tcPr>
            <w:tcW w:w="3360" w:type="dxa"/>
            <w:vAlign w:val="bottom"/>
          </w:tcPr>
          <w:p>
            <w:pPr>
              <w:spacing w:after="0"/>
              <w:rPr>
                <w:sz w:val="20"/>
                <w:szCs w:val="20"/>
                <w:color w:val="auto"/>
              </w:rPr>
            </w:pPr>
            <w:r>
              <w:rPr>
                <w:rFonts w:ascii="Arial" w:cs="Arial" w:eastAsia="Arial" w:hAnsi="Arial"/>
                <w:sz w:val="16"/>
                <w:szCs w:val="16"/>
                <w:color w:val="auto"/>
              </w:rPr>
              <w:t>Live theater cost</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45.0%</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c>
          <w:tcPr>
            <w:tcW w:w="20" w:type="dxa"/>
            <w:vAlign w:val="bottom"/>
          </w:tcPr>
          <w:p>
            <w:pPr>
              <w:spacing w:after="0"/>
              <w:rPr>
                <w:sz w:val="23"/>
                <w:szCs w:val="23"/>
                <w:color w:val="auto"/>
              </w:rPr>
            </w:pPr>
          </w:p>
        </w:tc>
      </w:tr>
      <w:tr>
        <w:trPr>
          <w:trHeight w:val="716"/>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3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3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127" w:right="1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Property cost</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18.7%</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16.4%</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24.6%</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7"/>
                <w:szCs w:val="17"/>
                <w:color w:val="auto"/>
              </w:rPr>
            </w:pPr>
          </w:p>
        </w:tc>
      </w:tr>
      <w:tr>
        <w:trPr>
          <w:trHeight w:val="282"/>
        </w:trPr>
        <w:tc>
          <w:tcPr>
            <w:tcW w:w="3360" w:type="dxa"/>
            <w:vAlign w:val="bottom"/>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18.2%</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11.8%</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24"/>
                <w:szCs w:val="24"/>
                <w:color w:val="auto"/>
              </w:rPr>
            </w:pPr>
          </w:p>
        </w:tc>
      </w:t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Total operating cost and expense</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54.6%</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38.1%</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36.4%</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w:t>
            </w:r>
          </w:p>
        </w:tc>
        <w:tc>
          <w:tcPr>
            <w:tcW w:w="20" w:type="dxa"/>
            <w:vAlign w:val="bottom"/>
          </w:tcPr>
          <w:p>
            <w:pPr>
              <w:spacing w:after="0"/>
              <w:rPr>
                <w:sz w:val="17"/>
                <w:szCs w:val="17"/>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18.3%</w:t>
            </w: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15.7%</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23"/>
                <w:szCs w:val="23"/>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Impairment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6"/>
                <w:szCs w:val="16"/>
                <w:color w:val="auto"/>
              </w:rPr>
            </w:pPr>
          </w:p>
        </w:tc>
      </w:t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38.0%</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39.9%</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47.1%</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41.4%</w:t>
            </w:r>
          </w:p>
        </w:tc>
        <w:tc>
          <w:tcPr>
            <w:tcW w:w="20" w:type="dxa"/>
            <w:vAlign w:val="bottom"/>
          </w:tcPr>
          <w:p>
            <w:pPr>
              <w:spacing w:after="0"/>
              <w:rPr>
                <w:sz w:val="17"/>
                <w:szCs w:val="17"/>
                <w:color w:val="auto"/>
              </w:rPr>
            </w:pPr>
          </w:p>
        </w:tc>
      </w:tr>
      <w:tr>
        <w:trPr>
          <w:trHeight w:val="454"/>
        </w:trPr>
        <w:tc>
          <w:tcPr>
            <w:tcW w:w="3360" w:type="dxa"/>
            <w:vAlign w:val="bottom"/>
          </w:tcPr>
          <w:p>
            <w:pPr>
              <w:spacing w:after="0"/>
              <w:rPr>
                <w:sz w:val="20"/>
                <w:szCs w:val="20"/>
                <w:color w:val="auto"/>
              </w:rPr>
            </w:pPr>
            <w:r>
              <w:rPr>
                <w:rFonts w:ascii="Arial" w:cs="Arial" w:eastAsia="Arial" w:hAnsi="Arial"/>
                <w:sz w:val="16"/>
                <w:szCs w:val="16"/>
                <w:b w:val="1"/>
                <w:bCs w:val="1"/>
                <w:color w:val="auto"/>
                <w:w w:val="96"/>
              </w:rPr>
              <w:t>Operating  Income  by  Country  for  the  Year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2012</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6"/>
                <w:szCs w:val="16"/>
                <w:color w:val="auto"/>
              </w:rPr>
              <w:t>Live theater rental and ancillary income</w:t>
            </w:r>
          </w:p>
        </w:tc>
        <w:tc>
          <w:tcPr>
            <w:tcW w:w="26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3,416</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3,416</w:t>
            </w:r>
          </w:p>
        </w:tc>
        <w:tc>
          <w:tcPr>
            <w:tcW w:w="20" w:type="dxa"/>
            <w:vAlign w:val="bottom"/>
          </w:tcPr>
          <w:p>
            <w:pPr>
              <w:spacing w:after="0"/>
              <w:rPr>
                <w:sz w:val="15"/>
                <w:szCs w:val="15"/>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income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1,690</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14,536</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7,614</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23,840</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5,106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14,536</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7,614</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27,256</w:t>
            </w:r>
          </w:p>
        </w:tc>
        <w:tc>
          <w:tcPr>
            <w:tcW w:w="20" w:type="dxa"/>
            <w:vAlign w:val="bottom"/>
          </w:tcPr>
          <w:p>
            <w:pPr>
              <w:spacing w:after="0"/>
              <w:rPr>
                <w:sz w:val="16"/>
                <w:szCs w:val="16"/>
                <w:color w:val="auto"/>
              </w:rPr>
            </w:pPr>
          </w:p>
        </w:tc>
      </w:tr>
      <w:tr>
        <w:trPr>
          <w:trHeight w:val="340"/>
        </w:trPr>
        <w:tc>
          <w:tcPr>
            <w:tcW w:w="3360" w:type="dxa"/>
            <w:vAlign w:val="bottom"/>
          </w:tcPr>
          <w:p>
            <w:pPr>
              <w:spacing w:after="0"/>
              <w:rPr>
                <w:sz w:val="20"/>
                <w:szCs w:val="20"/>
                <w:color w:val="auto"/>
              </w:rPr>
            </w:pPr>
            <w:r>
              <w:rPr>
                <w:rFonts w:ascii="Arial" w:cs="Arial" w:eastAsia="Arial" w:hAnsi="Arial"/>
                <w:sz w:val="16"/>
                <w:szCs w:val="16"/>
                <w:color w:val="auto"/>
              </w:rPr>
              <w:t>Live theater costs</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1,538</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1,538</w:t>
            </w:r>
          </w:p>
        </w:tc>
        <w:tc>
          <w:tcPr>
            <w:tcW w:w="20" w:type="dxa"/>
            <w:vAlign w:val="bottom"/>
          </w:tcPr>
          <w:p>
            <w:pPr>
              <w:spacing w:after="0"/>
              <w:rPr>
                <w:sz w:val="24"/>
                <w:szCs w:val="24"/>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Property rental cost</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3,262</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1,459</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5,177</w:t>
            </w:r>
          </w:p>
        </w:tc>
        <w:tc>
          <w:tcPr>
            <w:tcW w:w="20" w:type="dxa"/>
            <w:vAlign w:val="bottom"/>
          </w:tcPr>
          <w:p>
            <w:pPr>
              <w:spacing w:after="0"/>
              <w:rPr>
                <w:sz w:val="16"/>
                <w:szCs w:val="16"/>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857</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2,815</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776</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4,448</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operating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2,851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6,077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2,235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11,163</w:t>
            </w:r>
          </w:p>
        </w:tc>
        <w:tc>
          <w:tcPr>
            <w:tcW w:w="20" w:type="dxa"/>
            <w:vAlign w:val="bottom"/>
          </w:tcPr>
          <w:p>
            <w:pPr>
              <w:spacing w:after="0"/>
              <w:rPr>
                <w:sz w:val="16"/>
                <w:szCs w:val="16"/>
                <w:color w:val="auto"/>
              </w:rPr>
            </w:pPr>
          </w:p>
        </w:tc>
      </w:tr>
      <w:tr>
        <w:trPr>
          <w:trHeight w:val="340"/>
        </w:trPr>
        <w:tc>
          <w:tcPr>
            <w:tcW w:w="33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305</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2,824</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1,312</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4,441</w:t>
            </w:r>
          </w:p>
        </w:tc>
        <w:tc>
          <w:tcPr>
            <w:tcW w:w="20" w:type="dxa"/>
            <w:vAlign w:val="bottom"/>
          </w:tcPr>
          <w:p>
            <w:pPr>
              <w:spacing w:after="0"/>
              <w:rPr>
                <w:sz w:val="24"/>
                <w:szCs w:val="24"/>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535</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83</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718</w:t>
            </w:r>
          </w:p>
        </w:tc>
        <w:tc>
          <w:tcPr>
            <w:tcW w:w="20" w:type="dxa"/>
            <w:vAlign w:val="bottom"/>
          </w:tcPr>
          <w:p>
            <w:pPr>
              <w:spacing w:after="0"/>
              <w:rPr>
                <w:sz w:val="16"/>
                <w:szCs w:val="16"/>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Impairment expense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1,463</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20" w:type="dxa"/>
            <w:vAlign w:val="bottom"/>
          </w:tcPr>
          <w:p>
            <w:pPr>
              <w:spacing w:after="0"/>
              <w:rPr>
                <w:sz w:val="17"/>
                <w:szCs w:val="17"/>
                <w:color w:val="auto"/>
              </w:rPr>
            </w:pPr>
          </w:p>
        </w:tc>
      </w:tr>
      <w:tr>
        <w:trPr>
          <w:trHeight w:val="184"/>
        </w:trPr>
        <w:tc>
          <w:tcPr>
            <w:tcW w:w="33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Segment operating income</w:t>
            </w:r>
          </w:p>
        </w:tc>
        <w:tc>
          <w:tcPr>
            <w:tcW w:w="2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387</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5,100</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3,984</w:t>
            </w:r>
          </w:p>
        </w:tc>
        <w:tc>
          <w:tcPr>
            <w:tcW w:w="4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9,471</w:t>
            </w:r>
          </w:p>
        </w:tc>
        <w:tc>
          <w:tcPr>
            <w:tcW w:w="20" w:type="dxa"/>
            <w:vAlign w:val="bottom"/>
          </w:tcPr>
          <w:p>
            <w:pPr>
              <w:spacing w:after="0"/>
              <w:rPr>
                <w:sz w:val="15"/>
                <w:szCs w:val="15"/>
                <w:color w:val="auto"/>
              </w:rPr>
            </w:pPr>
          </w:p>
        </w:tc>
      </w:tr>
      <w:tr>
        <w:trPr>
          <w:trHeight w:val="453"/>
        </w:trPr>
        <w:tc>
          <w:tcPr>
            <w:tcW w:w="3360" w:type="dxa"/>
            <w:vAlign w:val="bottom"/>
          </w:tcPr>
          <w:p>
            <w:pPr>
              <w:spacing w:after="0"/>
              <w:rPr>
                <w:sz w:val="20"/>
                <w:szCs w:val="20"/>
                <w:color w:val="auto"/>
              </w:rPr>
            </w:pPr>
            <w:r>
              <w:rPr>
                <w:rFonts w:ascii="Arial" w:cs="Arial" w:eastAsia="Arial" w:hAnsi="Arial"/>
                <w:sz w:val="16"/>
                <w:szCs w:val="16"/>
                <w:b w:val="1"/>
                <w:bCs w:val="1"/>
                <w:color w:val="auto"/>
                <w:w w:val="93"/>
              </w:rPr>
              <w:t>Operating Data as a Percentage of Revenue for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2012</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6"/>
                <w:szCs w:val="16"/>
                <w:color w:val="auto"/>
              </w:rPr>
              <w:t>Live theater rental and ancillary revenue</w:t>
            </w:r>
          </w:p>
        </w:tc>
        <w:tc>
          <w:tcPr>
            <w:tcW w:w="260" w:type="dxa"/>
            <w:vAlign w:val="bottom"/>
          </w:tcPr>
          <w:p>
            <w:pPr>
              <w:spacing w:after="0"/>
              <w:rPr>
                <w:sz w:val="15"/>
                <w:szCs w:val="15"/>
                <w:color w:val="auto"/>
              </w:rPr>
            </w:pP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66.9%</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12.5%</w:t>
            </w:r>
          </w:p>
        </w:tc>
        <w:tc>
          <w:tcPr>
            <w:tcW w:w="20" w:type="dxa"/>
            <w:vAlign w:val="bottom"/>
          </w:tcPr>
          <w:p>
            <w:pPr>
              <w:spacing w:after="0"/>
              <w:rPr>
                <w:sz w:val="15"/>
                <w:szCs w:val="15"/>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revenue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revenue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6"/>
                <w:szCs w:val="16"/>
                <w:color w:val="auto"/>
              </w:rPr>
            </w:pPr>
          </w:p>
        </w:tc>
      </w:tr>
      <w:tr>
        <w:trPr>
          <w:trHeight w:val="258"/>
        </w:trPr>
        <w:tc>
          <w:tcPr>
            <w:tcW w:w="3360" w:type="dxa"/>
            <w:vAlign w:val="bottom"/>
          </w:tcPr>
          <w:p>
            <w:pPr>
              <w:spacing w:after="0"/>
              <w:rPr>
                <w:sz w:val="20"/>
                <w:szCs w:val="20"/>
                <w:color w:val="auto"/>
              </w:rPr>
            </w:pPr>
            <w:r>
              <w:rPr>
                <w:rFonts w:ascii="Arial" w:cs="Arial" w:eastAsia="Arial" w:hAnsi="Arial"/>
                <w:sz w:val="16"/>
                <w:szCs w:val="16"/>
                <w:color w:val="auto"/>
              </w:rPr>
              <w:t>Live theater cost</w:t>
            </w:r>
          </w:p>
        </w:tc>
        <w:tc>
          <w:tcPr>
            <w:tcW w:w="26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45.0%</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c>
          <w:tcPr>
            <w:tcW w:w="20" w:type="dxa"/>
            <w:vAlign w:val="bottom"/>
          </w:tcPr>
          <w:p>
            <w:pPr>
              <w:spacing w:after="0"/>
              <w:rPr>
                <w:sz w:val="22"/>
                <w:szCs w:val="22"/>
                <w:color w:val="auto"/>
              </w:rPr>
            </w:pPr>
          </w:p>
        </w:tc>
      </w:t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Property cost</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27.0%</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22.4%</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19.2%</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w:t>
            </w:r>
          </w:p>
        </w:tc>
        <w:tc>
          <w:tcPr>
            <w:tcW w:w="20" w:type="dxa"/>
            <w:vAlign w:val="bottom"/>
          </w:tcPr>
          <w:p>
            <w:pPr>
              <w:spacing w:after="0"/>
              <w:rPr>
                <w:sz w:val="17"/>
                <w:szCs w:val="17"/>
                <w:color w:val="auto"/>
              </w:rPr>
            </w:pPr>
          </w:p>
        </w:tc>
      </w:tr>
      <w:tr>
        <w:trPr>
          <w:trHeight w:val="282"/>
        </w:trPr>
        <w:tc>
          <w:tcPr>
            <w:tcW w:w="3360" w:type="dxa"/>
            <w:vAlign w:val="bottom"/>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16.8%</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24"/>
                <w:szCs w:val="24"/>
                <w:color w:val="auto"/>
              </w:rPr>
            </w:pPr>
          </w:p>
        </w:tc>
      </w:t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Total operating cost and expense</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55.8%</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41.8%</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29.4%</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w:t>
            </w:r>
          </w:p>
        </w:tc>
        <w:tc>
          <w:tcPr>
            <w:tcW w:w="20" w:type="dxa"/>
            <w:vAlign w:val="bottom"/>
          </w:tcPr>
          <w:p>
            <w:pPr>
              <w:spacing w:after="0"/>
              <w:rPr>
                <w:sz w:val="17"/>
                <w:szCs w:val="17"/>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17.2%</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23"/>
                <w:szCs w:val="23"/>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Impairment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28.7%</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6"/>
                <w:szCs w:val="16"/>
                <w:color w:val="auto"/>
              </w:rPr>
            </w:pPr>
          </w:p>
        </w:tc>
      </w:t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6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35.1%</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52.3%</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17"/>
                <w:szCs w:val="17"/>
                <w:color w:val="auto"/>
              </w:rPr>
            </w:pPr>
          </w:p>
        </w:tc>
      </w:tr>
      <w:tr>
        <w:trPr>
          <w:trHeight w:val="466"/>
        </w:trPr>
        <w:tc>
          <w:tcPr>
            <w:tcW w:w="3360" w:type="dxa"/>
            <w:vAlign w:val="bottom"/>
          </w:tcPr>
          <w:p>
            <w:pPr>
              <w:spacing w:after="0"/>
              <w:rPr>
                <w:sz w:val="20"/>
                <w:szCs w:val="20"/>
                <w:color w:val="auto"/>
              </w:rPr>
            </w:pPr>
            <w:r>
              <w:rPr>
                <w:rFonts w:ascii="Arial" w:cs="Arial" w:eastAsia="Arial" w:hAnsi="Arial"/>
                <w:sz w:val="16"/>
                <w:szCs w:val="16"/>
                <w:b w:val="1"/>
                <w:bCs w:val="1"/>
                <w:color w:val="auto"/>
                <w:w w:val="96"/>
              </w:rPr>
              <w:t>Operating  Income  by  Country  for  the  Year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Ended December 31, 2011</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6"/>
                <w:szCs w:val="16"/>
                <w:color w:val="auto"/>
              </w:rPr>
              <w:t>Live theater rental and ancillary income</w:t>
            </w:r>
          </w:p>
        </w:tc>
        <w:tc>
          <w:tcPr>
            <w:tcW w:w="26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3,507</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3,507</w:t>
            </w:r>
          </w:p>
        </w:tc>
        <w:tc>
          <w:tcPr>
            <w:tcW w:w="20" w:type="dxa"/>
            <w:vAlign w:val="bottom"/>
          </w:tcPr>
          <w:p>
            <w:pPr>
              <w:spacing w:after="0"/>
              <w:rPr>
                <w:sz w:val="15"/>
                <w:szCs w:val="15"/>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income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1,714</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13,850</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7,491</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23,055</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5,221</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13,850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7,491</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26,562</w:t>
            </w:r>
          </w:p>
        </w:tc>
        <w:tc>
          <w:tcPr>
            <w:tcW w:w="20" w:type="dxa"/>
            <w:vAlign w:val="bottom"/>
          </w:tcPr>
          <w:p>
            <w:pPr>
              <w:spacing w:after="0"/>
              <w:rPr>
                <w:sz w:val="16"/>
                <w:szCs w:val="16"/>
                <w:color w:val="auto"/>
              </w:rPr>
            </w:pPr>
          </w:p>
        </w:tc>
      </w:tr>
      <w:tr>
        <w:trPr>
          <w:trHeight w:val="340"/>
        </w:trPr>
        <w:tc>
          <w:tcPr>
            <w:tcW w:w="3360" w:type="dxa"/>
            <w:vAlign w:val="bottom"/>
          </w:tcPr>
          <w:p>
            <w:pPr>
              <w:spacing w:after="0"/>
              <w:rPr>
                <w:sz w:val="20"/>
                <w:szCs w:val="20"/>
                <w:color w:val="auto"/>
              </w:rPr>
            </w:pPr>
            <w:r>
              <w:rPr>
                <w:rFonts w:ascii="Arial" w:cs="Arial" w:eastAsia="Arial" w:hAnsi="Arial"/>
                <w:sz w:val="16"/>
                <w:szCs w:val="16"/>
                <w:color w:val="auto"/>
              </w:rPr>
              <w:t>Live theater costs</w:t>
            </w:r>
          </w:p>
        </w:tc>
        <w:tc>
          <w:tcPr>
            <w:tcW w:w="26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1,505</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1,505</w:t>
            </w:r>
          </w:p>
        </w:tc>
        <w:tc>
          <w:tcPr>
            <w:tcW w:w="20" w:type="dxa"/>
            <w:vAlign w:val="bottom"/>
          </w:tcPr>
          <w:p>
            <w:pPr>
              <w:spacing w:after="0"/>
              <w:rPr>
                <w:sz w:val="24"/>
                <w:szCs w:val="24"/>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Property rental cost</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124</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2,507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1,375</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4,006</w:t>
            </w:r>
          </w:p>
        </w:tc>
        <w:tc>
          <w:tcPr>
            <w:tcW w:w="20" w:type="dxa"/>
            <w:vAlign w:val="bottom"/>
          </w:tcPr>
          <w:p>
            <w:pPr>
              <w:spacing w:after="0"/>
              <w:rPr>
                <w:sz w:val="16"/>
                <w:szCs w:val="16"/>
                <w:color w:val="auto"/>
              </w:rPr>
            </w:pPr>
          </w:p>
        </w:tc>
      </w:tr>
      <w:tr>
        <w:trPr>
          <w:trHeight w:val="20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Occupancy expense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845</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3,121</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713</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4,679</w:t>
            </w:r>
          </w:p>
        </w:tc>
        <w:tc>
          <w:tcPr>
            <w:tcW w:w="20" w:type="dxa"/>
            <w:vAlign w:val="bottom"/>
          </w:tcPr>
          <w:p>
            <w:pPr>
              <w:spacing w:after="0"/>
              <w:rPr>
                <w:sz w:val="17"/>
                <w:szCs w:val="17"/>
                <w:color w:val="auto"/>
              </w:rPr>
            </w:pPr>
          </w:p>
        </w:tc>
      </w:tr>
      <w:tr>
        <w:trPr>
          <w:trHeight w:val="192"/>
        </w:trPr>
        <w:tc>
          <w:tcPr>
            <w:tcW w:w="3360" w:type="dxa"/>
            <w:vAlign w:val="bottom"/>
          </w:tcPr>
          <w:p>
            <w:pPr>
              <w:spacing w:after="0"/>
              <w:rPr>
                <w:sz w:val="20"/>
                <w:szCs w:val="20"/>
                <w:color w:val="auto"/>
              </w:rPr>
            </w:pPr>
            <w:r>
              <w:rPr>
                <w:rFonts w:ascii="Arial" w:cs="Arial" w:eastAsia="Arial" w:hAnsi="Arial"/>
                <w:sz w:val="16"/>
                <w:szCs w:val="16"/>
                <w:color w:val="auto"/>
              </w:rPr>
              <w:t>Total operating expense</w:t>
            </w:r>
          </w:p>
        </w:tc>
        <w:tc>
          <w:tcPr>
            <w:tcW w:w="26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2,474</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5,628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2,088</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10,190</w:t>
            </w:r>
          </w:p>
        </w:tc>
        <w:tc>
          <w:tcPr>
            <w:tcW w:w="20" w:type="dxa"/>
            <w:vAlign w:val="bottom"/>
          </w:tcPr>
          <w:p>
            <w:pPr>
              <w:spacing w:after="0"/>
              <w:rPr>
                <w:sz w:val="16"/>
                <w:szCs w:val="16"/>
                <w:color w:val="auto"/>
              </w:rPr>
            </w:pPr>
          </w:p>
        </w:tc>
      </w:tr>
      <w:tr>
        <w:trPr>
          <w:trHeight w:val="880"/>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3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3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127" w:right="1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2,848</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1,270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4,444</w:t>
            </w: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32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554</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Impairment expense</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369</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r>
      <w:tr>
        <w:trPr>
          <w:trHeight w:val="184"/>
        </w:trPr>
        <w:tc>
          <w:tcPr>
            <w:tcW w:w="33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Segment operating income</w:t>
            </w:r>
          </w:p>
        </w:tc>
        <w:tc>
          <w:tcPr>
            <w:tcW w:w="3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2,389</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4,451</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4,073</w:t>
            </w:r>
          </w:p>
        </w:tc>
        <w:tc>
          <w:tcPr>
            <w:tcW w:w="4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10,913</w:t>
            </w:r>
          </w:p>
        </w:tc>
      </w:tr>
      <w:tr>
        <w:trPr>
          <w:trHeight w:val="453"/>
        </w:trPr>
        <w:tc>
          <w:tcPr>
            <w:tcW w:w="3300" w:type="dxa"/>
            <w:vAlign w:val="bottom"/>
          </w:tcPr>
          <w:p>
            <w:pPr>
              <w:spacing w:after="0"/>
              <w:rPr>
                <w:sz w:val="20"/>
                <w:szCs w:val="20"/>
                <w:color w:val="auto"/>
              </w:rPr>
            </w:pPr>
            <w:r>
              <w:rPr>
                <w:rFonts w:ascii="Arial" w:cs="Arial" w:eastAsia="Arial" w:hAnsi="Arial"/>
                <w:sz w:val="16"/>
                <w:szCs w:val="16"/>
                <w:b w:val="1"/>
                <w:bCs w:val="1"/>
                <w:color w:val="auto"/>
                <w:w w:val="91"/>
              </w:rPr>
              <w:t>Operating Data as a Percentage of Revenue for</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330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2011</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United States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Australia</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New Zealand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Live theater rental and ancillary revenue</w:t>
            </w:r>
          </w:p>
        </w:tc>
        <w:tc>
          <w:tcPr>
            <w:tcW w:w="320" w:type="dxa"/>
            <w:vAlign w:val="bottom"/>
          </w:tcPr>
          <w:p>
            <w:pPr>
              <w:spacing w:after="0"/>
              <w:rPr>
                <w:sz w:val="15"/>
                <w:szCs w:val="15"/>
                <w:color w:val="auto"/>
              </w:rPr>
            </w:pPr>
          </w:p>
        </w:tc>
        <w:tc>
          <w:tcPr>
            <w:tcW w:w="12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67.2%</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13.2%</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rental revenue</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32.8%</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192"/>
        </w:trPr>
        <w:tc>
          <w:tcPr>
            <w:tcW w:w="3300" w:type="dxa"/>
            <w:vAlign w:val="bottom"/>
          </w:tcPr>
          <w:p>
            <w:pPr>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8"/>
        </w:trPr>
        <w:tc>
          <w:tcPr>
            <w:tcW w:w="3300" w:type="dxa"/>
            <w:vAlign w:val="bottom"/>
          </w:tcPr>
          <w:p>
            <w:pPr>
              <w:spacing w:after="0"/>
              <w:rPr>
                <w:sz w:val="20"/>
                <w:szCs w:val="20"/>
                <w:color w:val="auto"/>
              </w:rPr>
            </w:pPr>
            <w:r>
              <w:rPr>
                <w:rFonts w:ascii="Arial" w:cs="Arial" w:eastAsia="Arial" w:hAnsi="Arial"/>
                <w:sz w:val="16"/>
                <w:szCs w:val="16"/>
                <w:color w:val="auto"/>
              </w:rPr>
              <w:t>Live theater cost</w:t>
            </w:r>
          </w:p>
        </w:tc>
        <w:tc>
          <w:tcPr>
            <w:tcW w:w="32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42.9%</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00"/>
        </w:trPr>
        <w:tc>
          <w:tcPr>
            <w:tcW w:w="3300" w:type="dxa"/>
            <w:vAlign w:val="bottom"/>
          </w:tcPr>
          <w:p>
            <w:pPr>
              <w:spacing w:after="0"/>
              <w:rPr>
                <w:sz w:val="20"/>
                <w:szCs w:val="20"/>
                <w:color w:val="auto"/>
              </w:rPr>
            </w:pPr>
            <w:r>
              <w:rPr>
                <w:rFonts w:ascii="Arial" w:cs="Arial" w:eastAsia="Arial" w:hAnsi="Arial"/>
                <w:sz w:val="16"/>
                <w:szCs w:val="16"/>
                <w:color w:val="auto"/>
              </w:rPr>
              <w:t>Property cost</w:t>
            </w:r>
          </w:p>
        </w:tc>
        <w:tc>
          <w:tcPr>
            <w:tcW w:w="32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18.1%</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18.4%</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82"/>
        </w:trPr>
        <w:tc>
          <w:tcPr>
            <w:tcW w:w="3300" w:type="dxa"/>
            <w:vAlign w:val="bottom"/>
          </w:tcPr>
          <w:p>
            <w:pPr>
              <w:spacing w:after="0"/>
              <w:rPr>
                <w:sz w:val="20"/>
                <w:szCs w:val="20"/>
                <w:color w:val="auto"/>
              </w:rPr>
            </w:pPr>
            <w:r>
              <w:rPr>
                <w:rFonts w:ascii="Arial" w:cs="Arial" w:eastAsia="Arial" w:hAnsi="Arial"/>
                <w:sz w:val="16"/>
                <w:szCs w:val="16"/>
                <w:color w:val="auto"/>
              </w:rPr>
              <w:t>Occupancy expense</w:t>
            </w:r>
          </w:p>
        </w:tc>
        <w:tc>
          <w:tcPr>
            <w:tcW w:w="32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16.2%</w:t>
            </w:r>
          </w:p>
        </w:tc>
        <w:tc>
          <w:tcPr>
            <w:tcW w:w="3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22.5%</w:t>
            </w: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9.5%</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00"/>
        </w:trPr>
        <w:tc>
          <w:tcPr>
            <w:tcW w:w="3300" w:type="dxa"/>
            <w:vAlign w:val="bottom"/>
          </w:tcPr>
          <w:p>
            <w:pPr>
              <w:spacing w:after="0"/>
              <w:rPr>
                <w:sz w:val="20"/>
                <w:szCs w:val="20"/>
                <w:color w:val="auto"/>
              </w:rPr>
            </w:pPr>
            <w:r>
              <w:rPr>
                <w:rFonts w:ascii="Arial" w:cs="Arial" w:eastAsia="Arial" w:hAnsi="Arial"/>
                <w:sz w:val="16"/>
                <w:szCs w:val="16"/>
                <w:color w:val="auto"/>
              </w:rPr>
              <w:t>Total operating cost and expense</w:t>
            </w:r>
          </w:p>
        </w:tc>
        <w:tc>
          <w:tcPr>
            <w:tcW w:w="32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47.4%</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40.6%</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27.9%</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70"/>
        </w:trPr>
        <w:tc>
          <w:tcPr>
            <w:tcW w:w="33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20.6%</w:t>
            </w: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17.0%</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32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0.8%</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3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6"/>
                <w:szCs w:val="16"/>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0.0%</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0"/>
        </w:trPr>
        <w:tc>
          <w:tcPr>
            <w:tcW w:w="330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32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45.8%</w:t>
            </w:r>
          </w:p>
        </w:tc>
        <w:tc>
          <w:tcPr>
            <w:tcW w:w="3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54.4%</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Results for 2013 Compared to 2012</w:t>
      </w:r>
    </w:p>
    <w:p>
      <w:pPr>
        <w:spacing w:after="0" w:line="157"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·Real estate revenue decreased by $800,000 or 2.9% compared to 2012. The decrease in revenue was primarily related to the closure of our Courtenay Central parking structure in July 2013 as a result of an earthquake in Wellington, New Zealand. Revenue was also affected by the aforementioned fluctuations in currency exchange rates (see below).</w:t>
      </w:r>
    </w:p>
    <w:p>
      <w:pPr>
        <w:jc w:val="both"/>
        <w:ind w:left="340" w:hanging="46"/>
        <w:spacing w:after="0" w:line="301" w:lineRule="auto"/>
        <w:rPr>
          <w:sz w:val="20"/>
          <w:szCs w:val="20"/>
          <w:color w:val="auto"/>
        </w:rPr>
      </w:pPr>
      <w:r>
        <w:rPr>
          <w:rFonts w:ascii="Arial" w:cs="Arial" w:eastAsia="Arial" w:hAnsi="Arial"/>
          <w:sz w:val="13"/>
          <w:szCs w:val="13"/>
          <w:color w:val="auto"/>
        </w:rPr>
        <w:t>·Operating expense for the real estate segment decreased by $333,000 or 3.0% compared to 2012. This decrease resulted primarily from a decrease in professional fees from our 2012 legal work associated with protecting the property rights of our Burwood property and with our residual railroad properties and the aforementioned fluctuations in currency exchange rates (see below). These decreases were in part offset by additional costs associated with the start of development work on our Wellington, New Zealand location in 2013.</w:t>
      </w:r>
    </w:p>
    <w:p>
      <w:pPr>
        <w:spacing w:after="0" w:line="2"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·General and administrative costs decreased by $74,000 or 10.3% compared to 2012 primarily due to an increase in our allowance for doubtful accounts for our U.S. properties in 2012 which did not recur in 2013.</w:t>
      </w:r>
    </w:p>
    <w:p>
      <w:pPr>
        <w:jc w:val="both"/>
        <w:ind w:left="340" w:hanging="46"/>
        <w:spacing w:after="0" w:line="245" w:lineRule="auto"/>
        <w:rPr>
          <w:sz w:val="20"/>
          <w:szCs w:val="20"/>
          <w:color w:val="auto"/>
        </w:rPr>
      </w:pPr>
      <w:r>
        <w:rPr>
          <w:rFonts w:ascii="Arial" w:cs="Arial" w:eastAsia="Arial" w:hAnsi="Arial"/>
          <w:sz w:val="16"/>
          <w:szCs w:val="16"/>
          <w:color w:val="auto"/>
        </w:rPr>
        <w:t>·Australian average exchange rates decreased by 6.5% from 2012 to 2013 and the New Zealand average exchange rates increased by 1.2% from 2012 to 2013 both of which had an impact on our statements of operations.</w:t>
      </w:r>
    </w:p>
    <w:p>
      <w:pPr>
        <w:ind w:left="280"/>
        <w:spacing w:after="0"/>
        <w:rPr>
          <w:sz w:val="20"/>
          <w:szCs w:val="20"/>
          <w:color w:val="auto"/>
        </w:rPr>
      </w:pPr>
      <w:r>
        <w:rPr>
          <w:rFonts w:ascii="Arial" w:cs="Arial" w:eastAsia="Arial" w:hAnsi="Arial"/>
          <w:sz w:val="16"/>
          <w:szCs w:val="16"/>
          <w:color w:val="auto"/>
        </w:rPr>
        <w:t>·As a result of the above, real estate segment income increased by $1.5 million or 15.7% compared to 2012.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Results for 2012 Compared to 2011</w:t>
      </w:r>
    </w:p>
    <w:p>
      <w:pPr>
        <w:spacing w:after="0" w:line="157"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·Real estate revenue increased by $694,000 or 2.6% compared to 2011. The increase in revenue was primarily related to an increase in rental income from our Australian and New Zealand ETRCs coupled with fluctuations in currency exchange rates (see below); offset by, a decrease in rent from our live theater venues in the U.S.</w:t>
      </w:r>
    </w:p>
    <w:p>
      <w:pPr>
        <w:jc w:val="both"/>
        <w:ind w:left="340" w:hanging="46"/>
        <w:spacing w:after="0" w:line="245" w:lineRule="auto"/>
        <w:rPr>
          <w:sz w:val="20"/>
          <w:szCs w:val="20"/>
          <w:color w:val="auto"/>
        </w:rPr>
      </w:pPr>
      <w:r>
        <w:rPr>
          <w:rFonts w:ascii="Arial" w:cs="Arial" w:eastAsia="Arial" w:hAnsi="Arial"/>
          <w:sz w:val="16"/>
          <w:szCs w:val="16"/>
          <w:color w:val="auto"/>
        </w:rPr>
        <w:t>·Operating expense for the real estate segment increased by $973,000 or 9.5% compared to 2011. This increase in expense was primarily related to higher repair, maintenance, and insurance costs for our operating properties, from legal costs incurred in 2012 associated with protecting the property rights of our Burwood property and with our residual railroad properties, and the aforementioned fluctuations in currency exchange rates (see below).</w:t>
      </w:r>
    </w:p>
    <w:p>
      <w:pPr>
        <w:jc w:val="both"/>
        <w:ind w:left="340" w:hanging="46"/>
        <w:spacing w:after="0" w:line="247" w:lineRule="auto"/>
        <w:rPr>
          <w:sz w:val="20"/>
          <w:szCs w:val="20"/>
          <w:color w:val="auto"/>
        </w:rPr>
      </w:pPr>
      <w:r>
        <w:rPr>
          <w:rFonts w:ascii="Arial" w:cs="Arial" w:eastAsia="Arial" w:hAnsi="Arial"/>
          <w:sz w:val="16"/>
          <w:szCs w:val="16"/>
          <w:color w:val="auto"/>
        </w:rPr>
        <w:t>·We recorded a real estate impairment loss in 2012 of $1.5 million related to our Coachella property (see Note 7 – Investment and Development Property to our 2012 Consolidated Financial Statements). As noted above, this property is owned by a limited liability company which is, in turn, 50% owned by Mr. James J.</w:t>
      </w: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3" w:name="page44"/>
    <w:bookmarkEnd w:id="43"/>
    <w:p>
      <w:pPr>
        <w:jc w:val="both"/>
        <w:ind w:left="560"/>
        <w:spacing w:after="0" w:line="250" w:lineRule="auto"/>
        <w:rPr>
          <w:sz w:val="20"/>
          <w:szCs w:val="20"/>
          <w:color w:val="auto"/>
        </w:rPr>
      </w:pPr>
      <w:r>
        <w:rPr>
          <w:rFonts w:ascii="Arial" w:cs="Arial" w:eastAsia="Arial" w:hAnsi="Arial"/>
          <w:sz w:val="16"/>
          <w:szCs w:val="16"/>
          <w:color w:val="auto"/>
        </w:rPr>
        <w:t>Cotter who, accordingly, shares in any impairment loss to the extent of his ownership interest. In 2011, we recorded a $369,000 impairment loss related to our Taringa real estate property. We subsequently sold the Taringa property on February 21, 2012 for $1.9 million (AUS$1.8 million).</w:t>
      </w:r>
    </w:p>
    <w:p>
      <w:pPr>
        <w:jc w:val="both"/>
        <w:ind w:left="340" w:hanging="46"/>
        <w:spacing w:after="0" w:line="245" w:lineRule="auto"/>
        <w:rPr>
          <w:sz w:val="20"/>
          <w:szCs w:val="20"/>
          <w:color w:val="auto"/>
        </w:rPr>
      </w:pPr>
      <w:r>
        <w:rPr>
          <w:rFonts w:ascii="Arial" w:cs="Arial" w:eastAsia="Arial" w:hAnsi="Arial"/>
          <w:sz w:val="16"/>
          <w:szCs w:val="16"/>
          <w:color w:val="auto"/>
        </w:rPr>
        <w:t>·General and administrative costs increased by $72,000 or 11.1% compared to 2011 primarily due to an increase in our allowance for doubtful accounts for our U.S. properties in 2012.</w:t>
      </w:r>
    </w:p>
    <w:p>
      <w:pPr>
        <w:jc w:val="both"/>
        <w:ind w:left="340" w:hanging="46"/>
        <w:spacing w:after="0" w:line="245" w:lineRule="auto"/>
        <w:rPr>
          <w:sz w:val="20"/>
          <w:szCs w:val="20"/>
          <w:color w:val="auto"/>
        </w:rPr>
      </w:pPr>
      <w:r>
        <w:rPr>
          <w:rFonts w:ascii="Arial" w:cs="Arial" w:eastAsia="Arial" w:hAnsi="Arial"/>
          <w:sz w:val="16"/>
          <w:szCs w:val="16"/>
          <w:color w:val="auto"/>
        </w:rPr>
        <w:t>·Australian and New Zealand monthly average exchange rates for 2012 increased by 0.3% and 2.4%, respectively, from those in 2011, which had an overall positive impact on our statements of operations.</w:t>
      </w:r>
    </w:p>
    <w:p>
      <w:pPr>
        <w:ind w:left="280"/>
        <w:spacing w:after="0"/>
        <w:rPr>
          <w:sz w:val="20"/>
          <w:szCs w:val="20"/>
          <w:color w:val="auto"/>
        </w:rPr>
      </w:pPr>
      <w:r>
        <w:rPr>
          <w:rFonts w:ascii="Arial" w:cs="Arial" w:eastAsia="Arial" w:hAnsi="Arial"/>
          <w:sz w:val="16"/>
          <w:szCs w:val="16"/>
          <w:color w:val="auto"/>
        </w:rPr>
        <w:t>·As a result of the above, real estate segment income decreased by $1.4 million or 13.2% compared to 2011.</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Non-Segment Activity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Non-segment expense/income includes expense and/or income that is not directly attributable to our two operating segments.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Compared to 2012</w:t>
      </w:r>
    </w:p>
    <w:p>
      <w:pPr>
        <w:spacing w:after="0" w:line="157" w:lineRule="exact"/>
        <w:rPr>
          <w:sz w:val="20"/>
          <w:szCs w:val="20"/>
          <w:color w:val="auto"/>
        </w:rPr>
      </w:pPr>
    </w:p>
    <w:p>
      <w:pPr>
        <w:jc w:val="both"/>
        <w:ind w:left="340" w:hanging="46"/>
        <w:spacing w:after="0" w:line="252" w:lineRule="auto"/>
        <w:rPr>
          <w:sz w:val="20"/>
          <w:szCs w:val="20"/>
          <w:color w:val="auto"/>
        </w:rPr>
      </w:pPr>
      <w:r>
        <w:rPr>
          <w:rFonts w:ascii="Arial" w:cs="Arial" w:eastAsia="Arial" w:hAnsi="Arial"/>
          <w:sz w:val="16"/>
          <w:szCs w:val="16"/>
          <w:color w:val="auto"/>
        </w:rPr>
        <w:t>·general and administrative expense increased by $1.3 million primarily related to an increase in compensation expense, pension costs, and additional audit fees..</w:t>
      </w:r>
    </w:p>
    <w:p>
      <w:pPr>
        <w:spacing w:after="0" w:line="1" w:lineRule="exact"/>
        <w:rPr>
          <w:sz w:val="20"/>
          <w:szCs w:val="20"/>
          <w:color w:val="auto"/>
        </w:rPr>
      </w:pPr>
    </w:p>
    <w:p>
      <w:pPr>
        <w:jc w:val="both"/>
        <w:ind w:left="340" w:hanging="46"/>
        <w:spacing w:after="0" w:line="301" w:lineRule="auto"/>
        <w:rPr>
          <w:sz w:val="20"/>
          <w:szCs w:val="20"/>
          <w:color w:val="auto"/>
        </w:rPr>
      </w:pPr>
      <w:r>
        <w:rPr>
          <w:rFonts w:ascii="Arial" w:cs="Arial" w:eastAsia="Arial" w:hAnsi="Arial"/>
          <w:sz w:val="13"/>
          <w:szCs w:val="13"/>
          <w:color w:val="auto"/>
        </w:rPr>
        <w:t>·net interest expense decreased by $6.4 million compared to 2012. The decrease in interest expense during the 2013 resulted from an overall decrease in our worldwide debt balances and a decrease in the interest rates on our corporate loans in the U.S. and Australia. Additionally, our interest expense was lower in the 2013 due to a decrease in the fair value of our interest rate swap liabilities in 2013 compared to an increase in these liabilities during the same period in 2012 resulting in a comparative decrease in interest expense from 2012 to 2013.</w:t>
      </w:r>
    </w:p>
    <w:p>
      <w:pPr>
        <w:spacing w:after="0" w:line="2" w:lineRule="exact"/>
        <w:rPr>
          <w:sz w:val="20"/>
          <w:szCs w:val="20"/>
          <w:color w:val="auto"/>
        </w:rPr>
      </w:pPr>
    </w:p>
    <w:p>
      <w:pPr>
        <w:jc w:val="both"/>
        <w:ind w:left="340" w:hanging="46"/>
        <w:spacing w:after="0" w:line="301" w:lineRule="auto"/>
        <w:rPr>
          <w:sz w:val="20"/>
          <w:szCs w:val="20"/>
          <w:color w:val="auto"/>
        </w:rPr>
      </w:pPr>
      <w:r>
        <w:rPr>
          <w:rFonts w:ascii="Arial" w:cs="Arial" w:eastAsia="Arial" w:hAnsi="Arial"/>
          <w:sz w:val="13"/>
          <w:szCs w:val="13"/>
          <w:color w:val="auto"/>
        </w:rPr>
        <w:t>·the $1.9 million in other income during 2013 was primarily related to a $1.4 million gain on the acquisition of a cinema and the receipt of insurance proceeds from our business interruption claim for the temporary closure of our cinema in Christchurch, New Zealand (see Note 26</w:t>
      </w:r>
    </w:p>
    <w:p>
      <w:pPr>
        <w:spacing w:after="0" w:line="1" w:lineRule="exact"/>
        <w:rPr>
          <w:sz w:val="20"/>
          <w:szCs w:val="20"/>
          <w:color w:val="auto"/>
        </w:rPr>
      </w:pPr>
    </w:p>
    <w:p>
      <w:pPr>
        <w:jc w:val="both"/>
        <w:ind w:left="340"/>
        <w:spacing w:after="0" w:line="24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Casualty Loss</w:t>
      </w:r>
      <w:r>
        <w:rPr>
          <w:rFonts w:ascii="Arial" w:cs="Arial" w:eastAsia="Arial" w:hAnsi="Arial"/>
          <w:sz w:val="16"/>
          <w:szCs w:val="16"/>
          <w:color w:val="auto"/>
        </w:rPr>
        <w:t xml:space="preserve"> to our 2013 Consolidated Financial Statements). The $563,000 in other income during 2012 was primarily related to the write off of our GE Capital loan costs at the time of the refinance of our U.S. Corporate Credit Facility with Bank of America; offset by, insurance proceeds from our business interruption claim for the temporary closure of our cinema in Christchurch, New Zealand due to the February 22, 2011 earthquake.</w:t>
      </w:r>
    </w:p>
    <w:p>
      <w:pPr>
        <w:jc w:val="both"/>
        <w:ind w:left="340" w:hanging="46"/>
        <w:spacing w:after="0" w:line="250" w:lineRule="auto"/>
        <w:rPr>
          <w:sz w:val="20"/>
          <w:szCs w:val="20"/>
          <w:color w:val="auto"/>
        </w:rPr>
      </w:pPr>
      <w:r>
        <w:rPr>
          <w:rFonts w:ascii="Arial" w:cs="Arial" w:eastAsia="Arial" w:hAnsi="Arial"/>
          <w:sz w:val="16"/>
          <w:szCs w:val="16"/>
          <w:color w:val="auto"/>
        </w:rPr>
        <w:t>·equity earnings from unconsolidated investments decreased by $252,000 primarily related to decrease in income from our Mt. Gravatt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2012 Compared to 2011</w:t>
      </w:r>
    </w:p>
    <w:p>
      <w:pPr>
        <w:spacing w:after="0" w:line="157"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·general and administrative expense decreased by $1.2 million primarily related to the one-time additional labor costs incurred during 2011, associated with the transfer of our accounting functions from the U.S. and Australia to New Zealand not being repeated in 2012, as well as some cost savings resulting from the synergies gained as a result of this move.</w:t>
      </w:r>
    </w:p>
    <w:p>
      <w:pPr>
        <w:jc w:val="both"/>
        <w:ind w:left="340" w:hanging="46"/>
        <w:spacing w:after="0" w:line="245" w:lineRule="auto"/>
        <w:rPr>
          <w:sz w:val="20"/>
          <w:szCs w:val="20"/>
          <w:color w:val="auto"/>
        </w:rPr>
      </w:pPr>
      <w:r>
        <w:rPr>
          <w:rFonts w:ascii="Arial" w:cs="Arial" w:eastAsia="Arial" w:hAnsi="Arial"/>
          <w:sz w:val="16"/>
          <w:szCs w:val="16"/>
          <w:color w:val="auto"/>
        </w:rPr>
        <w:t>·net interest expense decreased by $4.6 million compared to 2011. The decrease in interest expense during 2012 was primarily due to a smaller increase in the fair value of our interest rate swaps in 2012 than that noted for the same period in 2011 and to a decrease in interest rates specifically from our Trust Preferred Securities. Effective May 1, 2012, that interest rate changed from a fixed rate of 9.22%, which was in effect for the past five years, to a variable rate of 3 month LIBOR plus 4.00%, which will reset each quarter through the end of the loan, unless we choose to fix the rate again.</w:t>
      </w:r>
    </w:p>
    <w:p>
      <w:pPr>
        <w:spacing w:after="0" w:line="1" w:lineRule="exact"/>
        <w:rPr>
          <w:sz w:val="20"/>
          <w:szCs w:val="20"/>
          <w:color w:val="auto"/>
        </w:rPr>
      </w:pPr>
    </w:p>
    <w:p>
      <w:pPr>
        <w:jc w:val="both"/>
        <w:ind w:left="340" w:hanging="46"/>
        <w:spacing w:after="0" w:line="245" w:lineRule="auto"/>
        <w:rPr>
          <w:sz w:val="20"/>
          <w:szCs w:val="20"/>
          <w:color w:val="auto"/>
        </w:rPr>
      </w:pPr>
      <w:r>
        <w:rPr>
          <w:rFonts w:ascii="Arial" w:cs="Arial" w:eastAsia="Arial" w:hAnsi="Arial"/>
          <w:sz w:val="16"/>
          <w:szCs w:val="16"/>
          <w:color w:val="auto"/>
        </w:rPr>
        <w:t xml:space="preserve">·the $563,000 in other loss during 2012 was primarily related to the write off of our GE Capital loan costs at the time of the refinance of our U.S. Corporate Credit Facility with Bank of America; offset by, additional insurance proceeds from our business interruption claim for the temporary closure of our cinema in Christchurch, New Zealand due to the February 22, 2011 earthquake. The $1.2 million in other income during 2011 was primarily related to insurance proceeds from a partial payment of our business interruption claim for the aforementioned temporary closure of our cinema in Christchurch, New Zealand (see Note 26 – </w:t>
      </w:r>
      <w:r>
        <w:rPr>
          <w:rFonts w:ascii="Arial" w:cs="Arial" w:eastAsia="Arial" w:hAnsi="Arial"/>
          <w:sz w:val="16"/>
          <w:szCs w:val="16"/>
          <w:i w:val="1"/>
          <w:iCs w:val="1"/>
          <w:color w:val="auto"/>
        </w:rPr>
        <w:t>Casualty Loss</w:t>
      </w:r>
      <w:r>
        <w:rPr>
          <w:rFonts w:ascii="Arial" w:cs="Arial" w:eastAsia="Arial" w:hAnsi="Arial"/>
          <w:sz w:val="16"/>
          <w:szCs w:val="16"/>
          <w:color w:val="auto"/>
        </w:rPr>
        <w:t xml:space="preserve"> to our 2012 Consolidated Financial Statements).</w:t>
      </w:r>
    </w:p>
    <w:p>
      <w:pPr>
        <w:spacing w:after="0" w:line="1" w:lineRule="exact"/>
        <w:rPr>
          <w:sz w:val="20"/>
          <w:szCs w:val="20"/>
          <w:color w:val="auto"/>
        </w:rPr>
      </w:pPr>
    </w:p>
    <w:p>
      <w:pPr>
        <w:jc w:val="both"/>
        <w:ind w:left="340" w:hanging="46"/>
        <w:spacing w:after="0" w:line="250" w:lineRule="auto"/>
        <w:rPr>
          <w:sz w:val="20"/>
          <w:szCs w:val="20"/>
          <w:color w:val="auto"/>
        </w:rPr>
      </w:pPr>
      <w:r>
        <w:rPr>
          <w:rFonts w:ascii="Arial" w:cs="Arial" w:eastAsia="Arial" w:hAnsi="Arial"/>
          <w:sz w:val="16"/>
          <w:szCs w:val="16"/>
          <w:color w:val="auto"/>
        </w:rPr>
        <w:t>·the net income tax expense was $4.9 million during 2012 compared to a net income tax benefit of $12.3 million during 2011. The year over year change in 2012 was primarily related to a reduction in deferred</w:t>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72390</wp:posOffset>
            </wp:positionV>
            <wp:extent cx="5872480" cy="47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4" w:name="page45"/>
    <w:bookmarkEnd w:id="44"/>
    <w:p>
      <w:pPr>
        <w:jc w:val="both"/>
        <w:ind w:left="560"/>
        <w:spacing w:after="0" w:line="248" w:lineRule="auto"/>
        <w:rPr>
          <w:sz w:val="20"/>
          <w:szCs w:val="20"/>
          <w:color w:val="auto"/>
        </w:rPr>
      </w:pPr>
      <w:r>
        <w:rPr>
          <w:rFonts w:ascii="Arial" w:cs="Arial" w:eastAsia="Arial" w:hAnsi="Arial"/>
          <w:sz w:val="16"/>
          <w:szCs w:val="16"/>
          <w:color w:val="auto"/>
        </w:rPr>
        <w:t xml:space="preserve">tax assets in Australia, caused by the sale of certain assets, plus a reduction in loss carryforwards available to offset future Australia taxable income. For 2011, the change was primarily related to a one-time tax provision adjustment of $14.4 million caused by a reduction in the valuation allowance related to our Australian operations (see Note 14 – </w:t>
      </w:r>
      <w:r>
        <w:rPr>
          <w:rFonts w:ascii="Arial" w:cs="Arial" w:eastAsia="Arial" w:hAnsi="Arial"/>
          <w:sz w:val="16"/>
          <w:szCs w:val="16"/>
          <w:i w:val="1"/>
          <w:iCs w:val="1"/>
          <w:color w:val="auto"/>
        </w:rPr>
        <w:t>Income Tax</w:t>
      </w:r>
      <w:r>
        <w:rPr>
          <w:rFonts w:ascii="Arial" w:cs="Arial" w:eastAsia="Arial" w:hAnsi="Arial"/>
          <w:sz w:val="16"/>
          <w:szCs w:val="16"/>
          <w:color w:val="auto"/>
        </w:rPr>
        <w:t xml:space="preserve"> to our 2012 Consolidated Financial Statements).</w:t>
      </w:r>
    </w:p>
    <w:p>
      <w:pPr>
        <w:spacing w:after="0" w:line="3" w:lineRule="exact"/>
        <w:rPr>
          <w:sz w:val="20"/>
          <w:szCs w:val="20"/>
          <w:color w:val="auto"/>
        </w:rPr>
      </w:pPr>
    </w:p>
    <w:p>
      <w:pPr>
        <w:ind w:left="340" w:hanging="46"/>
        <w:spacing w:after="0" w:line="250" w:lineRule="auto"/>
        <w:rPr>
          <w:sz w:val="20"/>
          <w:szCs w:val="20"/>
          <w:color w:val="auto"/>
        </w:rPr>
      </w:pPr>
      <w:r>
        <w:rPr>
          <w:rFonts w:ascii="Arial" w:cs="Arial" w:eastAsia="Arial" w:hAnsi="Arial"/>
          <w:sz w:val="16"/>
          <w:szCs w:val="16"/>
          <w:color w:val="auto"/>
        </w:rPr>
        <w:t>·equity earnings from unconsolidated investments increased by $3.2 million primarily related to a 2011 $2.9 million impairment to our interest in Rialto Entertainment not repeated in 2012.</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68"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We are subject to income taxation in several jurisdictions throughout the world. Our effective tax rate and income tax liabilities will be affected by a number of factors, such as:</w:t>
      </w:r>
    </w:p>
    <w:p>
      <w:pPr>
        <w:spacing w:after="0" w:line="122" w:lineRule="exact"/>
        <w:rPr>
          <w:sz w:val="20"/>
          <w:szCs w:val="20"/>
          <w:color w:val="auto"/>
        </w:rPr>
      </w:pPr>
    </w:p>
    <w:p>
      <w:pPr>
        <w:ind w:left="380" w:hanging="97"/>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taxable income in particular jurisdictions;</w:t>
      </w:r>
    </w:p>
    <w:p>
      <w:pPr>
        <w:spacing w:after="0" w:line="15" w:lineRule="exact"/>
        <w:rPr>
          <w:rFonts w:ascii="Arial" w:cs="Arial" w:eastAsia="Arial" w:hAnsi="Arial"/>
          <w:sz w:val="16"/>
          <w:szCs w:val="16"/>
          <w:color w:val="auto"/>
        </w:rPr>
      </w:pPr>
    </w:p>
    <w:p>
      <w:pPr>
        <w:ind w:left="440" w:hanging="157"/>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rates in particular jurisdictions;</w:t>
      </w:r>
    </w:p>
    <w:p>
      <w:pPr>
        <w:spacing w:after="0" w:line="3" w:lineRule="exact"/>
        <w:rPr>
          <w:rFonts w:ascii="Arial" w:cs="Arial" w:eastAsia="Arial" w:hAnsi="Arial"/>
          <w:sz w:val="16"/>
          <w:szCs w:val="16"/>
          <w:color w:val="auto"/>
        </w:rPr>
      </w:pPr>
    </w:p>
    <w:p>
      <w:pPr>
        <w:ind w:left="480" w:hanging="197"/>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 treaties between jurisdictions;</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to which income is repatriated; and</w:t>
      </w:r>
    </w:p>
    <w:p>
      <w:pPr>
        <w:spacing w:after="0" w:line="3" w:lineRule="exact"/>
        <w:rPr>
          <w:rFonts w:ascii="Arial" w:cs="Arial" w:eastAsia="Arial" w:hAnsi="Arial"/>
          <w:sz w:val="16"/>
          <w:szCs w:val="16"/>
          <w:color w:val="auto"/>
        </w:rPr>
      </w:pPr>
    </w:p>
    <w:p>
      <w:pPr>
        <w:ind w:left="580" w:hanging="29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future changes in law.</w:t>
      </w:r>
    </w:p>
    <w:p>
      <w:pPr>
        <w:spacing w:after="0" w:line="14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Generally, we file consolidated or combined tax returns in jurisdictions that permit or require such filings. For jurisdictions that do not permit such a filing, we may owe income, franchise, or capital taxes even though, on an overall basis, we may have incurred a net loss for the tax year.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Income Attributable to Reading International, Inc. Common Shareholders</w:t>
      </w:r>
    </w:p>
    <w:p>
      <w:pPr>
        <w:spacing w:after="0" w:line="15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For the years ending 2013, 2012, and 2011, our consolidated business units produced a net income of $9.0 million (primarily driven by a decrease in our interest expense as noted above), a net loss of $914,000, and a net income of $10.0 million (primarily driven by a decrease in our tax provision of $14.4 million caused by a reduction in the valuation allowance related to our Australian operations), respectively, attributable to Reading International, Inc. common shareholders. For many of the years prior to 2013, we consistently experienced net losses. However, as explained in the Cinema and Real Estate segment sections above, we have generally noted improvements in our segment operating income such that we have a positive segment operating income for each of the years of 2013, 2012, and 2011, that in years past has been negative. Although we cannot assure that this trend will continue, we are committed to the overall improvement of earnings through good fiscal management.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Plan, Liquidity, and Capital Resources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Business Plan</w:t>
      </w:r>
    </w:p>
    <w:p>
      <w:pPr>
        <w:spacing w:after="0" w:line="157" w:lineRule="exact"/>
        <w:rPr>
          <w:sz w:val="20"/>
          <w:szCs w:val="20"/>
          <w:color w:val="auto"/>
        </w:rPr>
      </w:pPr>
    </w:p>
    <w:p>
      <w:pPr>
        <w:jc w:val="both"/>
        <w:ind w:firstLine="564"/>
        <w:spacing w:after="0" w:line="310" w:lineRule="auto"/>
        <w:rPr>
          <w:sz w:val="20"/>
          <w:szCs w:val="20"/>
          <w:color w:val="auto"/>
        </w:rPr>
      </w:pPr>
      <w:r>
        <w:rPr>
          <w:rFonts w:ascii="Arial" w:cs="Arial" w:eastAsia="Arial" w:hAnsi="Arial"/>
          <w:sz w:val="13"/>
          <w:szCs w:val="13"/>
          <w:color w:val="auto"/>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Since we believe the cinema exhibition business to be a mature business with most markets either adequately screened or over-screened, we see growth in our cinema business coming principally from the enhancement of our current cinemas, the development in select markets of specialty cinemas, and the opportunistic acquisition of already existing cinemas rather than from the development of new conventional cinemas. From time to time, we invest in the securities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spacing w:after="0" w:line="101"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 generating cinema operations and our cash consuming real estate development activities. We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16"/>
          <w:szCs w:val="16"/>
          <w:color w:val="auto"/>
        </w:rPr>
        <w:t>believe that by blending the cash generating capabilities of a cinema operation with the investment and development opportunities of our real estate development operation, our business strategy is unique among public companies.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Liquidity and Capital Resources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Currently, our liquidity needs continue to arise mainly from:</w:t>
      </w:r>
    </w:p>
    <w:p>
      <w:pPr>
        <w:spacing w:after="0" w:line="157" w:lineRule="exact"/>
        <w:rPr>
          <w:sz w:val="20"/>
          <w:szCs w:val="20"/>
          <w:color w:val="auto"/>
        </w:rPr>
      </w:pPr>
    </w:p>
    <w:p>
      <w:pPr>
        <w:ind w:left="500" w:hanging="217"/>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working capital requirements;</w:t>
      </w:r>
    </w:p>
    <w:p>
      <w:pPr>
        <w:spacing w:after="0" w:line="15" w:lineRule="exact"/>
        <w:rPr>
          <w:rFonts w:ascii="Arial" w:cs="Arial" w:eastAsia="Arial" w:hAnsi="Arial"/>
          <w:sz w:val="16"/>
          <w:szCs w:val="16"/>
          <w:color w:val="auto"/>
        </w:rPr>
      </w:pPr>
    </w:p>
    <w:p>
      <w:pPr>
        <w:ind w:left="540" w:hanging="257"/>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capital expenditures; and</w:t>
      </w:r>
    </w:p>
    <w:p>
      <w:pPr>
        <w:spacing w:after="0" w:line="3" w:lineRule="exact"/>
        <w:rPr>
          <w:rFonts w:ascii="Arial" w:cs="Arial" w:eastAsia="Arial" w:hAnsi="Arial"/>
          <w:sz w:val="16"/>
          <w:szCs w:val="16"/>
          <w:color w:val="auto"/>
        </w:rPr>
      </w:pPr>
    </w:p>
    <w:p>
      <w:pPr>
        <w:ind w:left="500" w:hanging="217"/>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debt servicing requirements.</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With the changes to the worldwide credit markets, the business community is concerned that credit will be more difficult to obtain especially for potentially risky ventures like business and asset acquisitions. However, we believe that our acquisitions over the past few years coupled with our strengthening operational cash flows demonstrate our ability to improve our profitability. We believe that this business model will help us to demonstrate to lending institutions our ability not only to make strategic acquisitions but also to service the associated debt.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Discussion of Our Statement of Cash Flows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discussion compares the changes in our cash flows over the past three years.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u w:val="single" w:color="auto"/>
          <w:color w:val="auto"/>
        </w:rPr>
        <w:t>2013 Compared to 2012</w:t>
      </w:r>
      <w:r>
        <w:rPr>
          <w:rFonts w:ascii="Arial" w:cs="Arial" w:eastAsia="Arial" w:hAnsi="Arial"/>
          <w:sz w:val="16"/>
          <w:szCs w:val="16"/>
          <w:color w:val="auto"/>
        </w:rPr>
        <w:t>. Cash provided by operations was $25.2 million in 2013 compared to $25.5 million in the 2012. The decrease in cash provided by operations of $313,000 was due primarily to a $5.1 million increase in operational cash flows; offset by, a $5.4 million decrease in cash from changes in operating assets and liabilities</w:t>
      </w:r>
    </w:p>
    <w:p>
      <w:pPr>
        <w:spacing w:after="0" w:line="13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u w:val="single" w:color="auto"/>
          <w:color w:val="auto"/>
        </w:rPr>
        <w:t>2012 Compared to 2011</w:t>
      </w:r>
      <w:r>
        <w:rPr>
          <w:rFonts w:ascii="Arial" w:cs="Arial" w:eastAsia="Arial" w:hAnsi="Arial"/>
          <w:sz w:val="16"/>
          <w:szCs w:val="16"/>
          <w:color w:val="auto"/>
        </w:rPr>
        <w:t>. Cash provided by operations was $25.5 million in 2012 compared to $24.3 million in the 2011. The increase in cash provided by operations of $1.2 million was due primarily to a $4.4 million increase in operational cash flows; offset by, a $3.2 million decrease in cash from changes in operating assets and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Cash used in investing activities was $6.1 million in 2013, $6.1 million in 2012, and $3.8 million in 2011. The following summarizes our discretionary investing activities for each of the three years ending December 31, 2013:</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$6.1 million cash used in 2013 was primarily related to:</w:t>
      </w:r>
    </w:p>
    <w:p>
      <w:pPr>
        <w:spacing w:after="0" w:line="168" w:lineRule="exact"/>
        <w:rPr>
          <w:sz w:val="20"/>
          <w:szCs w:val="20"/>
          <w:color w:val="auto"/>
        </w:rPr>
      </w:pPr>
    </w:p>
    <w:p>
      <w:pPr>
        <w:ind w:left="560" w:right="4620" w:hanging="277"/>
        <w:spacing w:after="0" w:line="444" w:lineRule="auto"/>
        <w:tabs>
          <w:tab w:leader="none" w:pos="3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$20.1 million in property enhancements to our existing properties; offset by</w:t>
      </w:r>
    </w:p>
    <w:p>
      <w:pPr>
        <w:ind w:left="420" w:hanging="137"/>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$1.6 million in cash provided from restricted cash;</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$1.9 million in cash received associated with a cinema acquisition;</w:t>
      </w:r>
    </w:p>
    <w:p>
      <w:pPr>
        <w:spacing w:after="0" w:line="3" w:lineRule="exact"/>
        <w:rPr>
          <w:rFonts w:ascii="Arial" w:cs="Arial" w:eastAsia="Arial" w:hAnsi="Arial"/>
          <w:sz w:val="16"/>
          <w:szCs w:val="16"/>
          <w:color w:val="auto"/>
        </w:rPr>
      </w:pPr>
    </w:p>
    <w:p>
      <w:pPr>
        <w:ind w:left="400" w:hanging="117"/>
        <w:spacing w:after="0"/>
        <w:tabs>
          <w:tab w:leader="none" w:pos="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 million of proceeds from a note receivable; and</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$8.0 million of proceeds from time deposits;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$6.1 million cash used in 2012 was primarily related to:</w:t>
      </w:r>
    </w:p>
    <w:p>
      <w:pPr>
        <w:spacing w:after="0" w:line="168" w:lineRule="exact"/>
        <w:rPr>
          <w:sz w:val="20"/>
          <w:szCs w:val="20"/>
          <w:color w:val="auto"/>
        </w:rPr>
      </w:pPr>
    </w:p>
    <w:p>
      <w:pPr>
        <w:ind w:left="380" w:hanging="97"/>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$8.2 million in property enhancements to our existing properties;</w:t>
      </w:r>
    </w:p>
    <w:p>
      <w:pPr>
        <w:spacing w:after="0" w:line="15" w:lineRule="exact"/>
        <w:rPr>
          <w:rFonts w:ascii="Arial" w:cs="Arial" w:eastAsia="Arial" w:hAnsi="Arial"/>
          <w:sz w:val="16"/>
          <w:szCs w:val="16"/>
          <w:color w:val="auto"/>
        </w:rPr>
      </w:pPr>
    </w:p>
    <w:p>
      <w:pPr>
        <w:ind w:left="440" w:hanging="157"/>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$8.0 million to purchase time deposits;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6" w:name="page47"/>
    <w:bookmarkEnd w:id="46"/>
    <w:p>
      <w:pPr>
        <w:ind w:left="420" w:hanging="137"/>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$1.8 million to purchase a note receivable; and</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$5.5 million for the purchase of the Coachella land acquisition;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92" w:lineRule="exact"/>
        <w:rPr>
          <w:sz w:val="20"/>
          <w:szCs w:val="20"/>
          <w:color w:val="auto"/>
        </w:rPr>
      </w:pPr>
    </w:p>
    <w:p>
      <w:pPr>
        <w:ind w:left="360" w:hanging="77"/>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$14.1 million of proceeds from the sale of our Taringa and Indooroopilly properties;</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$382,000 in return of investment in unconsolidated entities;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$3.0 million of proceeds from the sale of marketable securities.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$3.8 million cash used in 2011 was primarily related to:</w:t>
      </w:r>
    </w:p>
    <w:p>
      <w:pPr>
        <w:spacing w:after="0" w:line="168" w:lineRule="exact"/>
        <w:rPr>
          <w:sz w:val="20"/>
          <w:szCs w:val="20"/>
          <w:color w:val="auto"/>
        </w:rPr>
      </w:pPr>
    </w:p>
    <w:p>
      <w:pPr>
        <w:ind w:left="400" w:hanging="117"/>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$3.9 million for the purchase of the CalOaks cinema;</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$5.5 million in property enhancements to our existing properties;</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$168,000 of a change in restricted cash;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$2.8 million for the purchase of mortgage notes receivable;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·$1.9 million of net proceeds from the sale of our 66.7% share of the 5-screen Elsternwick Classic cinema located in Melbourne, Australia;</w:t>
      </w:r>
    </w:p>
    <w:p>
      <w:pPr>
        <w:spacing w:after="0" w:line="50" w:lineRule="exact"/>
        <w:rPr>
          <w:sz w:val="20"/>
          <w:szCs w:val="20"/>
          <w:color w:val="auto"/>
        </w:rPr>
      </w:pPr>
    </w:p>
    <w:p>
      <w:pPr>
        <w:ind w:left="380" w:hanging="97"/>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$143,000 of proceeds from the sale of marketable securities; and</w:t>
      </w:r>
    </w:p>
    <w:p>
      <w:pPr>
        <w:spacing w:after="0" w:line="3"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·$6.8 million of proceeds from the payoff of a long-term other receivable associated with our Malulani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57"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Cash used in financing activities was $17.8 million in 2013, $12.7 million in 2012 and $23.4 million in 2011. The following summarizes our financing activities for each of the three years ending December 31, 2013:</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$17.8 million cash used in 2013 was primarily related to:</w:t>
      </w:r>
    </w:p>
    <w:p>
      <w:pPr>
        <w:spacing w:after="0" w:line="168" w:lineRule="exact"/>
        <w:rPr>
          <w:sz w:val="20"/>
          <w:szCs w:val="20"/>
          <w:color w:val="auto"/>
        </w:rPr>
      </w:pPr>
    </w:p>
    <w:p>
      <w:pPr>
        <w:jc w:val="both"/>
        <w:ind w:left="340" w:hanging="47"/>
        <w:spacing w:after="0" w:line="250" w:lineRule="auto"/>
        <w:rPr>
          <w:sz w:val="20"/>
          <w:szCs w:val="20"/>
          <w:color w:val="auto"/>
        </w:rPr>
      </w:pPr>
      <w:r>
        <w:rPr>
          <w:rFonts w:ascii="Arial" w:cs="Arial" w:eastAsia="Arial" w:hAnsi="Arial"/>
          <w:sz w:val="16"/>
          <w:szCs w:val="16"/>
          <w:color w:val="auto"/>
        </w:rPr>
        <w:t>·$28.1 million of loan repayments including a $6.4 million payoff of our former Liberty Theaters Term Loan, a $6.8 million payoff of our Sutton Hill Capital Note, $5.5 million in payments on our Bank of America Revolver and Line of Credit, $8.6 million in payments on our NAB term debt, and a $592,000 payoff of the Nationwide Loan 1; and</w:t>
      </w:r>
    </w:p>
    <w:p>
      <w:pPr>
        <w:ind w:left="400" w:hanging="117"/>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$2.1 million in noncontrolling interests’ distributions;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92" w:lineRule="exact"/>
        <w:rPr>
          <w:sz w:val="20"/>
          <w:szCs w:val="20"/>
          <w:color w:val="auto"/>
        </w:rPr>
      </w:pPr>
    </w:p>
    <w:p>
      <w:pPr>
        <w:ind w:left="340" w:hanging="47"/>
        <w:spacing w:after="0" w:line="252" w:lineRule="auto"/>
        <w:rPr>
          <w:sz w:val="20"/>
          <w:szCs w:val="20"/>
          <w:color w:val="auto"/>
        </w:rPr>
      </w:pPr>
      <w:r>
        <w:rPr>
          <w:rFonts w:ascii="Arial" w:cs="Arial" w:eastAsia="Arial" w:hAnsi="Arial"/>
          <w:sz w:val="16"/>
          <w:szCs w:val="16"/>
          <w:color w:val="auto"/>
        </w:rPr>
        <w:t>·$12.5 million of new borrowing including $5.0 million from our Bank of America Revolver and $7.5 million from our new loan on the Orpheum and Minetta Lane Theatres offset by $563,000 of borrowing costs;</w:t>
      </w:r>
    </w:p>
    <w:p>
      <w:pPr>
        <w:spacing w:after="0" w:line="1" w:lineRule="exact"/>
        <w:rPr>
          <w:sz w:val="20"/>
          <w:szCs w:val="20"/>
          <w:color w:val="auto"/>
        </w:rPr>
      </w:pPr>
    </w:p>
    <w:p>
      <w:pPr>
        <w:ind w:left="400" w:hanging="117"/>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$263,000 in noncontrolling interests’ contributions;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$248,000 of proceeds from the exercise of employee stock options.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$12.7 million cash used in 2012 was primarily related to:</w:t>
      </w:r>
    </w:p>
    <w:p>
      <w:pPr>
        <w:spacing w:after="0" w:line="157" w:lineRule="exact"/>
        <w:rPr>
          <w:sz w:val="20"/>
          <w:szCs w:val="20"/>
          <w:color w:val="auto"/>
        </w:rPr>
      </w:pPr>
    </w:p>
    <w:p>
      <w:pPr>
        <w:ind w:left="340" w:hanging="47"/>
        <w:spacing w:after="0" w:line="265" w:lineRule="auto"/>
        <w:rPr>
          <w:sz w:val="20"/>
          <w:szCs w:val="20"/>
          <w:color w:val="auto"/>
        </w:rPr>
      </w:pPr>
      <w:r>
        <w:rPr>
          <w:rFonts w:ascii="Arial" w:cs="Arial" w:eastAsia="Arial" w:hAnsi="Arial"/>
          <w:sz w:val="16"/>
          <w:szCs w:val="16"/>
          <w:color w:val="auto"/>
        </w:rPr>
        <w:t>·$62.6 million of loan repayments including $15.0 million to pay off our Eurohypo Cinemas 1, 2, 3 loan, $32.2 million to pay off our GE Capital Loan, and $14.8 million in payments on our NAB term debt;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57" w:lineRule="exact"/>
        <w:rPr>
          <w:sz w:val="20"/>
          <w:szCs w:val="20"/>
          <w:color w:val="auto"/>
        </w:rPr>
      </w:pPr>
    </w:p>
    <w:p>
      <w:pPr>
        <w:jc w:val="both"/>
        <w:ind w:left="340" w:hanging="47"/>
        <w:spacing w:after="0" w:line="255" w:lineRule="auto"/>
        <w:rPr>
          <w:sz w:val="20"/>
          <w:szCs w:val="20"/>
          <w:color w:val="auto"/>
        </w:rPr>
      </w:pPr>
      <w:r>
        <w:rPr>
          <w:rFonts w:ascii="Arial" w:cs="Arial" w:eastAsia="Arial" w:hAnsi="Arial"/>
          <w:sz w:val="16"/>
          <w:szCs w:val="16"/>
          <w:color w:val="auto"/>
        </w:rPr>
        <w:t>·$47.0 million of new borrowing including $30.0 million of loan proceeds from our new Bank of America U.S. Credit Facility and $15.0 million of loan proceeds from our new Cinemas 1, 2, 3 loan (both offset by a total of $782,000 of capitalized borrowing cost) and $2.0 million of borrowing from our Bank of America line of credit;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7" w:name="page48"/>
    <w:bookmarkEnd w:id="47"/>
    <w:p>
      <w:pPr>
        <w:ind w:left="380" w:hanging="97"/>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$3.4 million in noncontrolling interests’ contributions; and</w:t>
      </w:r>
    </w:p>
    <w:p>
      <w:pPr>
        <w:spacing w:after="0" w:line="15" w:lineRule="exact"/>
        <w:rPr>
          <w:rFonts w:ascii="Arial" w:cs="Arial" w:eastAsia="Arial" w:hAnsi="Arial"/>
          <w:sz w:val="16"/>
          <w:szCs w:val="16"/>
          <w:color w:val="auto"/>
        </w:rPr>
      </w:pPr>
    </w:p>
    <w:p>
      <w:pPr>
        <w:ind w:left="380" w:hanging="97"/>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$308,000 of proceeds from the exercise of employee stock options.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$23.4 million cash used in 2011 was primarily related to:</w:t>
      </w:r>
    </w:p>
    <w:p>
      <w:pPr>
        <w:spacing w:after="0" w:line="168" w:lineRule="exact"/>
        <w:rPr>
          <w:sz w:val="20"/>
          <w:szCs w:val="20"/>
          <w:color w:val="auto"/>
        </w:rPr>
      </w:pPr>
    </w:p>
    <w:p>
      <w:pPr>
        <w:jc w:val="both"/>
        <w:ind w:left="340" w:hanging="47"/>
        <w:spacing w:after="0" w:line="250" w:lineRule="auto"/>
        <w:rPr>
          <w:sz w:val="20"/>
          <w:szCs w:val="20"/>
          <w:color w:val="auto"/>
        </w:rPr>
      </w:pPr>
      <w:r>
        <w:rPr>
          <w:rFonts w:ascii="Arial" w:cs="Arial" w:eastAsia="Arial" w:hAnsi="Arial"/>
          <w:sz w:val="16"/>
          <w:szCs w:val="16"/>
          <w:color w:val="auto"/>
        </w:rPr>
        <w:t>·$126.8 million of loan repayments including the $105.8 million payoff of our Australian BOSI loan, $5.3 million in loan repayment on our GE Capital Loan, $9.7 million payoff of our NAB revolver, $3.4 million loan repayment of our NAB term debt, and $2.0 million pay down of our Nationwide Notes;</w:t>
      </w:r>
    </w:p>
    <w:p>
      <w:pPr>
        <w:ind w:left="380" w:hanging="97"/>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$747,000 to repurchase our Class A Nonvoting Common Stock; and</w:t>
      </w:r>
    </w:p>
    <w:p>
      <w:pPr>
        <w:spacing w:after="0" w:line="3" w:lineRule="exact"/>
        <w:rPr>
          <w:rFonts w:ascii="Arial" w:cs="Arial" w:eastAsia="Arial" w:hAnsi="Arial"/>
          <w:sz w:val="16"/>
          <w:szCs w:val="16"/>
          <w:color w:val="auto"/>
        </w:rPr>
      </w:pPr>
    </w:p>
    <w:p>
      <w:pPr>
        <w:ind w:left="420" w:hanging="137"/>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$654,000 in noncontrolling interests’ distributions.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offset by,</w:t>
      </w:r>
    </w:p>
    <w:p>
      <w:pPr>
        <w:spacing w:after="0" w:line="157" w:lineRule="exact"/>
        <w:rPr>
          <w:sz w:val="20"/>
          <w:szCs w:val="20"/>
          <w:color w:val="auto"/>
        </w:rPr>
      </w:pPr>
    </w:p>
    <w:p>
      <w:pPr>
        <w:ind w:left="340" w:hanging="47"/>
        <w:spacing w:after="0" w:line="252" w:lineRule="auto"/>
        <w:rPr>
          <w:sz w:val="20"/>
          <w:szCs w:val="20"/>
          <w:color w:val="auto"/>
        </w:rPr>
      </w:pPr>
      <w:r>
        <w:rPr>
          <w:rFonts w:ascii="Arial" w:cs="Arial" w:eastAsia="Arial" w:hAnsi="Arial"/>
          <w:sz w:val="16"/>
          <w:szCs w:val="16"/>
          <w:color w:val="auto"/>
        </w:rPr>
        <w:t>·$105.3 million of new borrowing including $104.2 million of loan proceeds from our new NAB loan net of $774,000 of capitalized borrowing costs and $1.1 million of borrowing from our New Zealand credit facility; and</w:t>
      </w:r>
    </w:p>
    <w:p>
      <w:pPr>
        <w:spacing w:after="0" w:line="1" w:lineRule="exact"/>
        <w:rPr>
          <w:sz w:val="20"/>
          <w:szCs w:val="20"/>
          <w:color w:val="auto"/>
        </w:rPr>
      </w:pPr>
    </w:p>
    <w:p>
      <w:pPr>
        <w:ind w:left="400" w:hanging="117"/>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$233,000 in noncontrolling interests’ contributions.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Future Liquidity and Capital Resources</w:t>
      </w:r>
    </w:p>
    <w:p>
      <w:pPr>
        <w:spacing w:after="0" w:line="157"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During the past 24 months, we have put into place several measures that currently have or will have a positive effect on our overall liquidity, including:</w:t>
      </w:r>
    </w:p>
    <w:p>
      <w:pPr>
        <w:spacing w:after="0" w:line="122" w:lineRule="exact"/>
        <w:rPr>
          <w:sz w:val="20"/>
          <w:szCs w:val="20"/>
          <w:color w:val="auto"/>
        </w:rPr>
      </w:pPr>
    </w:p>
    <w:p>
      <w:pPr>
        <w:jc w:val="both"/>
        <w:ind w:left="340" w:hanging="46"/>
        <w:spacing w:after="0" w:line="252" w:lineRule="auto"/>
        <w:rPr>
          <w:sz w:val="20"/>
          <w:szCs w:val="20"/>
          <w:color w:val="auto"/>
        </w:rPr>
      </w:pPr>
      <w:r>
        <w:rPr>
          <w:rFonts w:ascii="Arial" w:cs="Arial" w:eastAsia="Arial" w:hAnsi="Arial"/>
          <w:sz w:val="16"/>
          <w:szCs w:val="16"/>
          <w:color w:val="auto"/>
        </w:rPr>
        <w:t>·refinancing our Liberty Theaters loan with a $7.5 million loan securitized by our Minetta and Orpheum theatres having a maturity date of June 1, 2018.</w:t>
      </w:r>
    </w:p>
    <w:p>
      <w:pPr>
        <w:spacing w:after="0" w:line="1" w:lineRule="exact"/>
        <w:rPr>
          <w:sz w:val="20"/>
          <w:szCs w:val="20"/>
          <w:color w:val="auto"/>
        </w:rPr>
      </w:pPr>
    </w:p>
    <w:p>
      <w:pPr>
        <w:ind w:left="280"/>
        <w:spacing w:after="0" w:line="245" w:lineRule="auto"/>
        <w:rPr>
          <w:sz w:val="20"/>
          <w:szCs w:val="20"/>
          <w:color w:val="auto"/>
        </w:rPr>
      </w:pPr>
      <w:r>
        <w:rPr>
          <w:rFonts w:ascii="Arial" w:cs="Arial" w:eastAsia="Arial" w:hAnsi="Arial"/>
          <w:sz w:val="16"/>
          <w:szCs w:val="16"/>
          <w:color w:val="auto"/>
        </w:rPr>
        <w:t>·replacing our GE Capital Term Loan of $27.7 million with a new revolving line of credit from Bank of America (the “BofA Revolver”) of $30.0 million which has significantly lower principal payments than those of our former GE Capital Term Loan. On March 25, 2013, Bank of America increased the borrowing limit on our BofA Revolver from $30.0 million to $35.0 million. ·renewing and increasing our existing $3.0 million line of credit with Bank of America to $5.0 million.</w:t>
      </w:r>
    </w:p>
    <w:p>
      <w:pPr>
        <w:jc w:val="both"/>
        <w:ind w:left="340" w:hanging="46"/>
        <w:spacing w:after="0" w:line="245" w:lineRule="auto"/>
        <w:rPr>
          <w:sz w:val="20"/>
          <w:szCs w:val="20"/>
          <w:color w:val="auto"/>
        </w:rPr>
      </w:pPr>
      <w:r>
        <w:rPr>
          <w:rFonts w:ascii="Arial" w:cs="Arial" w:eastAsia="Arial" w:hAnsi="Arial"/>
          <w:sz w:val="16"/>
          <w:szCs w:val="16"/>
          <w:color w:val="auto"/>
        </w:rPr>
        <w:t>·replacing our Eurohypo AG, New York Branch loan with a new $15.0 million Sovereign Bank, N.A. term loan having a one-year term ending on June 27, 2013 one year extension option to June 27, 2014 which we exercised in June 2013.</w:t>
      </w:r>
    </w:p>
    <w:p>
      <w:pPr>
        <w:jc w:val="both"/>
        <w:ind w:left="340" w:hanging="46"/>
        <w:spacing w:after="0" w:line="250" w:lineRule="auto"/>
        <w:rPr>
          <w:sz w:val="20"/>
          <w:szCs w:val="20"/>
          <w:color w:val="auto"/>
        </w:rPr>
      </w:pPr>
      <w:r>
        <w:rPr>
          <w:rFonts w:ascii="Arial" w:cs="Arial" w:eastAsia="Arial" w:hAnsi="Arial"/>
          <w:sz w:val="16"/>
          <w:szCs w:val="16"/>
          <w:color w:val="auto"/>
        </w:rPr>
        <w:t>·receiving, on February 8, 2012, an approved amendment from Westpac renewing our existing $36.9 million (NZ$45.0 million) New Zealand credit facility with a 3-year $32.8 million (NZ$40.0 million) credit facility.</w:t>
      </w:r>
    </w:p>
    <w:p>
      <w:pPr>
        <w:spacing w:after="0" w:line="145"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We believe that we have sufficient borrowing capacity to meet our short-term working capital requirements. To meet our current and future liquidity requirements, we have the following external sources of unused liquidity:</w:t>
      </w:r>
    </w:p>
    <w:p>
      <w:pPr>
        <w:spacing w:after="0" w:line="122" w:lineRule="exact"/>
        <w:rPr>
          <w:sz w:val="20"/>
          <w:szCs w:val="20"/>
          <w:color w:val="auto"/>
        </w:rPr>
      </w:pPr>
    </w:p>
    <w:p>
      <w:pPr>
        <w:ind w:left="360" w:hanging="77"/>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$9.9 million (NZ$12.0 million) is available on our New Zealand Corporate Credit facility;</w:t>
      </w:r>
    </w:p>
    <w:p>
      <w:pPr>
        <w:spacing w:after="0" w:line="15" w:lineRule="exact"/>
        <w:rPr>
          <w:rFonts w:ascii="Arial" w:cs="Arial" w:eastAsia="Arial" w:hAnsi="Arial"/>
          <w:sz w:val="16"/>
          <w:szCs w:val="16"/>
          <w:color w:val="auto"/>
        </w:rPr>
      </w:pPr>
    </w:p>
    <w:p>
      <w:pPr>
        <w:ind w:left="360" w:hanging="77"/>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$4.5 million (AUS$5.0 million) is available on our NAB revolver facility; and</w:t>
      </w:r>
    </w:p>
    <w:p>
      <w:pPr>
        <w:spacing w:after="0" w:line="3" w:lineRule="exact"/>
        <w:rPr>
          <w:rFonts w:ascii="Arial" w:cs="Arial" w:eastAsia="Arial" w:hAnsi="Arial"/>
          <w:sz w:val="16"/>
          <w:szCs w:val="16"/>
          <w:color w:val="auto"/>
        </w:rPr>
      </w:pPr>
    </w:p>
    <w:p>
      <w:pPr>
        <w:ind w:left="380" w:hanging="97"/>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$5.0 million is available on our Bank of America Line of Credit.</w:t>
      </w:r>
    </w:p>
    <w:p>
      <w:pPr>
        <w:spacing w:after="0" w:line="145"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Potential uses for funds during 2014 that would reduce our liquidity, other than those relating to working capital needs and debt service requirements include:</w:t>
      </w:r>
    </w:p>
    <w:p>
      <w:pPr>
        <w:spacing w:after="0" w:line="134" w:lineRule="exact"/>
        <w:rPr>
          <w:sz w:val="20"/>
          <w:szCs w:val="20"/>
          <w:color w:val="auto"/>
        </w:rPr>
      </w:pPr>
    </w:p>
    <w:p>
      <w:pPr>
        <w:ind w:left="360" w:hanging="77"/>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payments on our legal settlement obligation for the Tax/Audit Litigation;</w:t>
      </w:r>
    </w:p>
    <w:p>
      <w:pPr>
        <w:spacing w:after="0" w:line="15" w:lineRule="exact"/>
        <w:rPr>
          <w:rFonts w:ascii="Arial" w:cs="Arial" w:eastAsia="Arial" w:hAnsi="Arial"/>
          <w:sz w:val="16"/>
          <w:szCs w:val="16"/>
          <w:color w:val="auto"/>
        </w:rPr>
      </w:pPr>
    </w:p>
    <w:p>
      <w:pPr>
        <w:ind w:left="360" w:hanging="77"/>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selective development of our currently held for development projects; and</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acquisition of assets with proven cash flow that we believe to be resistant to the current recessionary trends.</w:t>
      </w:r>
    </w:p>
    <w:p>
      <w:pPr>
        <w:spacing w:after="0" w:line="18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are in the process of negotiating a renewal of our Australian NAB Corporate Term Loan and Corporate Revolver and are optimistic that a renewal will be consummated by May 31, 2014, on terms that are at least equal to those that are expiring at June 30, 2014. In addition we are seeking a further 12 to 24 month extension on our 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8" w:name="page49"/>
    <w:bookmarkEnd w:id="48"/>
    <w:p>
      <w:pPr>
        <w:spacing w:after="0"/>
        <w:rPr>
          <w:sz w:val="20"/>
          <w:szCs w:val="20"/>
          <w:color w:val="auto"/>
        </w:rPr>
      </w:pPr>
      <w:r>
        <w:rPr>
          <w:rFonts w:ascii="Arial" w:cs="Arial" w:eastAsia="Arial" w:hAnsi="Arial"/>
          <w:sz w:val="15"/>
          <w:szCs w:val="15"/>
          <w:color w:val="auto"/>
        </w:rPr>
        <w:t>Cinema 1, 2, 3 Term Loan which expires on June 27, 2014 and remain optimistic that this can be achieved by May 31, 2014 as well.</w:t>
      </w:r>
    </w:p>
    <w:p>
      <w:pPr>
        <w:spacing w:after="0" w:line="168"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Our worldwide cash position at December 31, 2013 was $37.7 million including $16.4 million in the U.S., $12.1 million in Australia, and $7.7 million in New Zealand. As part of our main credit facilities in Australia, New Zealand, and the U.S., we are subject to certain debt covenants which limit the transfer or use of cash outside of the various regional subsidiaries in which the cash is held. As such, at December 31, 2013, we have approximately $15.8 million of cash that is not restricted by loan covenants.</w:t>
      </w:r>
    </w:p>
    <w:p>
      <w:pPr>
        <w:spacing w:after="0" w:line="128"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principal repayments, interest payments, and short-term debt maturities plus any other debt service obligations, working capital, capital expenditures and other operating needs.</w:t>
      </w:r>
    </w:p>
    <w:p>
      <w:pPr>
        <w:spacing w:after="0" w:line="11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w:t>
      </w:r>
    </w:p>
    <w:p>
      <w:pPr>
        <w:spacing w:after="0" w:line="134" w:lineRule="exact"/>
        <w:rPr>
          <w:sz w:val="20"/>
          <w:szCs w:val="20"/>
          <w:color w:val="auto"/>
        </w:rPr>
      </w:pPr>
    </w:p>
    <w:p>
      <w:pPr>
        <w:ind w:left="360" w:hanging="77"/>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defer construction of projects currently slated for land presently owned by us;</w:t>
      </w:r>
    </w:p>
    <w:p>
      <w:pPr>
        <w:spacing w:after="0" w:line="15" w:lineRule="exact"/>
        <w:rPr>
          <w:rFonts w:ascii="Arial" w:cs="Arial" w:eastAsia="Arial" w:hAnsi="Arial"/>
          <w:sz w:val="16"/>
          <w:szCs w:val="16"/>
          <w:color w:val="auto"/>
        </w:rPr>
      </w:pPr>
    </w:p>
    <w:p>
      <w:pPr>
        <w:ind w:left="360" w:hanging="77"/>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take on joint venture partners with respect to such development projects; and/or</w:t>
      </w:r>
    </w:p>
    <w:p>
      <w:pPr>
        <w:spacing w:after="0" w:line="3" w:lineRule="exact"/>
        <w:rPr>
          <w:rFonts w:ascii="Arial" w:cs="Arial" w:eastAsia="Arial" w:hAnsi="Arial"/>
          <w:sz w:val="16"/>
          <w:szCs w:val="16"/>
          <w:color w:val="auto"/>
        </w:rPr>
      </w:pPr>
    </w:p>
    <w:p>
      <w:pPr>
        <w:ind w:left="720" w:hanging="437"/>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sell assets.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Contractual Obligations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 provides information with respect to the maturities and scheduled principal repayments of our secured debt and lease obligations at December 31, 2013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Total</w:t>
            </w:r>
          </w:p>
        </w:tc>
      </w:tr>
      <w:tr>
        <w:trPr>
          <w:trHeight w:val="168"/>
        </w:trPr>
        <w:tc>
          <w:tcPr>
            <w:tcW w:w="1900" w:type="dxa"/>
            <w:vAlign w:val="bottom"/>
          </w:tcPr>
          <w:p>
            <w:pPr>
              <w:ind w:left="100"/>
              <w:spacing w:after="0"/>
              <w:rPr>
                <w:sz w:val="20"/>
                <w:szCs w:val="20"/>
                <w:color w:val="auto"/>
              </w:rPr>
            </w:pPr>
            <w:r>
              <w:rPr>
                <w:rFonts w:ascii="Arial" w:cs="Arial" w:eastAsia="Arial" w:hAnsi="Arial"/>
                <w:sz w:val="14"/>
                <w:szCs w:val="14"/>
                <w:color w:val="auto"/>
              </w:rPr>
              <w:t>Debt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75,538</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33,009</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3,500</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21,000</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7,500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140,547</w:t>
            </w:r>
          </w:p>
        </w:tc>
      </w:tr>
      <w:tr>
        <w:trPr>
          <w:trHeight w:val="176"/>
        </w:trPr>
        <w:tc>
          <w:tcPr>
            <w:tcW w:w="1900" w:type="dxa"/>
            <w:vAlign w:val="bottom"/>
          </w:tcPr>
          <w:p>
            <w:pPr>
              <w:ind w:left="100"/>
              <w:spacing w:after="0"/>
              <w:rPr>
                <w:sz w:val="20"/>
                <w:szCs w:val="20"/>
                <w:color w:val="auto"/>
              </w:rPr>
            </w:pPr>
            <w:r>
              <w:rPr>
                <w:rFonts w:ascii="Arial" w:cs="Arial" w:eastAsia="Arial" w:hAnsi="Arial"/>
                <w:sz w:val="14"/>
                <w:szCs w:val="14"/>
                <w:color w:val="auto"/>
              </w:rPr>
              <w:t>Subordinated   notes   (trust</w:t>
            </w:r>
          </w:p>
        </w:tc>
        <w:tc>
          <w:tcPr>
            <w:tcW w:w="880" w:type="dxa"/>
            <w:vAlign w:val="bottom"/>
          </w:tcPr>
          <w:p>
            <w:pPr>
              <w:jc w:val="right"/>
              <w:ind w:right="210"/>
              <w:spacing w:after="0"/>
              <w:rPr>
                <w:sz w:val="20"/>
                <w:szCs w:val="20"/>
                <w:color w:val="auto"/>
              </w:rPr>
            </w:pPr>
            <w:r>
              <w:rPr>
                <w:rFonts w:ascii="Arial" w:cs="Arial" w:eastAsia="Arial" w:hAnsi="Arial"/>
                <w:sz w:val="14"/>
                <w:szCs w:val="14"/>
                <w:color w:val="auto"/>
              </w:rPr>
              <w:t>preferred</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190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27,913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27,913</w:t>
            </w:r>
          </w:p>
        </w:tc>
      </w:tr>
      <w:tr>
        <w:trPr>
          <w:trHeight w:val="176"/>
        </w:trPr>
        <w:tc>
          <w:tcPr>
            <w:tcW w:w="1900" w:type="dxa"/>
            <w:vAlign w:val="bottom"/>
          </w:tcPr>
          <w:p>
            <w:pPr>
              <w:ind w:left="100"/>
              <w:spacing w:after="0"/>
              <w:rPr>
                <w:sz w:val="20"/>
                <w:szCs w:val="20"/>
                <w:color w:val="auto"/>
              </w:rPr>
            </w:pPr>
            <w:r>
              <w:rPr>
                <w:rFonts w:ascii="Arial" w:cs="Arial" w:eastAsia="Arial" w:hAnsi="Arial"/>
                <w:sz w:val="14"/>
                <w:szCs w:val="14"/>
                <w:color w:val="auto"/>
              </w:rPr>
              <w:t>Tax settlement liability</w:t>
            </w:r>
          </w:p>
        </w:tc>
        <w:tc>
          <w:tcPr>
            <w:tcW w:w="8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3,480</w:t>
            </w:r>
          </w:p>
        </w:tc>
        <w:tc>
          <w:tcPr>
            <w:tcW w:w="2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2,301</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5,781</w:t>
            </w:r>
          </w:p>
        </w:tc>
      </w:tr>
      <w:tr>
        <w:trPr>
          <w:trHeight w:val="176"/>
        </w:trPr>
        <w:tc>
          <w:tcPr>
            <w:tcW w:w="1900" w:type="dxa"/>
            <w:vAlign w:val="bottom"/>
          </w:tcPr>
          <w:p>
            <w:pPr>
              <w:ind w:left="100"/>
              <w:spacing w:after="0"/>
              <w:rPr>
                <w:sz w:val="20"/>
                <w:szCs w:val="20"/>
                <w:color w:val="auto"/>
              </w:rPr>
            </w:pPr>
            <w:r>
              <w:rPr>
                <w:rFonts w:ascii="Arial" w:cs="Arial" w:eastAsia="Arial" w:hAnsi="Arial"/>
                <w:sz w:val="14"/>
                <w:szCs w:val="14"/>
                <w:color w:val="auto"/>
              </w:rPr>
              <w:t>Pension liability</w:t>
            </w:r>
          </w:p>
        </w:tc>
        <w:tc>
          <w:tcPr>
            <w:tcW w:w="8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633</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607</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7,191</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8,527</w:t>
            </w:r>
          </w:p>
        </w:tc>
      </w:tr>
      <w:tr>
        <w:trPr>
          <w:trHeight w:val="176"/>
        </w:trPr>
        <w:tc>
          <w:tcPr>
            <w:tcW w:w="1900" w:type="dxa"/>
            <w:vAlign w:val="bottom"/>
          </w:tcPr>
          <w:p>
            <w:pPr>
              <w:ind w:left="100"/>
              <w:spacing w:after="0"/>
              <w:rPr>
                <w:sz w:val="20"/>
                <w:szCs w:val="20"/>
                <w:color w:val="auto"/>
              </w:rPr>
            </w:pPr>
            <w:r>
              <w:rPr>
                <w:rFonts w:ascii="Arial" w:cs="Arial" w:eastAsia="Arial" w:hAnsi="Arial"/>
                <w:sz w:val="14"/>
                <w:szCs w:val="14"/>
                <w:color w:val="auto"/>
              </w:rPr>
              <w:t>Lease obligations</w:t>
            </w:r>
          </w:p>
        </w:tc>
        <w:tc>
          <w:tcPr>
            <w:tcW w:w="8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33,676</w:t>
            </w:r>
          </w:p>
        </w:tc>
        <w:tc>
          <w:tcPr>
            <w:tcW w:w="2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31,431</w:t>
            </w:r>
          </w:p>
        </w:tc>
        <w:tc>
          <w:tcPr>
            <w:tcW w:w="2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27,777</w:t>
            </w:r>
          </w:p>
        </w:tc>
        <w:tc>
          <w:tcPr>
            <w:tcW w:w="20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25,188</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21,427</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58,410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197,909</w:t>
            </w:r>
          </w:p>
        </w:tc>
      </w:tr>
      <w:tr>
        <w:trPr>
          <w:trHeight w:val="182"/>
        </w:trPr>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Estimated interest on debt</w:t>
            </w: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5,640</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3,744</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3,010</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1,846</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9,761</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25,239</w:t>
            </w:r>
          </w:p>
        </w:tc>
      </w:tr>
      <w:tr>
        <w:trPr>
          <w:trHeight w:val="174"/>
        </w:trPr>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118,348</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70,517</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34,337</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48,667</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103,275</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405,916</w:t>
            </w:r>
          </w:p>
        </w:tc>
      </w:tr>
    </w:tbl>
    <w:p>
      <w:pPr>
        <w:spacing w:after="0" w:line="15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Estimated interest on long-term debt is based on the anticipated loan balances for future periods calculated against current fixed and variable interest rates.</w:t>
      </w:r>
    </w:p>
    <w:p>
      <w:pPr>
        <w:spacing w:after="0" w:line="122" w:lineRule="exact"/>
        <w:rPr>
          <w:sz w:val="20"/>
          <w:szCs w:val="20"/>
          <w:color w:val="auto"/>
        </w:rPr>
      </w:pPr>
    </w:p>
    <w:p>
      <w:pPr>
        <w:jc w:val="both"/>
        <w:ind w:firstLine="564"/>
        <w:spacing w:after="0" w:line="313" w:lineRule="auto"/>
        <w:rPr>
          <w:sz w:val="20"/>
          <w:szCs w:val="20"/>
          <w:color w:val="auto"/>
        </w:rPr>
      </w:pPr>
      <w:r>
        <w:rPr>
          <w:rFonts w:ascii="Arial" w:cs="Arial" w:eastAsia="Arial" w:hAnsi="Arial"/>
          <w:sz w:val="13"/>
          <w:szCs w:val="13"/>
          <w:color w:val="auto"/>
        </w:rPr>
        <w:t xml:space="preserve">We adopted FASB ASC 740-10-25 – </w:t>
      </w:r>
      <w:r>
        <w:rPr>
          <w:rFonts w:ascii="Arial" w:cs="Arial" w:eastAsia="Arial" w:hAnsi="Arial"/>
          <w:sz w:val="13"/>
          <w:szCs w:val="13"/>
          <w:i w:val="1"/>
          <w:iCs w:val="1"/>
          <w:color w:val="auto"/>
        </w:rPr>
        <w:t>Income Taxes - Uncertain Tax Positions</w:t>
      </w:r>
      <w:r>
        <w:rPr>
          <w:rFonts w:ascii="Arial" w:cs="Arial" w:eastAsia="Arial" w:hAnsi="Arial"/>
          <w:sz w:val="13"/>
          <w:szCs w:val="13"/>
          <w:color w:val="auto"/>
        </w:rPr>
        <w:t xml:space="preserve"> on January 1, 2007. As of adoption, the total amount of gross unrecognized tax benefits for uncertain tax positions was $12.5 million increasing to $13.7 million, to $14.5 million, and to $15.3 million as of December 31, 2007, 2008, and 2009, respectively. As of December 31 2010, the gross unrecognized tax benefit increased to $20.6 million, substantially as a result of having settled our Tax Audit/Litigation case (see Note 19 –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our 2013 Consolidated Financial Statements). As of December 31, 2011, the gross unrecognized tax benefit decreased to $4.1 million largely because the Tax Audit/Litigation matter is no longer in the nature of an uncertain tax position governed by FASB ASC 740-10-25, but is a fixed and determinable tax liability. As of December 31, 2012 and 2013, the gross unrecognized tax benefit was $5.3 million and $4.0 million, respectively. We do not expect a significant tax payment related to the $4.0 million in uncertain tax positions within the next 12 months.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Unconsolidated Joint Venture Debt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49" w:name="page50"/>
    <w:bookmarkEnd w:id="49"/>
    <w:p>
      <w:pPr>
        <w:jc w:val="both"/>
        <w:ind w:firstLine="564"/>
        <w:spacing w:after="0" w:line="280" w:lineRule="auto"/>
        <w:rPr>
          <w:sz w:val="20"/>
          <w:szCs w:val="20"/>
          <w:color w:val="auto"/>
        </w:rPr>
      </w:pPr>
      <w:r>
        <w:rPr>
          <w:rFonts w:ascii="Arial" w:cs="Arial" w:eastAsia="Arial" w:hAnsi="Arial"/>
          <w:sz w:val="15"/>
          <w:szCs w:val="15"/>
          <w:color w:val="auto"/>
        </w:rPr>
        <w:t>Total debt of unconsolidated joint ventures was $634,000 and $703,000 as of December 31, 2013 and December 31, 2012, respectively. Our share of unconsolidated debt, based on our ownership percentage, was $211,000 and $234,000 as of December 31, 2013 and December 31, 2012, respectively. This loan is guaranteed by one of our subsidiaries to the extent of our ownership percentage.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Off-Balance Sheet Arrangements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There are no off-balance sheet transactions,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Risk Management</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w:t>
      </w:r>
    </w:p>
    <w:p>
      <w:pPr>
        <w:spacing w:after="0" w:line="142"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If our operational focus shifts more to Australia and New Zealand, unrealized foreign currency translation gains and losses could materially affect our financial position. Historically, we managed our currency exposure by creating natural hedges in Australia and New Zealand. This involves local country sourcing of goods and services as well as borrowing in local currencies. During 2012, we deviated somewhat from this practice by purchasing $8.0 million in time deposits denominated in U.S. dollars and held by an Australian bank. As a consequence, at December 31, 2013, we hold $4.5 million in Australia and $495,000 in New Zealand denominated in U.S. dollars. Also, by paying off our New Zealand debt and paying down on our Australian debt with the proceeds of our TPS in 2007, we added an increased element of currency risk to our Company. We believe that this currency risk is mitigated by the long-term nature of the fully subordinated notes and our ability in 2009 to repurchase, at a discount, some of these securities.</w:t>
      </w:r>
    </w:p>
    <w:p>
      <w:pPr>
        <w:spacing w:after="0" w:line="127"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Bank Bill Swap Bid Rate (BBSY bid rate), but requires that not less than 75% of the loan be swapped into fixed rate obligations but we have elected to swap 100% of the balance. Although our Bank of America Revolver does not require a fixed interest swap agreement, we entered into an approximate three-year $31.5 million fixed interest rate swap that has a balance reduction schedule which matches the contraction amortization of the Bank of America Revolver. Effective October 28, 2013, we entered into a three-year $27.9 million fixed interest rate swap for our Trust Preferred Securities (see Note 13 </w:t>
      </w:r>
      <w:r>
        <w:rPr>
          <w:rFonts w:ascii="Arial" w:cs="Arial" w:eastAsia="Arial" w:hAnsi="Arial"/>
          <w:sz w:val="15"/>
          <w:szCs w:val="15"/>
          <w:i w:val="1"/>
          <w:iCs w:val="1"/>
          <w:color w:val="auto"/>
        </w:rPr>
        <w:t>–Derivative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to our 2013 Consolidated Financial Statements).</w:t>
      </w:r>
    </w:p>
    <w:p>
      <w:pPr>
        <w:spacing w:after="0" w:line="12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In accordance with FASB ASC 815-20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marked our interest swap instruments to market on the consolidated balance sheet resulting in a $2.0 million decrease to interest expense during 2013, a $1.1 million increase to interest expense during 2012, and a $5.0 increase to interest expense during 2011.</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Inflation</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Pronouncements Adopted During 2013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50" w:name="page51"/>
    <w:bookmarkEnd w:id="50"/>
    <w:p>
      <w:pPr>
        <w:ind w:right="1580" w:firstLine="564"/>
        <w:spacing w:after="0" w:line="451" w:lineRule="auto"/>
        <w:rPr>
          <w:sz w:val="20"/>
          <w:szCs w:val="20"/>
          <w:color w:val="auto"/>
        </w:rPr>
      </w:pPr>
      <w:r>
        <w:rPr>
          <w:rFonts w:ascii="Arial" w:cs="Arial" w:eastAsia="Arial" w:hAnsi="Arial"/>
          <w:sz w:val="16"/>
          <w:szCs w:val="16"/>
          <w:color w:val="auto"/>
        </w:rPr>
        <w:t xml:space="preserve">Please 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to our 2013 Consolidated Financial Statements. </w:t>
      </w:r>
      <w:r>
        <w:rPr>
          <w:rFonts w:ascii="Arial" w:cs="Arial" w:eastAsia="Arial" w:hAnsi="Arial"/>
          <w:sz w:val="16"/>
          <w:szCs w:val="16"/>
          <w:u w:val="single" w:color="auto"/>
          <w:color w:val="auto"/>
        </w:rPr>
        <w:t>New Accounting Pronouncements</w:t>
      </w:r>
    </w:p>
    <w:p>
      <w:pPr>
        <w:spacing w:after="0" w:line="2" w:lineRule="exact"/>
        <w:rPr>
          <w:sz w:val="20"/>
          <w:szCs w:val="20"/>
          <w:color w:val="auto"/>
        </w:rPr>
      </w:pPr>
    </w:p>
    <w:p>
      <w:pPr>
        <w:ind w:right="1580" w:firstLine="564"/>
        <w:spacing w:after="0" w:line="444" w:lineRule="auto"/>
        <w:rPr>
          <w:sz w:val="20"/>
          <w:szCs w:val="20"/>
          <w:color w:val="auto"/>
        </w:rPr>
      </w:pPr>
      <w:r>
        <w:rPr>
          <w:rFonts w:ascii="Arial" w:cs="Arial" w:eastAsia="Arial" w:hAnsi="Arial"/>
          <w:sz w:val="16"/>
          <w:szCs w:val="16"/>
          <w:color w:val="auto"/>
        </w:rPr>
        <w:t xml:space="preserve">Please see Note 2 –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Policies to our 2013 Consolidated Financial Statements. </w:t>
      </w:r>
      <w:r>
        <w:rPr>
          <w:rFonts w:ascii="Arial" w:cs="Arial" w:eastAsia="Arial" w:hAnsi="Arial"/>
          <w:sz w:val="16"/>
          <w:szCs w:val="16"/>
          <w:b w:val="1"/>
          <w:bCs w:val="1"/>
          <w:u w:val="single" w:color="auto"/>
          <w:color w:val="auto"/>
        </w:rPr>
        <w:t>Forward-Looking Statements</w:t>
      </w:r>
    </w:p>
    <w:p>
      <w:pPr>
        <w:jc w:val="both"/>
        <w:ind w:firstLine="564"/>
        <w:spacing w:after="0" w:line="250" w:lineRule="auto"/>
        <w:rPr>
          <w:sz w:val="20"/>
          <w:szCs w:val="20"/>
          <w:color w:val="auto"/>
        </w:rPr>
      </w:pPr>
      <w:r>
        <w:rPr>
          <w:rFonts w:ascii="Arial" w:cs="Arial" w:eastAsia="Arial" w:hAnsi="Arial"/>
          <w:sz w:val="16"/>
          <w:szCs w:val="16"/>
          <w:color w:val="auto"/>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146"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w:t>
      </w:r>
    </w:p>
    <w:p>
      <w:pPr>
        <w:spacing w:after="0" w:line="11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Among the factors that could cause actual results to differ materially from those expressed in or underlying our forward-looking statements are the following:</w:t>
      </w:r>
    </w:p>
    <w:p>
      <w:pPr>
        <w:spacing w:after="0" w:line="122" w:lineRule="exact"/>
        <w:rPr>
          <w:sz w:val="20"/>
          <w:szCs w:val="20"/>
          <w:color w:val="auto"/>
        </w:rPr>
      </w:pPr>
    </w:p>
    <w:p>
      <w:pPr>
        <w:ind w:left="280"/>
        <w:spacing w:after="0"/>
        <w:tabs>
          <w:tab w:leader="none" w:pos="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with respect to our cinema operations:</w:t>
      </w:r>
    </w:p>
    <w:p>
      <w:pPr>
        <w:spacing w:after="0" w:line="5" w:lineRule="exact"/>
        <w:rPr>
          <w:sz w:val="20"/>
          <w:szCs w:val="20"/>
          <w:color w:val="auto"/>
        </w:rPr>
      </w:pPr>
    </w:p>
    <w:p>
      <w:pPr>
        <w:ind w:left="1020" w:hanging="173"/>
        <w:spacing w:after="0"/>
        <w:tabs>
          <w:tab w:leader="none" w:pos="102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number and attractiveness to movie goers of the films released in future periods;</w:t>
      </w:r>
    </w:p>
    <w:p>
      <w:pPr>
        <w:ind w:left="1020" w:hanging="173"/>
        <w:spacing w:after="0" w:line="227" w:lineRule="auto"/>
        <w:tabs>
          <w:tab w:leader="none" w:pos="102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amount of money spent by film distributors to promote their motion pictures;</w:t>
      </w:r>
    </w:p>
    <w:p>
      <w:pPr>
        <w:ind w:left="960" w:hanging="113"/>
        <w:spacing w:after="0" w:line="227" w:lineRule="auto"/>
        <w:tabs>
          <w:tab w:leader="none" w:pos="96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licensing fees and terms required by film distributors from motion picture exhibitors in order to exhibit their films;</w:t>
      </w:r>
    </w:p>
    <w:p>
      <w:pPr>
        <w:ind w:left="960" w:hanging="113"/>
        <w:spacing w:after="0" w:line="290" w:lineRule="auto"/>
        <w:tabs>
          <w:tab w:leader="none" w:pos="960" w:val="left"/>
        </w:tabs>
        <w:numPr>
          <w:ilvl w:val="1"/>
          <w:numId w:val="32"/>
        </w:numPr>
        <w:rPr>
          <w:rFonts w:ascii="Courier New" w:cs="Courier New" w:eastAsia="Courier New" w:hAnsi="Courier New"/>
          <w:sz w:val="13"/>
          <w:szCs w:val="13"/>
          <w:color w:val="auto"/>
        </w:rPr>
      </w:pPr>
      <w:r>
        <w:rPr>
          <w:rFonts w:ascii="Arial" w:cs="Arial" w:eastAsia="Arial" w:hAnsi="Arial"/>
          <w:sz w:val="13"/>
          <w:szCs w:val="13"/>
          <w:color w:val="auto"/>
        </w:rPr>
        <w:t>the comparative attractiveness of motion pictures as a source of entertainment and willingness and/or ability of consumers (i) to spend their dollars on entertainment and (ii) to spend their entertainment dollars on movies in an outside the home environment;</w:t>
      </w:r>
    </w:p>
    <w:p>
      <w:pPr>
        <w:jc w:val="both"/>
        <w:ind w:left="960" w:hanging="113"/>
        <w:spacing w:after="0"/>
        <w:tabs>
          <w:tab w:leader="none" w:pos="96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cable, satellite broadcast, DVD and VHS rentals and sales, and so called “movies on demand;” and</w:t>
      </w:r>
    </w:p>
    <w:p>
      <w:pPr>
        <w:spacing w:after="0" w:line="1" w:lineRule="exact"/>
        <w:rPr>
          <w:rFonts w:ascii="Courier New" w:cs="Courier New" w:eastAsia="Courier New" w:hAnsi="Courier New"/>
          <w:sz w:val="16"/>
          <w:szCs w:val="16"/>
          <w:color w:val="auto"/>
        </w:rPr>
      </w:pPr>
    </w:p>
    <w:p>
      <w:pPr>
        <w:ind w:left="960" w:hanging="113"/>
        <w:spacing w:after="0"/>
        <w:tabs>
          <w:tab w:leader="none" w:pos="960" w:val="left"/>
        </w:tabs>
        <w:numPr>
          <w:ilvl w:val="1"/>
          <w:numId w:val="32"/>
        </w:numPr>
        <w:rPr>
          <w:rFonts w:ascii="Courier New" w:cs="Courier New" w:eastAsia="Courier New" w:hAnsi="Courier New"/>
          <w:sz w:val="13"/>
          <w:szCs w:val="13"/>
          <w:color w:val="auto"/>
        </w:rPr>
      </w:pPr>
      <w:r>
        <w:rPr>
          <w:rFonts w:ascii="Arial" w:cs="Arial" w:eastAsia="Arial" w:hAnsi="Arial"/>
          <w:sz w:val="13"/>
          <w:szCs w:val="13"/>
          <w:color w:val="auto"/>
        </w:rPr>
        <w:t>the extent to and the efficiency with which, we are able to integrate acquisitions of cinema circuits with our existing operations.</w:t>
      </w:r>
    </w:p>
    <w:p>
      <w:pPr>
        <w:spacing w:after="0" w:line="26" w:lineRule="exact"/>
        <w:rPr>
          <w:rFonts w:ascii="Courier New" w:cs="Courier New" w:eastAsia="Courier New" w:hAnsi="Courier New"/>
          <w:sz w:val="13"/>
          <w:szCs w:val="13"/>
          <w:color w:val="auto"/>
        </w:rPr>
      </w:pPr>
    </w:p>
    <w:p>
      <w:pPr>
        <w:ind w:left="380" w:hanging="97"/>
        <w:spacing w:after="0"/>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our real estate development and operation activities:</w:t>
      </w:r>
    </w:p>
    <w:p>
      <w:pPr>
        <w:spacing w:after="0" w:line="3" w:lineRule="exact"/>
        <w:rPr>
          <w:rFonts w:ascii="Arial" w:cs="Arial" w:eastAsia="Arial" w:hAnsi="Arial"/>
          <w:sz w:val="16"/>
          <w:szCs w:val="16"/>
          <w:color w:val="auto"/>
        </w:rPr>
      </w:pPr>
    </w:p>
    <w:p>
      <w:pPr>
        <w:ind w:left="960" w:hanging="113"/>
        <w:spacing w:after="0"/>
        <w:tabs>
          <w:tab w:leader="none" w:pos="960" w:val="left"/>
        </w:tabs>
        <w:numPr>
          <w:ilvl w:val="1"/>
          <w:numId w:val="32"/>
        </w:numPr>
        <w:rPr>
          <w:rFonts w:ascii="Courier New" w:cs="Courier New" w:eastAsia="Courier New" w:hAnsi="Courier New"/>
          <w:sz w:val="13"/>
          <w:szCs w:val="13"/>
          <w:color w:val="auto"/>
        </w:rPr>
      </w:pPr>
      <w:r>
        <w:rPr>
          <w:rFonts w:ascii="Arial" w:cs="Arial" w:eastAsia="Arial" w:hAnsi="Arial"/>
          <w:sz w:val="13"/>
          <w:szCs w:val="13"/>
          <w:color w:val="auto"/>
        </w:rPr>
        <w:t>the rental rates and capitalization rates applicable to the markets in which we operate and the quality of properties that we own;</w:t>
      </w:r>
    </w:p>
    <w:p>
      <w:pPr>
        <w:spacing w:after="0" w:line="26" w:lineRule="exact"/>
        <w:rPr>
          <w:rFonts w:ascii="Courier New" w:cs="Courier New" w:eastAsia="Courier New" w:hAnsi="Courier New"/>
          <w:sz w:val="13"/>
          <w:szCs w:val="13"/>
          <w:color w:val="auto"/>
        </w:rPr>
      </w:pPr>
    </w:p>
    <w:p>
      <w:pPr>
        <w:ind w:left="960" w:hanging="113"/>
        <w:spacing w:after="0" w:line="236" w:lineRule="auto"/>
        <w:tabs>
          <w:tab w:leader="none" w:pos="96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extent to which we can obtain on a timely basis the various land use approvals and entitlements needed to develop our properties;</w:t>
      </w:r>
    </w:p>
    <w:p>
      <w:pPr>
        <w:ind w:left="1040" w:hanging="193"/>
        <w:spacing w:after="0" w:line="227" w:lineRule="auto"/>
        <w:tabs>
          <w:tab w:leader="none" w:pos="104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risks and uncertainties associated with real estate development;</w:t>
      </w:r>
    </w:p>
    <w:p>
      <w:pPr>
        <w:ind w:left="1120" w:hanging="273"/>
        <w:spacing w:after="0" w:line="227" w:lineRule="auto"/>
        <w:tabs>
          <w:tab w:leader="none" w:pos="112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availability and cost of labor and materials;</w:t>
      </w:r>
    </w:p>
    <w:p>
      <w:pPr>
        <w:ind w:left="1120" w:hanging="273"/>
        <w:spacing w:after="0" w:line="227" w:lineRule="auto"/>
        <w:tabs>
          <w:tab w:leader="none" w:pos="112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competition for development sites and tenants;</w:t>
      </w:r>
    </w:p>
    <w:p>
      <w:pPr>
        <w:ind w:left="1220" w:hanging="373"/>
        <w:spacing w:after="0" w:line="227" w:lineRule="auto"/>
        <w:tabs>
          <w:tab w:leader="none" w:pos="122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environmental remediation issues;</w:t>
      </w:r>
    </w:p>
    <w:p>
      <w:pPr>
        <w:ind w:left="960" w:hanging="113"/>
        <w:spacing w:after="0" w:line="236" w:lineRule="auto"/>
        <w:tabs>
          <w:tab w:leader="none" w:pos="96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the extent to which our cinemas can continue to serve as an anchor tenant who will, in turn, be influenced by the same factors as will influence generally the results of our cinema operations; and</w:t>
      </w:r>
    </w:p>
    <w:p>
      <w:pPr>
        <w:ind w:left="960" w:hanging="113"/>
        <w:spacing w:after="0" w:line="236" w:lineRule="auto"/>
        <w:tabs>
          <w:tab w:leader="none" w:pos="960" w:val="left"/>
        </w:tabs>
        <w:numPr>
          <w:ilvl w:val="1"/>
          <w:numId w:val="32"/>
        </w:numPr>
        <w:rPr>
          <w:rFonts w:ascii="Courier New" w:cs="Courier New" w:eastAsia="Courier New" w:hAnsi="Courier New"/>
          <w:sz w:val="16"/>
          <w:szCs w:val="16"/>
          <w:color w:val="auto"/>
        </w:rPr>
      </w:pPr>
      <w:r>
        <w:rPr>
          <w:rFonts w:ascii="Arial" w:cs="Arial" w:eastAsia="Arial" w:hAnsi="Arial"/>
          <w:sz w:val="16"/>
          <w:szCs w:val="16"/>
          <w:color w:val="auto"/>
        </w:rPr>
        <w:t>certain of our activities are in geologically active areas, creating a risk of damage and/or disruption of real estate and/or cinema businesses from earthquakes.</w:t>
      </w:r>
    </w:p>
    <w:p>
      <w:pPr>
        <w:ind w:left="340" w:hanging="46"/>
        <w:spacing w:after="0" w:line="282" w:lineRule="auto"/>
        <w:rPr>
          <w:sz w:val="20"/>
          <w:szCs w:val="20"/>
          <w:color w:val="auto"/>
        </w:rPr>
      </w:pPr>
      <w:r>
        <w:rPr>
          <w:rFonts w:ascii="Arial" w:cs="Arial" w:eastAsia="Arial" w:hAnsi="Arial"/>
          <w:sz w:val="15"/>
          <w:szCs w:val="15"/>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51" w:name="page52"/>
    <w:bookmarkEnd w:id="51"/>
    <w:p>
      <w:pPr>
        <w:ind w:left="960" w:hanging="116"/>
        <w:spacing w:after="0" w:line="234" w:lineRule="auto"/>
        <w:rPr>
          <w:sz w:val="20"/>
          <w:szCs w:val="20"/>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our ongoing access to borrowed funds and capital and the interest that must be paid on that debt and the returns that must be paid</w:t>
      </w:r>
      <w:r>
        <w:rPr>
          <w:rFonts w:ascii="Courier New" w:cs="Courier New" w:eastAsia="Courier New" w:hAnsi="Courier New"/>
          <w:sz w:val="16"/>
          <w:szCs w:val="16"/>
          <w:color w:val="auto"/>
        </w:rPr>
        <w:t xml:space="preserve"> </w:t>
      </w:r>
      <w:r>
        <w:rPr>
          <w:rFonts w:ascii="Arial" w:cs="Arial" w:eastAsia="Arial" w:hAnsi="Arial"/>
          <w:sz w:val="16"/>
          <w:szCs w:val="16"/>
          <w:color w:val="auto"/>
        </w:rPr>
        <w:t>on such capital;</w:t>
      </w:r>
    </w:p>
    <w:p>
      <w:pPr>
        <w:ind w:left="1020" w:hanging="173"/>
        <w:spacing w:after="0" w:line="228" w:lineRule="auto"/>
        <w:tabs>
          <w:tab w:leader="none" w:pos="1020" w:val="left"/>
        </w:tabs>
        <w:numPr>
          <w:ilvl w:val="0"/>
          <w:numId w:val="33"/>
        </w:numPr>
        <w:rPr>
          <w:rFonts w:ascii="Courier New" w:cs="Courier New" w:eastAsia="Courier New" w:hAnsi="Courier New"/>
          <w:sz w:val="16"/>
          <w:szCs w:val="16"/>
          <w:color w:val="auto"/>
        </w:rPr>
      </w:pPr>
      <w:r>
        <w:rPr>
          <w:rFonts w:ascii="Arial" w:cs="Arial" w:eastAsia="Arial" w:hAnsi="Arial"/>
          <w:sz w:val="16"/>
          <w:szCs w:val="16"/>
          <w:color w:val="auto"/>
        </w:rPr>
        <w:t>the relative values of the currency used in the countries in which we operate;</w:t>
      </w:r>
    </w:p>
    <w:p>
      <w:pPr>
        <w:ind w:left="960" w:hanging="113"/>
        <w:spacing w:after="0" w:line="236" w:lineRule="auto"/>
        <w:tabs>
          <w:tab w:leader="none" w:pos="960" w:val="left"/>
        </w:tabs>
        <w:numPr>
          <w:ilvl w:val="0"/>
          <w:numId w:val="33"/>
        </w:numPr>
        <w:rPr>
          <w:rFonts w:ascii="Courier New" w:cs="Courier New" w:eastAsia="Courier New" w:hAnsi="Courier New"/>
          <w:sz w:val="16"/>
          <w:szCs w:val="16"/>
          <w:color w:val="auto"/>
        </w:rPr>
      </w:pPr>
      <w:r>
        <w:rPr>
          <w:rFonts w:ascii="Arial" w:cs="Arial" w:eastAsia="Arial" w:hAnsi="Arial"/>
          <w:sz w:val="16"/>
          <w:szCs w:val="16"/>
          <w:color w:val="auto"/>
        </w:rPr>
        <w:t>changes in government regulation, including by way of example, the costs resulting from the implementation of the requirements of Sarbanes-Oxley;</w:t>
      </w:r>
    </w:p>
    <w:p>
      <w:pPr>
        <w:ind w:left="960" w:hanging="113"/>
        <w:spacing w:after="0" w:line="236" w:lineRule="auto"/>
        <w:tabs>
          <w:tab w:leader="none" w:pos="960" w:val="left"/>
        </w:tabs>
        <w:numPr>
          <w:ilvl w:val="0"/>
          <w:numId w:val="33"/>
        </w:numPr>
        <w:rPr>
          <w:rFonts w:ascii="Courier New" w:cs="Courier New" w:eastAsia="Courier New" w:hAnsi="Courier New"/>
          <w:sz w:val="16"/>
          <w:szCs w:val="16"/>
          <w:color w:val="auto"/>
        </w:rPr>
      </w:pPr>
      <w:r>
        <w:rPr>
          <w:rFonts w:ascii="Arial" w:cs="Arial" w:eastAsia="Arial" w:hAnsi="Arial"/>
          <w:sz w:val="16"/>
          <w:szCs w:val="16"/>
          <w:color w:val="auto"/>
        </w:rPr>
        <w:t>our labor relations and costs of labor (including future government requirements with respect to pension liabilities, disability insurance and health coverage, and vacations and leave);</w:t>
      </w:r>
    </w:p>
    <w:p>
      <w:pPr>
        <w:jc w:val="both"/>
        <w:ind w:left="960" w:hanging="113"/>
        <w:spacing w:after="0" w:line="254" w:lineRule="auto"/>
        <w:tabs>
          <w:tab w:leader="none" w:pos="960" w:val="left"/>
        </w:tabs>
        <w:numPr>
          <w:ilvl w:val="0"/>
          <w:numId w:val="33"/>
        </w:numPr>
        <w:rPr>
          <w:rFonts w:ascii="Courier New" w:cs="Courier New" w:eastAsia="Courier New" w:hAnsi="Courier New"/>
          <w:sz w:val="15"/>
          <w:szCs w:val="15"/>
          <w:color w:val="auto"/>
        </w:rPr>
      </w:pPr>
      <w:r>
        <w:rPr>
          <w:rFonts w:ascii="Arial" w:cs="Arial" w:eastAsia="Arial" w:hAnsi="Arial"/>
          <w:sz w:val="15"/>
          <w:szCs w:val="15"/>
          <w:color w:val="auto"/>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p>
      <w:pPr>
        <w:spacing w:after="0" w:line="2" w:lineRule="exact"/>
        <w:rPr>
          <w:rFonts w:ascii="Courier New" w:cs="Courier New" w:eastAsia="Courier New" w:hAnsi="Courier New"/>
          <w:sz w:val="15"/>
          <w:szCs w:val="15"/>
          <w:color w:val="auto"/>
        </w:rPr>
      </w:pPr>
    </w:p>
    <w:p>
      <w:pPr>
        <w:ind w:left="960" w:hanging="113"/>
        <w:spacing w:after="0" w:line="236" w:lineRule="auto"/>
        <w:tabs>
          <w:tab w:leader="none" w:pos="960" w:val="left"/>
        </w:tabs>
        <w:numPr>
          <w:ilvl w:val="0"/>
          <w:numId w:val="33"/>
        </w:numPr>
        <w:rPr>
          <w:rFonts w:ascii="Courier New" w:cs="Courier New" w:eastAsia="Courier New" w:hAnsi="Courier New"/>
          <w:sz w:val="16"/>
          <w:szCs w:val="16"/>
          <w:color w:val="auto"/>
        </w:rPr>
      </w:pPr>
      <w:r>
        <w:rPr>
          <w:rFonts w:ascii="Arial" w:cs="Arial" w:eastAsia="Arial" w:hAnsi="Arial"/>
          <w:sz w:val="16"/>
          <w:szCs w:val="16"/>
          <w:color w:val="auto"/>
        </w:rPr>
        <w:t>changes in future effective tax rates and the results of currently ongoing and future potential audits by taxing authorities having jurisdiction over our various companies; and</w:t>
      </w:r>
    </w:p>
    <w:p>
      <w:pPr>
        <w:ind w:left="1080" w:hanging="233"/>
        <w:spacing w:after="0" w:line="227" w:lineRule="auto"/>
        <w:tabs>
          <w:tab w:leader="none" w:pos="1080" w:val="left"/>
        </w:tabs>
        <w:numPr>
          <w:ilvl w:val="0"/>
          <w:numId w:val="33"/>
        </w:numPr>
        <w:rPr>
          <w:rFonts w:ascii="Courier New" w:cs="Courier New" w:eastAsia="Courier New" w:hAnsi="Courier New"/>
          <w:sz w:val="16"/>
          <w:szCs w:val="16"/>
          <w:color w:val="auto"/>
        </w:rPr>
      </w:pPr>
      <w:r>
        <w:rPr>
          <w:rFonts w:ascii="Arial" w:cs="Arial" w:eastAsia="Arial" w:hAnsi="Arial"/>
          <w:sz w:val="16"/>
          <w:szCs w:val="16"/>
          <w:color w:val="auto"/>
        </w:rPr>
        <w:t>changes in applicable accounting policies and practices.</w:t>
      </w:r>
    </w:p>
    <w:p>
      <w:pPr>
        <w:spacing w:after="0" w:line="14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spacing w:after="0" w:line="14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3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130"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7" w:right="135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u w:val="single" w:color="auto"/>
          <w:color w:val="auto"/>
        </w:rPr>
        <w:t>Item 7A – Quantitative and Qualitative Disclosure about Market Risk</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146" w:lineRule="exact"/>
        <w:rPr>
          <w:sz w:val="20"/>
          <w:szCs w:val="20"/>
          <w:color w:val="auto"/>
        </w:rPr>
      </w:pPr>
    </w:p>
    <w:p>
      <w:pPr>
        <w:ind w:left="280"/>
        <w:spacing w:after="0"/>
        <w:tabs>
          <w:tab w:leader="none" w:pos="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it is based on a single point in time.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does not include the effects of other complex market reactions that would arise from the changes modeled.</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Although the results of such an analysis may be useful as a benchmark, they should not be viewed as forecasts.</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At December 31, 2013, approximately 55% and 18% of our assets (determined by the book value of such assets) were invested in assets denominated in Australian dollars (Reading Australia) and New Zealand dollars (Reading New Zealand), respectively, including approximately $34.5 million in cash and cash equivalents. At December 31, 2012, approximately 51% and 18% of our assets were invested in assets denominated in Australian and New Zealand dollars, respectively, including approximately $15.8 million in cash and cash equivalents.</w:t>
      </w:r>
    </w:p>
    <w:p>
      <w:pPr>
        <w:spacing w:after="0" w:line="99"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spacing w:after="0" w:line="93"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63% and 48%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$14.9 million and $3.7 million, respectively, and the change in annual net income would be $23,000 and $21,000, respectively. At the present time, we have no plan to hedge such exposure. We believe that this currency risk is mitigated by the long-term nature of the fully subordinated notes.</w:t>
      </w:r>
    </w:p>
    <w:p>
      <w:pPr>
        <w:spacing w:after="0" w:line="12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record unrealized foreign currency translation gains or losses that could materially affect our financial position. We have accumulated unrealized foreign currency translation gains of approximately $65.6 million and $64.6 million as of December 31, 2013 and 2012, respectively.</w:t>
      </w:r>
    </w:p>
    <w:p>
      <w:pPr>
        <w:spacing w:after="0" w:line="142"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113"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The majority of our loans have fixed interest rates; however, one of our international loans has a variable interest rate and a change of approximately 1% in short-term interest rates would have resulted in approximately $660,000 increase or decrease in our 2013 interest expense.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311" w:right="135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u w:val="single" w:color="auto"/>
          <w:color w:val="auto"/>
        </w:rPr>
        <w:t>Item 8 – Financial Statements and Supplementary Data</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3"/>
              </w:rPr>
              <w:t>TABLE OF CONTENTS</w:t>
            </w: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78"/>
        </w:trPr>
        <w:tc>
          <w:tcPr>
            <w:tcW w:w="6540" w:type="dxa"/>
            <w:vAlign w:val="bottom"/>
            <w:gridSpan w:val="3"/>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41"/>
        </w:trPr>
        <w:tc>
          <w:tcPr>
            <w:tcW w:w="6540" w:type="dxa"/>
            <w:vAlign w:val="bottom"/>
            <w:gridSpan w:val="3"/>
          </w:tcPr>
          <w:p>
            <w:pPr>
              <w:spacing w:after="0"/>
              <w:rPr>
                <w:sz w:val="20"/>
                <w:szCs w:val="20"/>
                <w:color w:val="auto"/>
              </w:rPr>
            </w:pPr>
            <w:r>
              <w:rPr>
                <w:rFonts w:ascii="Arial" w:cs="Arial" w:eastAsia="Arial" w:hAnsi="Arial"/>
                <w:sz w:val="16"/>
                <w:szCs w:val="16"/>
                <w:color w:val="auto"/>
              </w:rPr>
              <w:t>Consolidated Balance Sheets as of December 31, 2013 and 2012</w:t>
            </w: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41"/>
        </w:trPr>
        <w:tc>
          <w:tcPr>
            <w:tcW w:w="6540" w:type="dxa"/>
            <w:vAlign w:val="bottom"/>
            <w:gridSpan w:val="3"/>
          </w:tcPr>
          <w:p>
            <w:pPr>
              <w:spacing w:after="0"/>
              <w:rPr>
                <w:sz w:val="20"/>
                <w:szCs w:val="20"/>
                <w:color w:val="auto"/>
              </w:rPr>
            </w:pPr>
            <w:r>
              <w:rPr>
                <w:rFonts w:ascii="Arial" w:cs="Arial" w:eastAsia="Arial" w:hAnsi="Arial"/>
                <w:sz w:val="16"/>
                <w:szCs w:val="16"/>
                <w:color w:val="auto"/>
              </w:rPr>
              <w:t>Consolidated Statements of Operations for the Three Years Ended December 31, 2013</w:t>
            </w: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29"/>
        </w:trPr>
        <w:tc>
          <w:tcPr>
            <w:tcW w:w="6540" w:type="dxa"/>
            <w:vAlign w:val="bottom"/>
            <w:gridSpan w:val="3"/>
          </w:tcPr>
          <w:p>
            <w:pPr>
              <w:spacing w:after="0"/>
              <w:rPr>
                <w:sz w:val="20"/>
                <w:szCs w:val="20"/>
                <w:color w:val="auto"/>
              </w:rPr>
            </w:pPr>
            <w:r>
              <w:rPr>
                <w:rFonts w:ascii="Arial" w:cs="Arial" w:eastAsia="Arial" w:hAnsi="Arial"/>
                <w:sz w:val="16"/>
                <w:szCs w:val="16"/>
                <w:color w:val="auto"/>
                <w:w w:val="90"/>
              </w:rPr>
              <w:t>Consolidated Statements of Comprehensive Income (Loss) for the Three Years Ended December 31,</w:t>
            </w:r>
          </w:p>
        </w:tc>
        <w:tc>
          <w:tcPr>
            <w:tcW w:w="420" w:type="dxa"/>
            <w:vAlign w:val="bottom"/>
          </w:tcPr>
          <w:p>
            <w:pPr>
              <w:spacing w:after="0"/>
              <w:rPr>
                <w:sz w:val="24"/>
                <w:szCs w:val="24"/>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6"/>
                <w:szCs w:val="16"/>
                <w:color w:val="auto"/>
              </w:rPr>
              <w:t>2013</w:t>
            </w: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41"/>
        </w:trPr>
        <w:tc>
          <w:tcPr>
            <w:tcW w:w="6540" w:type="dxa"/>
            <w:vAlign w:val="bottom"/>
            <w:gridSpan w:val="3"/>
          </w:tcPr>
          <w:p>
            <w:pPr>
              <w:spacing w:after="0"/>
              <w:rPr>
                <w:sz w:val="20"/>
                <w:szCs w:val="20"/>
                <w:color w:val="auto"/>
              </w:rPr>
            </w:pPr>
            <w:r>
              <w:rPr>
                <w:rFonts w:ascii="Arial" w:cs="Arial" w:eastAsia="Arial" w:hAnsi="Arial"/>
                <w:sz w:val="16"/>
                <w:szCs w:val="16"/>
                <w:color w:val="auto"/>
                <w:w w:val="95"/>
              </w:rPr>
              <w:t>Consolidated Statements of Stockholders’ Equity for the Three Years Ended December 31, 2013</w:t>
            </w: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41"/>
        </w:trPr>
        <w:tc>
          <w:tcPr>
            <w:tcW w:w="6540" w:type="dxa"/>
            <w:vAlign w:val="bottom"/>
            <w:gridSpan w:val="3"/>
          </w:tcPr>
          <w:p>
            <w:pPr>
              <w:spacing w:after="0"/>
              <w:rPr>
                <w:sz w:val="20"/>
                <w:szCs w:val="20"/>
                <w:color w:val="auto"/>
              </w:rPr>
            </w:pPr>
            <w:r>
              <w:rPr>
                <w:rFonts w:ascii="Arial" w:cs="Arial" w:eastAsia="Arial" w:hAnsi="Arial"/>
                <w:sz w:val="16"/>
                <w:szCs w:val="16"/>
                <w:color w:val="auto"/>
              </w:rPr>
              <w:t>Consolidated Statements of Cash Flows for the Three Years Ended December 31, 2013</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41"/>
        </w:trPr>
        <w:tc>
          <w:tcPr>
            <w:tcW w:w="6540" w:type="dxa"/>
            <w:vAlign w:val="bottom"/>
            <w:gridSpan w:val="3"/>
          </w:tcPr>
          <w:p>
            <w:pPr>
              <w:spacing w:after="0"/>
              <w:rPr>
                <w:sz w:val="20"/>
                <w:szCs w:val="20"/>
                <w:color w:val="auto"/>
              </w:rPr>
            </w:pPr>
            <w:r>
              <w:rPr>
                <w:rFonts w:ascii="Arial" w:cs="Arial" w:eastAsia="Arial" w:hAnsi="Arial"/>
                <w:sz w:val="16"/>
                <w:szCs w:val="16"/>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80010</wp:posOffset>
            </wp:positionV>
            <wp:extent cx="5872480" cy="47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19"/>
          </w:cols>
          <w:pgMar w:left="1440" w:top="20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263"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We have audited the accompanying consolidated balance sheets of Reading International, Inc. and subsidiaries (the “Company”) as of December 31, 2013 and 2012, and the related consolidated statements of operations, comprehensive income (loss), stockholders’ equity, and cash flows for each of the three years in the period ended December 31, 2013. Our audits of the consolidated financial statements included the financial statement schedule listed in the index appearing under Schedule II. These financial statements and financial statement schedule are the responsibility of the Company’s management. Our responsibility is to express an opinion on these financial statements based on our audits.</w:t>
      </w:r>
    </w:p>
    <w:p>
      <w:pPr>
        <w:spacing w:after="0" w:line="22"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Reading International, Inc.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the related financial statement schedule, when considered in relation to the consolidated financial statements taken as a whole, present fairly, in all material respects, the information set forth therein.</w:t>
      </w:r>
    </w:p>
    <w:p>
      <w:pPr>
        <w:spacing w:after="0" w:line="5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2013, based on criteria established in the 1992 Internal Control— Integrated Framework issued by the Committee of Sponsoring Organizations of the Treadway Commission (COSO), and our report dated March 7, 2014 expressed an unqualified opinion thereon.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393" w:right="1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 as of December 31, 2013 and 2012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2013</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w w:val="92"/>
              </w:rPr>
              <w:t>December 31,</w:t>
            </w:r>
          </w:p>
        </w:tc>
        <w:tc>
          <w:tcPr>
            <w:tcW w:w="840" w:type="dxa"/>
            <w:vAlign w:val="bottom"/>
            <w:vMerge w:val="restart"/>
          </w:tcPr>
          <w:p>
            <w:pPr>
              <w:jc w:val="right"/>
              <w:ind w:right="397"/>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144"/>
        </w:trPr>
        <w:tc>
          <w:tcPr>
            <w:tcW w:w="54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480" w:type="dxa"/>
            <w:vAlign w:val="bottom"/>
          </w:tcPr>
          <w:p>
            <w:pPr>
              <w:spacing w:after="0" w:line="121" w:lineRule="exact"/>
              <w:rPr>
                <w:sz w:val="20"/>
                <w:szCs w:val="20"/>
                <w:color w:val="auto"/>
              </w:rPr>
            </w:pPr>
            <w:r>
              <w:rPr>
                <w:rFonts w:ascii="Arial" w:cs="Arial" w:eastAsia="Arial" w:hAnsi="Arial"/>
                <w:sz w:val="13"/>
                <w:szCs w:val="13"/>
                <w:b w:val="1"/>
                <w:bCs w:val="1"/>
                <w:color w:val="auto"/>
              </w:rPr>
              <w:t>ASSETS</w:t>
            </w:r>
          </w:p>
        </w:tc>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480" w:type="dxa"/>
            <w:vAlign w:val="bottom"/>
          </w:tcPr>
          <w:p>
            <w:pPr>
              <w:spacing w:after="0" w:line="145" w:lineRule="exact"/>
              <w:rPr>
                <w:sz w:val="20"/>
                <w:szCs w:val="20"/>
                <w:color w:val="auto"/>
              </w:rPr>
            </w:pPr>
            <w:r>
              <w:rPr>
                <w:rFonts w:ascii="Arial" w:cs="Arial" w:eastAsia="Arial" w:hAnsi="Arial"/>
                <w:sz w:val="13"/>
                <w:szCs w:val="13"/>
                <w:b w:val="1"/>
                <w:bCs w:val="1"/>
                <w:color w:val="auto"/>
              </w:rPr>
              <w:t>Current Assets:</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Cash and cash equivalents</w:t>
            </w:r>
          </w:p>
        </w:tc>
        <w:tc>
          <w:tcPr>
            <w:tcW w:w="1900" w:type="dxa"/>
            <w:vAlign w:val="bottom"/>
          </w:tcPr>
          <w:p>
            <w:pPr>
              <w:jc w:val="right"/>
              <w:ind w:right="677"/>
              <w:spacing w:after="0" w:line="141"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37,696</w:t>
            </w:r>
          </w:p>
        </w:tc>
        <w:tc>
          <w:tcPr>
            <w:tcW w:w="460" w:type="dxa"/>
            <w:vAlign w:val="bottom"/>
          </w:tcPr>
          <w:p>
            <w:pPr>
              <w:jc w:val="right"/>
              <w:ind w:right="257"/>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38,531</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Time deposits</w:t>
            </w:r>
          </w:p>
        </w:tc>
        <w:tc>
          <w:tcPr>
            <w:tcW w:w="19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8,000</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Receivables</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9,087</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8,514</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Inventory</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941</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Investment in marketable securities</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55</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Restricted cash</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782</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2,465</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Deferred tax asset</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3,273</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3,659</w:t>
            </w:r>
          </w:p>
        </w:tc>
        <w:tc>
          <w:tcPr>
            <w:tcW w:w="0" w:type="dxa"/>
            <w:vAlign w:val="bottom"/>
          </w:tcPr>
          <w:p>
            <w:pPr>
              <w:spacing w:after="0"/>
              <w:rPr>
                <w:sz w:val="1"/>
                <w:szCs w:val="1"/>
                <w:color w:val="auto"/>
              </w:rPr>
            </w:pPr>
          </w:p>
        </w:tc>
      </w:tr>
      <w:tr>
        <w:trPr>
          <w:trHeight w:val="145"/>
        </w:trPr>
        <w:tc>
          <w:tcPr>
            <w:tcW w:w="5480" w:type="dxa"/>
            <w:vAlign w:val="bottom"/>
            <w:tcBorders>
              <w:bottom w:val="single" w:sz="8" w:color="auto"/>
            </w:tcBorders>
          </w:tcPr>
          <w:p>
            <w:pPr>
              <w:ind w:left="100"/>
              <w:spacing w:after="0" w:line="145" w:lineRule="exact"/>
              <w:rPr>
                <w:sz w:val="20"/>
                <w:szCs w:val="20"/>
                <w:color w:val="auto"/>
              </w:rPr>
            </w:pPr>
            <w:r>
              <w:rPr>
                <w:rFonts w:ascii="Arial" w:cs="Arial" w:eastAsia="Arial" w:hAnsi="Arial"/>
                <w:sz w:val="13"/>
                <w:szCs w:val="13"/>
                <w:color w:val="auto"/>
              </w:rPr>
              <w:t>Prepaid and other current assets</w:t>
            </w:r>
          </w:p>
        </w:tc>
        <w:tc>
          <w:tcPr>
            <w:tcW w:w="1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5" w:lineRule="exact"/>
              <w:rPr>
                <w:sz w:val="20"/>
                <w:szCs w:val="20"/>
                <w:color w:val="auto"/>
              </w:rPr>
            </w:pPr>
            <w:r>
              <w:rPr>
                <w:rFonts w:ascii="Arial" w:cs="Arial" w:eastAsia="Arial" w:hAnsi="Arial"/>
                <w:sz w:val="13"/>
                <w:szCs w:val="13"/>
                <w:color w:val="auto"/>
              </w:rPr>
              <w:t>3,283</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3,576</w:t>
            </w:r>
          </w:p>
        </w:tc>
        <w:tc>
          <w:tcPr>
            <w:tcW w:w="0" w:type="dxa"/>
            <w:vAlign w:val="bottom"/>
          </w:tcPr>
          <w:p>
            <w:pPr>
              <w:spacing w:after="0"/>
              <w:rPr>
                <w:sz w:val="1"/>
                <w:szCs w:val="1"/>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3"/>
                <w:szCs w:val="13"/>
                <w:b w:val="1"/>
                <w:bCs w:val="1"/>
                <w:color w:val="auto"/>
              </w:rPr>
              <w:t>Total current assets</w:t>
            </w:r>
          </w:p>
        </w:tc>
        <w:tc>
          <w:tcPr>
            <w:tcW w:w="1900" w:type="dxa"/>
            <w:vAlign w:val="bottom"/>
          </w:tcPr>
          <w:p>
            <w:pPr>
              <w:spacing w:after="0"/>
              <w:rPr>
                <w:sz w:val="13"/>
                <w:szCs w:val="13"/>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55,117</w:t>
            </w: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65,718</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20"/>
                <w:szCs w:val="20"/>
                <w:color w:val="auto"/>
              </w:rPr>
            </w:pPr>
            <w:r>
              <w:rPr>
                <w:rFonts w:ascii="Arial" w:cs="Arial" w:eastAsia="Arial" w:hAnsi="Arial"/>
                <w:sz w:val="13"/>
                <w:szCs w:val="13"/>
                <w:color w:val="auto"/>
              </w:rPr>
              <w:t>Operating property, net</w:t>
            </w:r>
          </w:p>
        </w:tc>
        <w:tc>
          <w:tcPr>
            <w:tcW w:w="190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w w:val="85"/>
              </w:rPr>
              <w:t>191,660</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202,778</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Land held for sale</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11,052</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Investment and development property, net</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74,230</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94,922</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Investment in unconsolidated joint ventures and entities</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6,735</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7,715</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Investment in Reading International Trust I</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838</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Goodwill</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22,159</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22,898</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Intangible assets, net</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13,440</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15,661</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Deferred tax asset, net</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5,566</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8,989</w:t>
            </w:r>
          </w:p>
        </w:tc>
        <w:tc>
          <w:tcPr>
            <w:tcW w:w="0" w:type="dxa"/>
            <w:vAlign w:val="bottom"/>
          </w:tcPr>
          <w:p>
            <w:pPr>
              <w:spacing w:after="0"/>
              <w:rPr>
                <w:sz w:val="1"/>
                <w:szCs w:val="1"/>
                <w:color w:val="auto"/>
              </w:rPr>
            </w:pPr>
          </w:p>
        </w:tc>
      </w:tr>
      <w:tr>
        <w:trPr>
          <w:trHeight w:val="145"/>
        </w:trPr>
        <w:tc>
          <w:tcPr>
            <w:tcW w:w="5480" w:type="dxa"/>
            <w:vAlign w:val="bottom"/>
            <w:tcBorders>
              <w:bottom w:val="single" w:sz="8" w:color="auto"/>
            </w:tcBorders>
          </w:tcPr>
          <w:p>
            <w:pPr>
              <w:spacing w:after="0" w:line="145" w:lineRule="exact"/>
              <w:rPr>
                <w:sz w:val="20"/>
                <w:szCs w:val="20"/>
                <w:color w:val="auto"/>
              </w:rPr>
            </w:pPr>
            <w:r>
              <w:rPr>
                <w:rFonts w:ascii="Arial" w:cs="Arial" w:eastAsia="Arial" w:hAnsi="Arial"/>
                <w:sz w:val="13"/>
                <w:szCs w:val="13"/>
                <w:color w:val="auto"/>
              </w:rPr>
              <w:t>Other assets</w:t>
            </w:r>
          </w:p>
        </w:tc>
        <w:tc>
          <w:tcPr>
            <w:tcW w:w="1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5" w:lineRule="exact"/>
              <w:rPr>
                <w:sz w:val="20"/>
                <w:szCs w:val="20"/>
                <w:color w:val="auto"/>
              </w:rPr>
            </w:pPr>
            <w:r>
              <w:rPr>
                <w:rFonts w:ascii="Arial" w:cs="Arial" w:eastAsia="Arial" w:hAnsi="Arial"/>
                <w:sz w:val="13"/>
                <w:szCs w:val="13"/>
                <w:color w:val="auto"/>
              </w:rPr>
              <w:t>6,010</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9,069</w:t>
            </w:r>
          </w:p>
        </w:tc>
        <w:tc>
          <w:tcPr>
            <w:tcW w:w="0" w:type="dxa"/>
            <w:vAlign w:val="bottom"/>
          </w:tcPr>
          <w:p>
            <w:pPr>
              <w:spacing w:after="0"/>
              <w:rPr>
                <w:sz w:val="1"/>
                <w:szCs w:val="1"/>
                <w:color w:val="auto"/>
              </w:rPr>
            </w:pPr>
          </w:p>
        </w:tc>
      </w:tr>
      <w:tr>
        <w:trPr>
          <w:trHeight w:val="124"/>
        </w:trPr>
        <w:tc>
          <w:tcPr>
            <w:tcW w:w="548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Total assets</w:t>
            </w:r>
          </w:p>
        </w:tc>
        <w:tc>
          <w:tcPr>
            <w:tcW w:w="1900" w:type="dxa"/>
            <w:vAlign w:val="bottom"/>
            <w:tcBorders>
              <w:bottom w:val="single" w:sz="8" w:color="auto"/>
            </w:tcBorders>
          </w:tcPr>
          <w:p>
            <w:pPr>
              <w:jc w:val="right"/>
              <w:ind w:right="677"/>
              <w:spacing w:after="0" w:line="121"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17"/>
              <w:spacing w:after="0" w:line="121" w:lineRule="exact"/>
              <w:rPr>
                <w:sz w:val="20"/>
                <w:szCs w:val="20"/>
                <w:color w:val="auto"/>
              </w:rPr>
            </w:pPr>
            <w:r>
              <w:rPr>
                <w:rFonts w:ascii="Arial" w:cs="Arial" w:eastAsia="Arial" w:hAnsi="Arial"/>
                <w:sz w:val="13"/>
                <w:szCs w:val="13"/>
                <w:color w:val="auto"/>
                <w:w w:val="85"/>
              </w:rPr>
              <w:t>386,807</w:t>
            </w:r>
          </w:p>
        </w:tc>
        <w:tc>
          <w:tcPr>
            <w:tcW w:w="460" w:type="dxa"/>
            <w:vAlign w:val="bottom"/>
            <w:tcBorders>
              <w:bottom w:val="single" w:sz="8" w:color="auto"/>
            </w:tcBorders>
          </w:tcPr>
          <w:p>
            <w:pPr>
              <w:jc w:val="right"/>
              <w:ind w:right="257"/>
              <w:spacing w:after="0" w:line="12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428,588</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480" w:type="dxa"/>
            <w:vAlign w:val="bottom"/>
          </w:tcPr>
          <w:p>
            <w:pPr>
              <w:spacing w:after="0" w:line="145" w:lineRule="exact"/>
              <w:rPr>
                <w:sz w:val="20"/>
                <w:szCs w:val="20"/>
                <w:color w:val="auto"/>
              </w:rPr>
            </w:pPr>
            <w:r>
              <w:rPr>
                <w:rFonts w:ascii="Arial" w:cs="Arial" w:eastAsia="Arial" w:hAnsi="Arial"/>
                <w:sz w:val="13"/>
                <w:szCs w:val="13"/>
                <w:b w:val="1"/>
                <w:bCs w:val="1"/>
                <w:color w:val="auto"/>
              </w:rPr>
              <w:t>Current Liabilities:</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Accounts payable and accrued liabilities</w:t>
            </w:r>
          </w:p>
        </w:tc>
        <w:tc>
          <w:tcPr>
            <w:tcW w:w="1900" w:type="dxa"/>
            <w:vAlign w:val="bottom"/>
          </w:tcPr>
          <w:p>
            <w:pPr>
              <w:jc w:val="right"/>
              <w:ind w:right="677"/>
              <w:spacing w:after="0" w:line="141"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18,608</w:t>
            </w:r>
          </w:p>
        </w:tc>
        <w:tc>
          <w:tcPr>
            <w:tcW w:w="460" w:type="dxa"/>
            <w:vAlign w:val="bottom"/>
          </w:tcPr>
          <w:p>
            <w:pPr>
              <w:jc w:val="right"/>
              <w:ind w:right="257"/>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18,909</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Film rent payable</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6,438</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6,657</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Notes payable – current portion</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75,538</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19,714</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Notes payable to related party – current portion</w:t>
            </w:r>
          </w:p>
        </w:tc>
        <w:tc>
          <w:tcPr>
            <w:tcW w:w="19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Taxes payable</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8,308</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15,234</w:t>
            </w: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Deferred current revenue</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11,864</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11,587</w:t>
            </w:r>
          </w:p>
        </w:tc>
        <w:tc>
          <w:tcPr>
            <w:tcW w:w="0" w:type="dxa"/>
            <w:vAlign w:val="bottom"/>
          </w:tcPr>
          <w:p>
            <w:pPr>
              <w:spacing w:after="0"/>
              <w:rPr>
                <w:sz w:val="1"/>
                <w:szCs w:val="1"/>
                <w:color w:val="auto"/>
              </w:rPr>
            </w:pPr>
          </w:p>
        </w:tc>
      </w:tr>
      <w:tr>
        <w:trPr>
          <w:trHeight w:val="145"/>
        </w:trPr>
        <w:tc>
          <w:tcPr>
            <w:tcW w:w="5480" w:type="dxa"/>
            <w:vAlign w:val="bottom"/>
            <w:tcBorders>
              <w:bottom w:val="single" w:sz="8" w:color="auto"/>
            </w:tcBorders>
          </w:tcPr>
          <w:p>
            <w:pPr>
              <w:ind w:left="100"/>
              <w:spacing w:after="0" w:line="145" w:lineRule="exact"/>
              <w:rPr>
                <w:sz w:val="20"/>
                <w:szCs w:val="20"/>
                <w:color w:val="auto"/>
              </w:rPr>
            </w:pPr>
            <w:r>
              <w:rPr>
                <w:rFonts w:ascii="Arial" w:cs="Arial" w:eastAsia="Arial" w:hAnsi="Arial"/>
                <w:sz w:val="13"/>
                <w:szCs w:val="13"/>
                <w:color w:val="auto"/>
              </w:rPr>
              <w:t>Other current liabilities</w:t>
            </w:r>
          </w:p>
        </w:tc>
        <w:tc>
          <w:tcPr>
            <w:tcW w:w="1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5" w:lineRule="exact"/>
              <w:rPr>
                <w:sz w:val="20"/>
                <w:szCs w:val="20"/>
                <w:color w:val="auto"/>
              </w:rPr>
            </w:pPr>
            <w:r>
              <w:rPr>
                <w:rFonts w:ascii="Arial" w:cs="Arial" w:eastAsia="Arial" w:hAnsi="Arial"/>
                <w:sz w:val="13"/>
                <w:szCs w:val="13"/>
                <w:color w:val="auto"/>
              </w:rPr>
              <w:t>6,155</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3"/>
                <w:szCs w:val="13"/>
                <w:b w:val="1"/>
                <w:bCs w:val="1"/>
                <w:color w:val="auto"/>
              </w:rPr>
              <w:t>Total current liabilities</w:t>
            </w:r>
          </w:p>
        </w:tc>
        <w:tc>
          <w:tcPr>
            <w:tcW w:w="1900" w:type="dxa"/>
            <w:vAlign w:val="bottom"/>
          </w:tcPr>
          <w:p>
            <w:pPr>
              <w:spacing w:after="0"/>
              <w:rPr>
                <w:sz w:val="13"/>
                <w:szCs w:val="13"/>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w w:val="85"/>
              </w:rPr>
              <w:t>126,911</w:t>
            </w: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87,133</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20"/>
                <w:szCs w:val="20"/>
                <w:color w:val="auto"/>
              </w:rPr>
            </w:pPr>
            <w:r>
              <w:rPr>
                <w:rFonts w:ascii="Arial" w:cs="Arial" w:eastAsia="Arial" w:hAnsi="Arial"/>
                <w:sz w:val="13"/>
                <w:szCs w:val="13"/>
                <w:color w:val="auto"/>
              </w:rPr>
              <w:t>Notes payable – long-term portion</w:t>
            </w:r>
          </w:p>
        </w:tc>
        <w:tc>
          <w:tcPr>
            <w:tcW w:w="190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65,009</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139,970</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Subordinated debt</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27,913</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27,913</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Noncurrent tax liabilities</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12,478</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8,859</w:t>
            </w:r>
          </w:p>
        </w:tc>
        <w:tc>
          <w:tcPr>
            <w:tcW w:w="0" w:type="dxa"/>
            <w:vAlign w:val="bottom"/>
          </w:tcPr>
          <w:p>
            <w:pPr>
              <w:spacing w:after="0"/>
              <w:rPr>
                <w:sz w:val="1"/>
                <w:szCs w:val="1"/>
                <w:color w:val="auto"/>
              </w:rPr>
            </w:pPr>
          </w:p>
        </w:tc>
      </w:tr>
      <w:tr>
        <w:trPr>
          <w:trHeight w:val="145"/>
        </w:trPr>
        <w:tc>
          <w:tcPr>
            <w:tcW w:w="5480" w:type="dxa"/>
            <w:vAlign w:val="bottom"/>
            <w:tcBorders>
              <w:bottom w:val="single" w:sz="8" w:color="auto"/>
            </w:tcBorders>
          </w:tcPr>
          <w:p>
            <w:pPr>
              <w:spacing w:after="0" w:line="145" w:lineRule="exact"/>
              <w:rPr>
                <w:sz w:val="20"/>
                <w:szCs w:val="20"/>
                <w:color w:val="auto"/>
              </w:rPr>
            </w:pPr>
            <w:r>
              <w:rPr>
                <w:rFonts w:ascii="Arial" w:cs="Arial" w:eastAsia="Arial" w:hAnsi="Arial"/>
                <w:sz w:val="13"/>
                <w:szCs w:val="13"/>
                <w:color w:val="auto"/>
              </w:rPr>
              <w:t>Other liabilities</w:t>
            </w:r>
          </w:p>
        </w:tc>
        <w:tc>
          <w:tcPr>
            <w:tcW w:w="1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5" w:lineRule="exact"/>
              <w:rPr>
                <w:sz w:val="20"/>
                <w:szCs w:val="20"/>
                <w:color w:val="auto"/>
              </w:rPr>
            </w:pPr>
            <w:r>
              <w:rPr>
                <w:rFonts w:ascii="Arial" w:cs="Arial" w:eastAsia="Arial" w:hAnsi="Arial"/>
                <w:sz w:val="13"/>
                <w:szCs w:val="13"/>
                <w:color w:val="auto"/>
              </w:rPr>
              <w:t>32,749</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33,759</w:t>
            </w:r>
          </w:p>
        </w:tc>
        <w:tc>
          <w:tcPr>
            <w:tcW w:w="0" w:type="dxa"/>
            <w:vAlign w:val="bottom"/>
          </w:tcPr>
          <w:p>
            <w:pPr>
              <w:spacing w:after="0"/>
              <w:rPr>
                <w:sz w:val="1"/>
                <w:szCs w:val="1"/>
                <w:color w:val="auto"/>
              </w:rPr>
            </w:pPr>
          </w:p>
        </w:tc>
      </w:tr>
      <w:tr>
        <w:trPr>
          <w:trHeight w:val="121"/>
        </w:trPr>
        <w:tc>
          <w:tcPr>
            <w:tcW w:w="548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Total liabilities</w:t>
            </w:r>
          </w:p>
        </w:tc>
        <w:tc>
          <w:tcPr>
            <w:tcW w:w="19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
              <w:spacing w:after="0" w:line="121" w:lineRule="exact"/>
              <w:rPr>
                <w:sz w:val="20"/>
                <w:szCs w:val="20"/>
                <w:color w:val="auto"/>
              </w:rPr>
            </w:pPr>
            <w:r>
              <w:rPr>
                <w:rFonts w:ascii="Arial" w:cs="Arial" w:eastAsia="Arial" w:hAnsi="Arial"/>
                <w:sz w:val="13"/>
                <w:szCs w:val="13"/>
                <w:color w:val="auto"/>
                <w:w w:val="85"/>
              </w:rPr>
              <w:t>265,060</w:t>
            </w:r>
          </w:p>
        </w:tc>
        <w:tc>
          <w:tcPr>
            <w:tcW w:w="4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297,634</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Arial" w:cs="Arial" w:eastAsia="Arial" w:hAnsi="Arial"/>
                <w:sz w:val="13"/>
                <w:szCs w:val="13"/>
                <w:b w:val="1"/>
                <w:bCs w:val="1"/>
                <w:color w:val="auto"/>
              </w:rPr>
              <w:t>Commitments and contingencies (Note 19)</w:t>
            </w:r>
          </w:p>
        </w:tc>
        <w:tc>
          <w:tcPr>
            <w:tcW w:w="1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480" w:type="dxa"/>
            <w:vAlign w:val="bottom"/>
          </w:tcPr>
          <w:p>
            <w:pPr>
              <w:spacing w:after="0" w:line="145" w:lineRule="exact"/>
              <w:rPr>
                <w:sz w:val="20"/>
                <w:szCs w:val="20"/>
                <w:color w:val="auto"/>
              </w:rPr>
            </w:pPr>
            <w:r>
              <w:rPr>
                <w:rFonts w:ascii="Arial" w:cs="Arial" w:eastAsia="Arial" w:hAnsi="Arial"/>
                <w:sz w:val="13"/>
                <w:szCs w:val="13"/>
                <w:b w:val="1"/>
                <w:bCs w:val="1"/>
                <w:color w:val="auto"/>
              </w:rPr>
              <w:t>Stockholders’ equity:</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Class A non-voting common stock, par value $0.01, 100,000,000 shares authorized,</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32,254,199 issued and 21,890,029 outstanding at December 31, 2013 and 31,951,945</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issued and 21,587,775 outstanding at December 31, 2012</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225</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Class B voting common stock, par value $0.01, 20,000,000 shares authorized and</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1,495,490 issued and outstanding at December 31, 2013 and at December 31, 2012</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15</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Nonvoting preferred stock, par value $0.01, 12,000 shares authorized and no issued</w:t>
            </w: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480" w:type="dxa"/>
            <w:vAlign w:val="bottom"/>
          </w:tcPr>
          <w:p>
            <w:pPr>
              <w:ind w:left="100"/>
              <w:spacing w:after="0" w:line="141" w:lineRule="exact"/>
              <w:rPr>
                <w:sz w:val="20"/>
                <w:szCs w:val="20"/>
                <w:color w:val="auto"/>
              </w:rPr>
            </w:pPr>
            <w:r>
              <w:rPr>
                <w:rFonts w:ascii="Arial" w:cs="Arial" w:eastAsia="Arial" w:hAnsi="Arial"/>
                <w:sz w:val="13"/>
                <w:szCs w:val="13"/>
                <w:color w:val="auto"/>
              </w:rPr>
              <w:t>or outstanding shares at December 31, 2013 and December 31, 2012</w:t>
            </w:r>
          </w:p>
        </w:tc>
        <w:tc>
          <w:tcPr>
            <w:tcW w:w="19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Additional paid-in capital</w:t>
            </w:r>
          </w:p>
        </w:tc>
        <w:tc>
          <w:tcPr>
            <w:tcW w:w="190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3"/>
                <w:szCs w:val="13"/>
                <w:color w:val="auto"/>
                <w:w w:val="85"/>
              </w:rPr>
              <w:t>137,849</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136,754</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Accumulated deficit</w:t>
            </w:r>
          </w:p>
        </w:tc>
        <w:tc>
          <w:tcPr>
            <w:tcW w:w="19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w w:val="86"/>
              </w:rPr>
              <w:t>(57,952)</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(66,993)</w:t>
            </w:r>
          </w:p>
        </w:tc>
        <w:tc>
          <w:tcPr>
            <w:tcW w:w="0" w:type="dxa"/>
            <w:vAlign w:val="bottom"/>
          </w:tcPr>
          <w:p>
            <w:pPr>
              <w:spacing w:after="0"/>
              <w:rPr>
                <w:sz w:val="1"/>
                <w:szCs w:val="1"/>
                <w:color w:val="auto"/>
              </w:rPr>
            </w:pPr>
          </w:p>
        </w:tc>
      </w:tr>
      <w:tr>
        <w:trPr>
          <w:trHeight w:val="141"/>
        </w:trPr>
        <w:tc>
          <w:tcPr>
            <w:tcW w:w="5480" w:type="dxa"/>
            <w:vAlign w:val="bottom"/>
          </w:tcPr>
          <w:p>
            <w:pPr>
              <w:spacing w:after="0" w:line="141" w:lineRule="exact"/>
              <w:rPr>
                <w:sz w:val="20"/>
                <w:szCs w:val="20"/>
                <w:color w:val="auto"/>
              </w:rPr>
            </w:pPr>
            <w:r>
              <w:rPr>
                <w:rFonts w:ascii="Arial" w:cs="Arial" w:eastAsia="Arial" w:hAnsi="Arial"/>
                <w:sz w:val="13"/>
                <w:szCs w:val="13"/>
                <w:color w:val="auto"/>
              </w:rPr>
              <w:t>Treasury shares</w:t>
            </w:r>
          </w:p>
        </w:tc>
        <w:tc>
          <w:tcPr>
            <w:tcW w:w="190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(4,512)</w:t>
            </w:r>
          </w:p>
        </w:tc>
        <w:tc>
          <w:tcPr>
            <w:tcW w:w="4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(4,512)</w:t>
            </w:r>
          </w:p>
        </w:tc>
        <w:tc>
          <w:tcPr>
            <w:tcW w:w="0" w:type="dxa"/>
            <w:vAlign w:val="bottom"/>
          </w:tcPr>
          <w:p>
            <w:pPr>
              <w:spacing w:after="0"/>
              <w:rPr>
                <w:sz w:val="1"/>
                <w:szCs w:val="1"/>
                <w:color w:val="auto"/>
              </w:rPr>
            </w:pPr>
          </w:p>
        </w:tc>
      </w:tr>
      <w:tr>
        <w:trPr>
          <w:trHeight w:val="145"/>
        </w:trPr>
        <w:tc>
          <w:tcPr>
            <w:tcW w:w="5480" w:type="dxa"/>
            <w:vAlign w:val="bottom"/>
            <w:tcBorders>
              <w:bottom w:val="single" w:sz="8" w:color="auto"/>
            </w:tcBorders>
          </w:tcPr>
          <w:p>
            <w:pPr>
              <w:spacing w:after="0" w:line="145" w:lineRule="exact"/>
              <w:rPr>
                <w:sz w:val="20"/>
                <w:szCs w:val="20"/>
                <w:color w:val="auto"/>
              </w:rPr>
            </w:pPr>
            <w:r>
              <w:rPr>
                <w:rFonts w:ascii="Arial" w:cs="Arial" w:eastAsia="Arial" w:hAnsi="Arial"/>
                <w:sz w:val="13"/>
                <w:szCs w:val="13"/>
                <w:color w:val="auto"/>
              </w:rPr>
              <w:t>Accumulated other comprehensive income</w:t>
            </w:r>
          </w:p>
        </w:tc>
        <w:tc>
          <w:tcPr>
            <w:tcW w:w="1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5" w:lineRule="exact"/>
              <w:rPr>
                <w:sz w:val="20"/>
                <w:szCs w:val="20"/>
                <w:color w:val="auto"/>
              </w:rPr>
            </w:pPr>
            <w:r>
              <w:rPr>
                <w:rFonts w:ascii="Arial" w:cs="Arial" w:eastAsia="Arial" w:hAnsi="Arial"/>
                <w:sz w:val="13"/>
                <w:szCs w:val="13"/>
                <w:color w:val="auto"/>
              </w:rPr>
              <w:t>41,515</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61,369</w:t>
            </w:r>
          </w:p>
        </w:tc>
        <w:tc>
          <w:tcPr>
            <w:tcW w:w="0" w:type="dxa"/>
            <w:vAlign w:val="bottom"/>
          </w:tcPr>
          <w:p>
            <w:pPr>
              <w:spacing w:after="0"/>
              <w:rPr>
                <w:sz w:val="1"/>
                <w:szCs w:val="1"/>
                <w:color w:val="auto"/>
              </w:rPr>
            </w:pPr>
          </w:p>
        </w:tc>
      </w:tr>
      <w:tr>
        <w:trPr>
          <w:trHeight w:val="117"/>
        </w:trPr>
        <w:tc>
          <w:tcPr>
            <w:tcW w:w="5480" w:type="dxa"/>
            <w:vAlign w:val="bottom"/>
          </w:tcPr>
          <w:p>
            <w:pPr>
              <w:spacing w:after="0" w:line="117" w:lineRule="exact"/>
              <w:rPr>
                <w:sz w:val="20"/>
                <w:szCs w:val="20"/>
                <w:color w:val="auto"/>
              </w:rPr>
            </w:pPr>
            <w:r>
              <w:rPr>
                <w:rFonts w:ascii="Arial" w:cs="Arial" w:eastAsia="Arial" w:hAnsi="Arial"/>
                <w:sz w:val="13"/>
                <w:szCs w:val="13"/>
                <w:b w:val="1"/>
                <w:bCs w:val="1"/>
                <w:color w:val="auto"/>
              </w:rPr>
              <w:t>Total Reading International, Inc. stockholders’ equity</w:t>
            </w:r>
          </w:p>
        </w:tc>
        <w:tc>
          <w:tcPr>
            <w:tcW w:w="1900" w:type="dxa"/>
            <w:vAlign w:val="bottom"/>
          </w:tcPr>
          <w:p>
            <w:pPr>
              <w:spacing w:after="0"/>
              <w:rPr>
                <w:sz w:val="10"/>
                <w:szCs w:val="10"/>
                <w:color w:val="auto"/>
              </w:rPr>
            </w:pPr>
          </w:p>
        </w:tc>
        <w:tc>
          <w:tcPr>
            <w:tcW w:w="500" w:type="dxa"/>
            <w:vAlign w:val="bottom"/>
          </w:tcPr>
          <w:p>
            <w:pPr>
              <w:jc w:val="right"/>
              <w:ind w:right="17"/>
              <w:spacing w:after="0" w:line="117" w:lineRule="exact"/>
              <w:rPr>
                <w:sz w:val="20"/>
                <w:szCs w:val="20"/>
                <w:color w:val="auto"/>
              </w:rPr>
            </w:pPr>
            <w:r>
              <w:rPr>
                <w:rFonts w:ascii="Arial" w:cs="Arial" w:eastAsia="Arial" w:hAnsi="Arial"/>
                <w:sz w:val="13"/>
                <w:szCs w:val="13"/>
                <w:color w:val="auto"/>
                <w:w w:val="85"/>
              </w:rPr>
              <w:t>117,140</w:t>
            </w:r>
          </w:p>
        </w:tc>
        <w:tc>
          <w:tcPr>
            <w:tcW w:w="460" w:type="dxa"/>
            <w:vAlign w:val="bottom"/>
          </w:tcPr>
          <w:p>
            <w:pPr>
              <w:spacing w:after="0"/>
              <w:rPr>
                <w:sz w:val="10"/>
                <w:szCs w:val="10"/>
                <w:color w:val="auto"/>
              </w:rPr>
            </w:pPr>
          </w:p>
        </w:tc>
        <w:tc>
          <w:tcPr>
            <w:tcW w:w="840" w:type="dxa"/>
            <w:vAlign w:val="bottom"/>
          </w:tcPr>
          <w:p>
            <w:pPr>
              <w:jc w:val="right"/>
              <w:spacing w:after="0" w:line="117" w:lineRule="exact"/>
              <w:rPr>
                <w:sz w:val="20"/>
                <w:szCs w:val="20"/>
                <w:color w:val="auto"/>
              </w:rPr>
            </w:pPr>
            <w:r>
              <w:rPr>
                <w:rFonts w:ascii="Arial" w:cs="Arial" w:eastAsia="Arial" w:hAnsi="Arial"/>
                <w:sz w:val="13"/>
                <w:szCs w:val="13"/>
                <w:color w:val="auto"/>
              </w:rPr>
              <w:t>126,856</w:t>
            </w:r>
          </w:p>
        </w:tc>
        <w:tc>
          <w:tcPr>
            <w:tcW w:w="0" w:type="dxa"/>
            <w:vAlign w:val="bottom"/>
          </w:tcPr>
          <w:p>
            <w:pPr>
              <w:spacing w:after="0"/>
              <w:rPr>
                <w:sz w:val="1"/>
                <w:szCs w:val="1"/>
                <w:color w:val="auto"/>
              </w:rPr>
            </w:pPr>
          </w:p>
        </w:tc>
      </w:tr>
      <w:tr>
        <w:trPr>
          <w:trHeight w:val="145"/>
        </w:trPr>
        <w:tc>
          <w:tcPr>
            <w:tcW w:w="5480" w:type="dxa"/>
            <w:vAlign w:val="bottom"/>
            <w:tcBorders>
              <w:bottom w:val="single" w:sz="8" w:color="auto"/>
            </w:tcBorders>
          </w:tcPr>
          <w:p>
            <w:pPr>
              <w:spacing w:after="0" w:line="145" w:lineRule="exact"/>
              <w:rPr>
                <w:sz w:val="20"/>
                <w:szCs w:val="20"/>
                <w:color w:val="auto"/>
              </w:rPr>
            </w:pPr>
            <w:r>
              <w:rPr>
                <w:rFonts w:ascii="Arial" w:cs="Arial" w:eastAsia="Arial" w:hAnsi="Arial"/>
                <w:sz w:val="13"/>
                <w:szCs w:val="13"/>
                <w:color w:val="auto"/>
              </w:rPr>
              <w:t>Noncontrolling interests</w:t>
            </w:r>
          </w:p>
        </w:tc>
        <w:tc>
          <w:tcPr>
            <w:tcW w:w="1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5" w:lineRule="exact"/>
              <w:rPr>
                <w:sz w:val="20"/>
                <w:szCs w:val="20"/>
                <w:color w:val="auto"/>
              </w:rPr>
            </w:pPr>
            <w:r>
              <w:rPr>
                <w:rFonts w:ascii="Arial" w:cs="Arial" w:eastAsia="Arial" w:hAnsi="Arial"/>
                <w:sz w:val="13"/>
                <w:szCs w:val="13"/>
                <w:color w:val="auto"/>
              </w:rPr>
              <w:t>4,607</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4,098</w:t>
            </w:r>
          </w:p>
        </w:tc>
        <w:tc>
          <w:tcPr>
            <w:tcW w:w="0" w:type="dxa"/>
            <w:vAlign w:val="bottom"/>
          </w:tcPr>
          <w:p>
            <w:pPr>
              <w:spacing w:after="0"/>
              <w:rPr>
                <w:sz w:val="1"/>
                <w:szCs w:val="1"/>
                <w:color w:val="auto"/>
              </w:rPr>
            </w:pPr>
          </w:p>
        </w:tc>
      </w:tr>
      <w:tr>
        <w:trPr>
          <w:trHeight w:val="121"/>
        </w:trPr>
        <w:tc>
          <w:tcPr>
            <w:tcW w:w="548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Total stockholders’ equity</w:t>
            </w:r>
          </w:p>
        </w:tc>
        <w:tc>
          <w:tcPr>
            <w:tcW w:w="19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
              <w:spacing w:after="0" w:line="121" w:lineRule="exact"/>
              <w:rPr>
                <w:sz w:val="20"/>
                <w:szCs w:val="20"/>
                <w:color w:val="auto"/>
              </w:rPr>
            </w:pPr>
            <w:r>
              <w:rPr>
                <w:rFonts w:ascii="Arial" w:cs="Arial" w:eastAsia="Arial" w:hAnsi="Arial"/>
                <w:sz w:val="13"/>
                <w:szCs w:val="13"/>
                <w:color w:val="auto"/>
                <w:w w:val="85"/>
              </w:rPr>
              <w:t>121,747</w:t>
            </w:r>
          </w:p>
        </w:tc>
        <w:tc>
          <w:tcPr>
            <w:tcW w:w="4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130,954</w:t>
            </w:r>
          </w:p>
        </w:tc>
        <w:tc>
          <w:tcPr>
            <w:tcW w:w="0" w:type="dxa"/>
            <w:vAlign w:val="bottom"/>
          </w:tcPr>
          <w:p>
            <w:pPr>
              <w:spacing w:after="0"/>
              <w:rPr>
                <w:sz w:val="1"/>
                <w:szCs w:val="1"/>
                <w:color w:val="auto"/>
              </w:rPr>
            </w:pPr>
          </w:p>
        </w:tc>
      </w:tr>
      <w:tr>
        <w:trPr>
          <w:trHeight w:val="124"/>
        </w:trPr>
        <w:tc>
          <w:tcPr>
            <w:tcW w:w="548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Total liabilities and stockholders’ equity</w:t>
            </w:r>
          </w:p>
        </w:tc>
        <w:tc>
          <w:tcPr>
            <w:tcW w:w="1900" w:type="dxa"/>
            <w:vAlign w:val="bottom"/>
            <w:tcBorders>
              <w:bottom w:val="single" w:sz="8" w:color="auto"/>
            </w:tcBorders>
          </w:tcPr>
          <w:p>
            <w:pPr>
              <w:jc w:val="right"/>
              <w:ind w:right="677"/>
              <w:spacing w:after="0" w:line="121"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17"/>
              <w:spacing w:after="0" w:line="121" w:lineRule="exact"/>
              <w:rPr>
                <w:sz w:val="20"/>
                <w:szCs w:val="20"/>
                <w:color w:val="auto"/>
              </w:rPr>
            </w:pPr>
            <w:r>
              <w:rPr>
                <w:rFonts w:ascii="Arial" w:cs="Arial" w:eastAsia="Arial" w:hAnsi="Arial"/>
                <w:sz w:val="13"/>
                <w:szCs w:val="13"/>
                <w:color w:val="auto"/>
                <w:w w:val="85"/>
              </w:rPr>
              <w:t>386,807</w:t>
            </w:r>
          </w:p>
        </w:tc>
        <w:tc>
          <w:tcPr>
            <w:tcW w:w="460" w:type="dxa"/>
            <w:vAlign w:val="bottom"/>
            <w:tcBorders>
              <w:bottom w:val="single" w:sz="8" w:color="auto"/>
            </w:tcBorders>
          </w:tcPr>
          <w:p>
            <w:pPr>
              <w:jc w:val="right"/>
              <w:ind w:right="257"/>
              <w:spacing w:after="0" w:line="12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428,588</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ind w:right="3460"/>
        <w:spacing w:after="0" w:line="250" w:lineRule="auto"/>
        <w:rPr>
          <w:sz w:val="20"/>
          <w:szCs w:val="20"/>
          <w:color w:val="auto"/>
        </w:rPr>
      </w:pPr>
      <w:r>
        <w:rPr>
          <w:rFonts w:ascii="Arial" w:cs="Arial" w:eastAsia="Arial" w:hAnsi="Arial"/>
          <w:sz w:val="16"/>
          <w:szCs w:val="16"/>
          <w:b w:val="1"/>
          <w:bCs w:val="1"/>
          <w:color w:val="auto"/>
        </w:rPr>
        <w:t>Consolidated Statements of Operations for the Three Years Ended December 31, 2013 (U.S.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3"/>
        </w:trPr>
        <w:tc>
          <w:tcPr>
            <w:tcW w:w="5680" w:type="dxa"/>
            <w:vAlign w:val="bottom"/>
          </w:tcPr>
          <w:p>
            <w:pPr>
              <w:spacing w:after="0"/>
              <w:rPr>
                <w:sz w:val="20"/>
                <w:szCs w:val="20"/>
                <w:color w:val="auto"/>
              </w:rPr>
            </w:pPr>
            <w:r>
              <w:rPr>
                <w:rFonts w:ascii="Arial" w:cs="Arial" w:eastAsia="Arial" w:hAnsi="Arial"/>
                <w:sz w:val="14"/>
                <w:szCs w:val="14"/>
                <w:b w:val="1"/>
                <w:bCs w:val="1"/>
                <w:color w:val="auto"/>
              </w:rPr>
              <w:t>Operating revenue</w:t>
            </w:r>
          </w:p>
        </w:tc>
        <w:tc>
          <w:tcPr>
            <w:tcW w:w="24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239,418</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Cinema</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vMerge w:val="continue"/>
          </w:tcPr>
          <w:p>
            <w:pPr>
              <w:spacing w:after="0"/>
              <w:rPr>
                <w:sz w:val="15"/>
                <w:szCs w:val="15"/>
                <w:color w:val="auto"/>
              </w:rPr>
            </w:pP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234,703</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225,849</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Real estate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18,803</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19,727</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19,130</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operating revenue</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258,221</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254,430</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244,979</w:t>
            </w:r>
          </w:p>
        </w:tc>
        <w:tc>
          <w:tcPr>
            <w:tcW w:w="0" w:type="dxa"/>
            <w:vAlign w:val="bottom"/>
          </w:tcPr>
          <w:p>
            <w:pPr>
              <w:spacing w:after="0"/>
              <w:rPr>
                <w:sz w:val="1"/>
                <w:szCs w:val="1"/>
                <w:color w:val="auto"/>
              </w:rPr>
            </w:pPr>
          </w:p>
        </w:tc>
      </w:tr>
      <w:tr>
        <w:trPr>
          <w:trHeight w:val="339"/>
        </w:trPr>
        <w:tc>
          <w:tcPr>
            <w:tcW w:w="5680" w:type="dxa"/>
            <w:vAlign w:val="bottom"/>
          </w:tcPr>
          <w:p>
            <w:pPr>
              <w:spacing w:after="0"/>
              <w:rPr>
                <w:sz w:val="20"/>
                <w:szCs w:val="20"/>
                <w:color w:val="auto"/>
              </w:rPr>
            </w:pPr>
            <w:r>
              <w:rPr>
                <w:rFonts w:ascii="Arial" w:cs="Arial" w:eastAsia="Arial" w:hAnsi="Arial"/>
                <w:sz w:val="14"/>
                <w:szCs w:val="14"/>
                <w:b w:val="1"/>
                <w:bCs w:val="1"/>
                <w:color w:val="auto"/>
              </w:rPr>
              <w:t>Operating expense</w:t>
            </w:r>
          </w:p>
        </w:tc>
        <w:tc>
          <w:tcPr>
            <w:tcW w:w="2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193,206</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Cinema</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190,511</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182,215</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10,830</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11,163</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10,190</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15,197</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16,049</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16,595</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18,053</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16,117</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17,432</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Impairment expense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operating expense</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237,286</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235,303</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226,801</w:t>
            </w:r>
          </w:p>
        </w:tc>
        <w:tc>
          <w:tcPr>
            <w:tcW w:w="0" w:type="dxa"/>
            <w:vAlign w:val="bottom"/>
          </w:tcPr>
          <w:p>
            <w:pPr>
              <w:spacing w:after="0"/>
              <w:rPr>
                <w:sz w:val="1"/>
                <w:szCs w:val="1"/>
                <w:color w:val="auto"/>
              </w:rPr>
            </w:pPr>
          </w:p>
        </w:tc>
      </w:tr>
      <w:tr>
        <w:trPr>
          <w:trHeight w:val="355"/>
        </w:trPr>
        <w:tc>
          <w:tcPr>
            <w:tcW w:w="568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20,935</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19,127</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18,178</w:t>
            </w:r>
          </w:p>
        </w:tc>
        <w:tc>
          <w:tcPr>
            <w:tcW w:w="0" w:type="dxa"/>
            <w:vAlign w:val="bottom"/>
          </w:tcPr>
          <w:p>
            <w:pPr>
              <w:spacing w:after="0"/>
              <w:rPr>
                <w:sz w:val="1"/>
                <w:szCs w:val="1"/>
                <w:color w:val="auto"/>
              </w:rPr>
            </w:pPr>
          </w:p>
        </w:tc>
      </w:tr>
      <w:tr>
        <w:trPr>
          <w:trHeight w:val="353"/>
        </w:trPr>
        <w:tc>
          <w:tcPr>
            <w:tcW w:w="568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(10,444)</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(17,226)</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(22,520)</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Arial" w:cs="Arial" w:eastAsia="Arial" w:hAnsi="Arial"/>
                <w:sz w:val="14"/>
                <w:szCs w:val="14"/>
                <w:color w:val="auto"/>
              </w:rPr>
              <w:t>Net gain (loss) on sale of assets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56"/>
        </w:trPr>
        <w:tc>
          <w:tcPr>
            <w:tcW w:w="5680" w:type="dxa"/>
            <w:vAlign w:val="bottom"/>
          </w:tcPr>
          <w:p>
            <w:pPr>
              <w:spacing w:after="0" w:line="156" w:lineRule="exact"/>
              <w:rPr>
                <w:sz w:val="20"/>
                <w:szCs w:val="20"/>
                <w:color w:val="auto"/>
              </w:rPr>
            </w:pPr>
            <w:r>
              <w:rPr>
                <w:rFonts w:ascii="Arial" w:cs="Arial" w:eastAsia="Arial" w:hAnsi="Arial"/>
                <w:sz w:val="14"/>
                <w:szCs w:val="14"/>
                <w:b w:val="1"/>
                <w:bCs w:val="1"/>
                <w:color w:val="auto"/>
                <w:w w:val="89"/>
              </w:rPr>
              <w:t>Income (loss) before income tax expense and equity earnings of unconsolidated joint ventures</w:t>
            </w: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12,718</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80" w:type="dxa"/>
            <w:vAlign w:val="bottom"/>
          </w:tcPr>
          <w:p>
            <w:pPr>
              <w:spacing w:after="0"/>
              <w:rPr>
                <w:sz w:val="20"/>
                <w:szCs w:val="20"/>
                <w:color w:val="auto"/>
              </w:rPr>
            </w:pPr>
            <w:r>
              <w:rPr>
                <w:rFonts w:ascii="Arial" w:cs="Arial" w:eastAsia="Arial" w:hAnsi="Arial"/>
                <w:sz w:val="14"/>
                <w:szCs w:val="14"/>
                <w:b w:val="1"/>
                <w:bCs w:val="1"/>
                <w:color w:val="auto"/>
              </w:rPr>
              <w:t>and entities</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2,282</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 benefit (expense)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(4,942)</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(4,904)</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12,330</w:t>
            </w:r>
          </w:p>
        </w:tc>
        <w:tc>
          <w:tcPr>
            <w:tcW w:w="0" w:type="dxa"/>
            <w:vAlign w:val="bottom"/>
          </w:tcPr>
          <w:p>
            <w:pPr>
              <w:spacing w:after="0"/>
              <w:rPr>
                <w:sz w:val="1"/>
                <w:szCs w:val="1"/>
                <w:color w:val="auto"/>
              </w:rPr>
            </w:pPr>
          </w:p>
        </w:tc>
      </w:tr>
      <w:tr>
        <w:trPr>
          <w:trHeight w:val="320"/>
        </w:trPr>
        <w:tc>
          <w:tcPr>
            <w:tcW w:w="5680" w:type="dxa"/>
            <w:vAlign w:val="bottom"/>
          </w:tcPr>
          <w:p>
            <w:pPr>
              <w:spacing w:after="0"/>
              <w:rPr>
                <w:sz w:val="20"/>
                <w:szCs w:val="20"/>
                <w:color w:val="auto"/>
              </w:rPr>
            </w:pPr>
            <w:r>
              <w:rPr>
                <w:rFonts w:ascii="Arial" w:cs="Arial" w:eastAsia="Arial" w:hAnsi="Arial"/>
                <w:sz w:val="14"/>
                <w:szCs w:val="14"/>
                <w:b w:val="1"/>
                <w:bCs w:val="1"/>
                <w:color w:val="auto"/>
                <w:w w:val="96"/>
              </w:rPr>
              <w:t>Income (loss) before equity earnings (loss) of unconsolidated joint ventures and entities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7,776</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(2,622)</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10,560</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earnings (loss) of unconsolidated joint ventures and entities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20"/>
                <w:szCs w:val="20"/>
                <w:color w:val="auto"/>
              </w:rPr>
            </w:pPr>
            <w:r>
              <w:rPr>
                <w:rFonts w:ascii="Arial" w:cs="Arial" w:eastAsia="Arial" w:hAnsi="Arial"/>
                <w:sz w:val="14"/>
                <w:szCs w:val="14"/>
                <w:b w:val="1"/>
                <w:bCs w:val="1"/>
                <w:color w:val="auto"/>
              </w:rPr>
              <w:t>Income (loss) before discontinued operations</w:t>
            </w:r>
          </w:p>
        </w:tc>
        <w:tc>
          <w:tcPr>
            <w:tcW w:w="2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6"/>
                <w:szCs w:val="16"/>
                <w:color w:val="auto"/>
              </w:rPr>
              <w:t>9,145</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(1,001)</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9,008</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Arial" w:cs="Arial" w:eastAsia="Arial" w:hAnsi="Arial"/>
                <w:sz w:val="14"/>
                <w:szCs w:val="14"/>
                <w:color w:val="auto"/>
              </w:rPr>
              <w:t>Income (loss) from discontinued operations, net of tax</w:t>
            </w:r>
          </w:p>
        </w:tc>
        <w:tc>
          <w:tcPr>
            <w:tcW w:w="24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Gain (loss) on sale of discontinued operations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68" w:lineRule="exact"/>
              <w:rPr>
                <w:sz w:val="20"/>
                <w:szCs w:val="20"/>
                <w:color w:val="auto"/>
              </w:rPr>
            </w:pPr>
            <w:r>
              <w:rPr>
                <w:rFonts w:ascii="Arial" w:cs="Arial" w:eastAsia="Arial" w:hAnsi="Arial"/>
                <w:sz w:val="16"/>
                <w:szCs w:val="16"/>
                <w:color w:val="auto"/>
              </w:rPr>
              <w:t>9,145</w:t>
            </w: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(1,406)</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10,896</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32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 (loss) attributable to Reading International, Inc. common shareholders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b w:val="1"/>
                <w:bCs w:val="1"/>
                <w:color w:val="auto"/>
                <w:w w:val="98"/>
              </w:rPr>
              <w:t>Basic  income  (loss)  per  common  share  attributable  to  Reading  International,  Inc.</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0.39</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vMerge w:val="continue"/>
          </w:tcPr>
          <w:p>
            <w:pPr>
              <w:spacing w:after="0"/>
              <w:rPr>
                <w:sz w:val="15"/>
                <w:szCs w:val="15"/>
                <w:color w:val="auto"/>
              </w:rPr>
            </w:pP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(0.02)</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(loss) from discontinued operations, net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32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Basic income (loss) per share attributable to Reading International, Inc. shareholders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4"/>
                <w:szCs w:val="14"/>
                <w:b w:val="1"/>
                <w:bCs w:val="1"/>
                <w:color w:val="auto"/>
                <w:w w:val="96"/>
              </w:rPr>
              <w:t>Diluted  income  (loss)  per  common  share  attributable  to  Reading  International,  Inc.</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vMerge w:val="continue"/>
          </w:tcPr>
          <w:p>
            <w:pPr>
              <w:spacing w:after="0"/>
              <w:rPr>
                <w:sz w:val="15"/>
                <w:szCs w:val="15"/>
                <w:color w:val="auto"/>
              </w:rPr>
            </w:pPr>
          </w:p>
        </w:tc>
        <w:tc>
          <w:tcPr>
            <w:tcW w:w="3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(0.02)</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(loss) from discontinued operations, net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32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Diluted income (loss) per share attributable to Reading International, Inc. shareholders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20"/>
                <w:szCs w:val="20"/>
                <w:color w:val="auto"/>
              </w:rPr>
            </w:pPr>
            <w:r>
              <w:rPr>
                <w:rFonts w:ascii="Arial" w:cs="Arial" w:eastAsia="Arial" w:hAnsi="Arial"/>
                <w:sz w:val="14"/>
                <w:szCs w:val="14"/>
                <w:b w:val="1"/>
                <w:bCs w:val="1"/>
                <w:color w:val="auto"/>
              </w:rPr>
              <w:t>Weighted average number of shares outstanding–basic</w:t>
            </w:r>
          </w:p>
        </w:tc>
        <w:tc>
          <w:tcPr>
            <w:tcW w:w="24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23,348,003</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23,028,596</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22,764,666</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 average number of shares outstanding–diluted</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23,520,271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23,028,596</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22,993,135</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323" w:right="1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ind w:right="2180"/>
        <w:spacing w:after="0" w:line="250" w:lineRule="auto"/>
        <w:rPr>
          <w:sz w:val="20"/>
          <w:szCs w:val="20"/>
          <w:color w:val="auto"/>
        </w:rPr>
      </w:pPr>
      <w:r>
        <w:rPr>
          <w:rFonts w:ascii="Arial" w:cs="Arial" w:eastAsia="Arial" w:hAnsi="Arial"/>
          <w:sz w:val="16"/>
          <w:szCs w:val="16"/>
          <w:b w:val="1"/>
          <w:bCs w:val="1"/>
          <w:color w:val="auto"/>
        </w:rPr>
        <w:t>Consolidated Statements of Comprehensive Income (Loss) for the Three Years Ended December 31, 2013 (U.S.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w w:val="99"/>
              </w:rPr>
              <w:t>Years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9,145</w:t>
            </w:r>
          </w:p>
        </w:tc>
        <w:tc>
          <w:tcPr>
            <w:tcW w:w="4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(1,406)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10,896</w:t>
            </w:r>
          </w:p>
        </w:tc>
        <w:tc>
          <w:tcPr>
            <w:tcW w:w="0" w:type="dxa"/>
            <w:vAlign w:val="bottom"/>
          </w:tcPr>
          <w:p>
            <w:pPr>
              <w:spacing w:after="0"/>
              <w:rPr>
                <w:sz w:val="1"/>
                <w:szCs w:val="1"/>
                <w:color w:val="auto"/>
              </w:rPr>
            </w:pPr>
          </w:p>
        </w:tc>
      </w:tr>
      <w:tr>
        <w:trPr>
          <w:trHeight w:val="200"/>
        </w:trPr>
        <w:tc>
          <w:tcPr>
            <w:tcW w:w="5340" w:type="dxa"/>
            <w:vAlign w:val="bottom"/>
          </w:tcPr>
          <w:p>
            <w:pPr>
              <w:spacing w:after="0"/>
              <w:rPr>
                <w:sz w:val="20"/>
                <w:szCs w:val="20"/>
                <w:color w:val="auto"/>
              </w:rPr>
            </w:pPr>
            <w:r>
              <w:rPr>
                <w:rFonts w:ascii="Arial" w:cs="Arial" w:eastAsia="Arial" w:hAnsi="Arial"/>
                <w:sz w:val="14"/>
                <w:szCs w:val="14"/>
                <w:color w:val="auto"/>
              </w:rPr>
              <w:t>Cumulative foreign currency adjustment</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(19,368)</w:t>
            </w:r>
          </w:p>
        </w:tc>
        <w:tc>
          <w:tcPr>
            <w:tcW w:w="480" w:type="dxa"/>
            <w:vAlign w:val="bottom"/>
          </w:tcPr>
          <w:p>
            <w:pPr>
              <w:spacing w:after="0"/>
              <w:rPr>
                <w:sz w:val="17"/>
                <w:szCs w:val="17"/>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4,419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1"/>
        </w:trPr>
        <w:tc>
          <w:tcPr>
            <w:tcW w:w="5340" w:type="dxa"/>
            <w:vAlign w:val="bottom"/>
          </w:tcPr>
          <w:p>
            <w:pPr>
              <w:spacing w:after="0"/>
              <w:rPr>
                <w:sz w:val="20"/>
                <w:szCs w:val="20"/>
                <w:color w:val="auto"/>
              </w:rPr>
            </w:pPr>
            <w:r>
              <w:rPr>
                <w:rFonts w:ascii="Arial" w:cs="Arial" w:eastAsia="Arial" w:hAnsi="Arial"/>
                <w:sz w:val="14"/>
                <w:szCs w:val="14"/>
                <w:color w:val="auto"/>
                <w:w w:val="97"/>
              </w:rPr>
              <w:t>Reclassification of realized gain on available for sale investments included in net income</w:t>
            </w:r>
          </w:p>
        </w:tc>
        <w:tc>
          <w:tcPr>
            <w:tcW w:w="3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340" w:type="dxa"/>
            <w:vAlign w:val="bottom"/>
          </w:tcPr>
          <w:p>
            <w:pPr>
              <w:spacing w:after="0"/>
              <w:rPr>
                <w:sz w:val="20"/>
                <w:szCs w:val="20"/>
                <w:color w:val="auto"/>
              </w:rPr>
            </w:pPr>
            <w:r>
              <w:rPr>
                <w:rFonts w:ascii="Arial" w:cs="Arial" w:eastAsia="Arial" w:hAnsi="Arial"/>
                <w:sz w:val="14"/>
                <w:szCs w:val="14"/>
                <w:color w:val="auto"/>
              </w:rPr>
              <w:t>(loss)</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4"/>
                <w:szCs w:val="14"/>
                <w:color w:val="auto"/>
              </w:rPr>
              <w:t>Unrealized income (loss) on available for sale investments</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0"/>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Accrued pension service benefit (costs)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(1,980)</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3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(10,816)</w:t>
            </w:r>
          </w:p>
        </w:tc>
        <w:tc>
          <w:tcPr>
            <w:tcW w:w="4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1,031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48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492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00"/>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4"/>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Comprehensive income (loss) attributable to Reading International, Inc.</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(10,813)</w:t>
            </w: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1,518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11,773</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80010</wp:posOffset>
            </wp:positionV>
            <wp:extent cx="6887210" cy="47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87210" cy="47625"/>
                    </a:xfrm>
                    <a:prstGeom prst="rect">
                      <a:avLst/>
                    </a:prstGeom>
                    <a:noFill/>
                  </pic:spPr>
                </pic:pic>
              </a:graphicData>
            </a:graphic>
          </wp:anchor>
        </w:drawing>
      </w:r>
    </w:p>
    <w:p>
      <w:pPr>
        <w:sectPr>
          <w:pgSz w:w="11900" w:h="16838" w:orient="portrait"/>
          <w:cols w:equalWidth="0" w:num="1">
            <w:col w:w="9180"/>
          </w:cols>
          <w:pgMar w:left="1360" w:top="323" w:right="135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color w:val="auto"/>
        </w:rPr>
        <w:t>Reading International, Inc. and Subsidiaries</w:t>
      </w:r>
    </w:p>
    <w:p>
      <w:pPr>
        <w:spacing w:after="0" w:line="207" w:lineRule="auto"/>
        <w:rPr>
          <w:sz w:val="20"/>
          <w:szCs w:val="20"/>
          <w:color w:val="auto"/>
        </w:rPr>
      </w:pPr>
      <w:r>
        <w:rPr>
          <w:rFonts w:ascii="Arial" w:cs="Arial" w:eastAsia="Arial" w:hAnsi="Arial"/>
          <w:sz w:val="13"/>
          <w:szCs w:val="13"/>
          <w:b w:val="1"/>
          <w:bCs w:val="1"/>
          <w:color w:val="auto"/>
        </w:rPr>
        <w:t>Consolidated Statements of Stockholders’ Equity for the Three Years Ended December 31, 2013</w:t>
      </w:r>
    </w:p>
    <w:p>
      <w:pPr>
        <w:spacing w:after="0" w:line="237" w:lineRule="auto"/>
        <w:rPr>
          <w:sz w:val="20"/>
          <w:szCs w:val="20"/>
          <w:color w:val="auto"/>
        </w:rPr>
      </w:pPr>
      <w:r>
        <w:rPr>
          <w:rFonts w:ascii="Arial" w:cs="Arial" w:eastAsia="Arial" w:hAnsi="Arial"/>
          <w:sz w:val="13"/>
          <w:szCs w:val="13"/>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1"/>
                <w:szCs w:val="11"/>
                <w:b w:val="1"/>
                <w:bCs w:val="1"/>
                <w:color w:val="auto"/>
                <w:w w:val="86"/>
              </w:rPr>
              <w:t>Common Stock</w:t>
            </w: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1"/>
                <w:szCs w:val="11"/>
                <w:color w:val="auto"/>
              </w:rPr>
            </w:pPr>
          </w:p>
        </w:tc>
        <w:tc>
          <w:tcPr>
            <w:tcW w:w="720" w:type="dxa"/>
            <w:vAlign w:val="bottom"/>
          </w:tcPr>
          <w:p>
            <w:pPr>
              <w:jc w:val="center"/>
              <w:ind w:right="165"/>
              <w:spacing w:after="0"/>
              <w:rPr>
                <w:sz w:val="20"/>
                <w:szCs w:val="20"/>
                <w:color w:val="auto"/>
              </w:rPr>
            </w:pPr>
            <w:r>
              <w:rPr>
                <w:rFonts w:ascii="Arial" w:cs="Arial" w:eastAsia="Arial" w:hAnsi="Arial"/>
                <w:sz w:val="11"/>
                <w:szCs w:val="11"/>
                <w:b w:val="1"/>
                <w:bCs w:val="1"/>
                <w:color w:val="auto"/>
                <w:w w:val="87"/>
              </w:rPr>
              <w:t>Reading</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1"/>
        </w:trPr>
        <w:tc>
          <w:tcPr>
            <w:tcW w:w="2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2"/>
          </w:tcPr>
          <w:p>
            <w:pPr>
              <w:jc w:val="center"/>
              <w:ind w:right="45"/>
              <w:spacing w:after="0"/>
              <w:rPr>
                <w:sz w:val="20"/>
                <w:szCs w:val="20"/>
                <w:color w:val="auto"/>
              </w:rPr>
            </w:pPr>
            <w:r>
              <w:rPr>
                <w:rFonts w:ascii="Arial" w:cs="Arial" w:eastAsia="Arial" w:hAnsi="Arial"/>
                <w:sz w:val="11"/>
                <w:szCs w:val="11"/>
                <w:b w:val="1"/>
                <w:bCs w:val="1"/>
                <w:color w:val="auto"/>
                <w:w w:val="89"/>
              </w:rPr>
              <w:t>Class A</w:t>
            </w:r>
          </w:p>
        </w:tc>
        <w:tc>
          <w:tcPr>
            <w:tcW w:w="6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145"/>
              <w:spacing w:after="0"/>
              <w:rPr>
                <w:sz w:val="20"/>
                <w:szCs w:val="20"/>
                <w:color w:val="auto"/>
              </w:rPr>
            </w:pPr>
            <w:r>
              <w:rPr>
                <w:rFonts w:ascii="Arial" w:cs="Arial" w:eastAsia="Arial" w:hAnsi="Arial"/>
                <w:sz w:val="11"/>
                <w:szCs w:val="11"/>
                <w:b w:val="1"/>
                <w:bCs w:val="1"/>
                <w:color w:val="auto"/>
                <w:w w:val="84"/>
              </w:rPr>
              <w:t>Class B</w:t>
            </w:r>
          </w:p>
        </w:tc>
        <w:tc>
          <w:tcPr>
            <w:tcW w:w="760" w:type="dxa"/>
            <w:vAlign w:val="bottom"/>
            <w:gridSpan w:val="2"/>
          </w:tcPr>
          <w:p>
            <w:pPr>
              <w:jc w:val="right"/>
              <w:ind w:right="125"/>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165"/>
              <w:spacing w:after="0"/>
              <w:rPr>
                <w:sz w:val="20"/>
                <w:szCs w:val="20"/>
                <w:color w:val="auto"/>
              </w:rPr>
            </w:pPr>
            <w:r>
              <w:rPr>
                <w:rFonts w:ascii="Arial" w:cs="Arial" w:eastAsia="Arial" w:hAnsi="Arial"/>
                <w:sz w:val="11"/>
                <w:szCs w:val="11"/>
                <w:b w:val="1"/>
                <w:bCs w:val="1"/>
                <w:color w:val="auto"/>
                <w:w w:val="95"/>
              </w:rPr>
              <w:t>Other</w:t>
            </w:r>
          </w:p>
        </w:tc>
        <w:tc>
          <w:tcPr>
            <w:tcW w:w="9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International Inc.</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05"/>
              <w:spacing w:after="0"/>
              <w:rPr>
                <w:sz w:val="20"/>
                <w:szCs w:val="20"/>
                <w:color w:val="auto"/>
              </w:rPr>
            </w:pPr>
            <w:r>
              <w:rPr>
                <w:rFonts w:ascii="Arial" w:cs="Arial" w:eastAsia="Arial" w:hAnsi="Arial"/>
                <w:sz w:val="11"/>
                <w:szCs w:val="11"/>
                <w:b w:val="1"/>
                <w:bCs w:val="1"/>
                <w:color w:val="auto"/>
                <w:w w:val="91"/>
              </w:rPr>
              <w:t>Total</w:t>
            </w:r>
          </w:p>
        </w:tc>
      </w:tr>
      <w:tr>
        <w:trPr>
          <w:trHeight w:val="153"/>
        </w:trPr>
        <w:tc>
          <w:tcPr>
            <w:tcW w:w="2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jc w:val="right"/>
              <w:ind w:right="105"/>
              <w:spacing w:after="0"/>
              <w:rPr>
                <w:sz w:val="20"/>
                <w:szCs w:val="20"/>
                <w:color w:val="auto"/>
              </w:rPr>
            </w:pPr>
            <w:r>
              <w:rPr>
                <w:rFonts w:ascii="Arial" w:cs="Arial" w:eastAsia="Arial" w:hAnsi="Arial"/>
                <w:sz w:val="11"/>
                <w:szCs w:val="11"/>
                <w:b w:val="1"/>
                <w:bCs w:val="1"/>
                <w:color w:val="auto"/>
                <w:w w:val="99"/>
              </w:rPr>
              <w:t>Class A</w:t>
            </w:r>
          </w:p>
        </w:tc>
        <w:tc>
          <w:tcPr>
            <w:tcW w:w="180" w:type="dxa"/>
            <w:vAlign w:val="bottom"/>
          </w:tcPr>
          <w:p>
            <w:pPr>
              <w:spacing w:after="0"/>
              <w:rPr>
                <w:sz w:val="13"/>
                <w:szCs w:val="13"/>
                <w:color w:val="auto"/>
              </w:rPr>
            </w:pPr>
          </w:p>
        </w:tc>
        <w:tc>
          <w:tcPr>
            <w:tcW w:w="600" w:type="dxa"/>
            <w:vAlign w:val="bottom"/>
            <w:tcBorders>
              <w:right w:val="single" w:sz="8" w:color="auto"/>
            </w:tcBorders>
          </w:tcPr>
          <w:p>
            <w:pPr>
              <w:jc w:val="center"/>
              <w:ind w:right="245"/>
              <w:spacing w:after="0"/>
              <w:rPr>
                <w:sz w:val="20"/>
                <w:szCs w:val="20"/>
                <w:color w:val="auto"/>
              </w:rPr>
            </w:pPr>
            <w:r>
              <w:rPr>
                <w:rFonts w:ascii="Arial" w:cs="Arial" w:eastAsia="Arial" w:hAnsi="Arial"/>
                <w:sz w:val="11"/>
                <w:szCs w:val="11"/>
                <w:b w:val="1"/>
                <w:bCs w:val="1"/>
                <w:color w:val="auto"/>
              </w:rPr>
              <w:t>Par</w:t>
            </w:r>
          </w:p>
        </w:tc>
        <w:tc>
          <w:tcPr>
            <w:tcW w:w="64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3"/>
                <w:szCs w:val="13"/>
                <w:color w:val="auto"/>
              </w:rPr>
            </w:pPr>
          </w:p>
        </w:tc>
        <w:tc>
          <w:tcPr>
            <w:tcW w:w="540" w:type="dxa"/>
            <w:vAlign w:val="bottom"/>
          </w:tcPr>
          <w:p>
            <w:pPr>
              <w:jc w:val="center"/>
              <w:ind w:right="145"/>
              <w:spacing w:after="0"/>
              <w:rPr>
                <w:sz w:val="20"/>
                <w:szCs w:val="20"/>
                <w:color w:val="auto"/>
              </w:rPr>
            </w:pPr>
            <w:r>
              <w:rPr>
                <w:rFonts w:ascii="Arial" w:cs="Arial" w:eastAsia="Arial" w:hAnsi="Arial"/>
                <w:sz w:val="11"/>
                <w:szCs w:val="11"/>
                <w:b w:val="1"/>
                <w:bCs w:val="1"/>
                <w:color w:val="auto"/>
              </w:rPr>
              <w:t>Par</w:t>
            </w:r>
          </w:p>
        </w:tc>
        <w:tc>
          <w:tcPr>
            <w:tcW w:w="14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1"/>
                <w:szCs w:val="11"/>
                <w:b w:val="1"/>
                <w:bCs w:val="1"/>
                <w:color w:val="auto"/>
                <w:w w:val="92"/>
              </w:rPr>
              <w:t>Paid-In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3"/>
                <w:szCs w:val="13"/>
                <w:color w:val="auto"/>
              </w:rPr>
            </w:pPr>
          </w:p>
        </w:tc>
        <w:tc>
          <w:tcPr>
            <w:tcW w:w="600" w:type="dxa"/>
            <w:vAlign w:val="bottom"/>
          </w:tcPr>
          <w:p>
            <w:pPr>
              <w:jc w:val="right"/>
              <w:ind w:right="125"/>
              <w:spacing w:after="0"/>
              <w:rPr>
                <w:sz w:val="20"/>
                <w:szCs w:val="20"/>
                <w:color w:val="auto"/>
              </w:rPr>
            </w:pPr>
            <w:r>
              <w:rPr>
                <w:rFonts w:ascii="Arial" w:cs="Arial" w:eastAsia="Arial" w:hAnsi="Arial"/>
                <w:sz w:val="11"/>
                <w:szCs w:val="11"/>
                <w:b w:val="1"/>
                <w:bCs w:val="1"/>
                <w:color w:val="auto"/>
                <w:w w:val="85"/>
              </w:rPr>
              <w:t>Treasury</w:t>
            </w: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Comprehensive</w:t>
            </w:r>
          </w:p>
        </w:tc>
        <w:tc>
          <w:tcPr>
            <w:tcW w:w="9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Stockholders’</w:t>
            </w:r>
          </w:p>
        </w:tc>
        <w:tc>
          <w:tcPr>
            <w:tcW w:w="820" w:type="dxa"/>
            <w:vAlign w:val="bottom"/>
            <w:gridSpan w:val="2"/>
          </w:tcPr>
          <w:p>
            <w:pPr>
              <w:jc w:val="right"/>
              <w:ind w:right="25"/>
              <w:spacing w:after="0"/>
              <w:rPr>
                <w:sz w:val="20"/>
                <w:szCs w:val="20"/>
                <w:color w:val="auto"/>
              </w:rPr>
            </w:pPr>
            <w:r>
              <w:rPr>
                <w:rFonts w:ascii="Arial" w:cs="Arial" w:eastAsia="Arial" w:hAnsi="Arial"/>
                <w:sz w:val="11"/>
                <w:szCs w:val="11"/>
                <w:b w:val="1"/>
                <w:bCs w:val="1"/>
                <w:color w:val="auto"/>
                <w:w w:val="91"/>
              </w:rPr>
              <w:t>Noncontrolling</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Stockholders’</w:t>
            </w:r>
          </w:p>
        </w:tc>
      </w:tr>
      <w:tr>
        <w:trPr>
          <w:trHeight w:val="144"/>
        </w:trPr>
        <w:tc>
          <w:tcPr>
            <w:tcW w:w="20" w:type="dxa"/>
            <w:vAlign w:val="bottom"/>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45"/>
              <w:spacing w:after="0"/>
              <w:rPr>
                <w:sz w:val="20"/>
                <w:szCs w:val="20"/>
                <w:color w:val="auto"/>
              </w:rPr>
            </w:pPr>
            <w:r>
              <w:rPr>
                <w:rFonts w:ascii="Arial" w:cs="Arial" w:eastAsia="Arial" w:hAnsi="Arial"/>
                <w:sz w:val="11"/>
                <w:szCs w:val="11"/>
                <w:b w:val="1"/>
                <w:bCs w:val="1"/>
                <w:color w:val="auto"/>
                <w:w w:val="97"/>
              </w:rPr>
              <w:t>Shares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center"/>
              <w:ind w:right="245"/>
              <w:spacing w:after="0"/>
              <w:rPr>
                <w:sz w:val="20"/>
                <w:szCs w:val="20"/>
                <w:color w:val="auto"/>
              </w:rPr>
            </w:pPr>
            <w:r>
              <w:rPr>
                <w:rFonts w:ascii="Arial" w:cs="Arial" w:eastAsia="Arial" w:hAnsi="Arial"/>
                <w:sz w:val="11"/>
                <w:szCs w:val="11"/>
                <w:b w:val="1"/>
                <w:bCs w:val="1"/>
                <w:color w:val="auto"/>
                <w:w w:val="88"/>
              </w:rPr>
              <w:t>Value</w:t>
            </w:r>
          </w:p>
        </w:tc>
        <w:tc>
          <w:tcPr>
            <w:tcW w:w="640" w:type="dxa"/>
            <w:vAlign w:val="bottom"/>
            <w:tcBorders>
              <w:bottom w:val="single" w:sz="8" w:color="auto"/>
              <w:right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8"/>
              </w:rPr>
              <w:t>Value</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Stock</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Income/(Loss)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w w:val="91"/>
              </w:rPr>
              <w:t>Interests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05"/>
              <w:spacing w:after="0"/>
              <w:rPr>
                <w:sz w:val="20"/>
                <w:szCs w:val="20"/>
                <w:color w:val="auto"/>
              </w:rPr>
            </w:pPr>
            <w:r>
              <w:rPr>
                <w:rFonts w:ascii="Arial" w:cs="Arial" w:eastAsia="Arial" w:hAnsi="Arial"/>
                <w:sz w:val="11"/>
                <w:szCs w:val="11"/>
                <w:b w:val="1"/>
                <w:bCs w:val="1"/>
                <w:color w:val="auto"/>
                <w:w w:val="95"/>
              </w:rPr>
              <w:t>Equity</w:t>
            </w:r>
          </w:p>
        </w:tc>
      </w:tr>
      <w:tr>
        <w:trPr>
          <w:trHeight w:val="113"/>
        </w:trPr>
        <w:tc>
          <w:tcPr>
            <w:tcW w:w="2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line="110" w:lineRule="exact"/>
              <w:rPr>
                <w:sz w:val="20"/>
                <w:szCs w:val="20"/>
                <w:color w:val="auto"/>
              </w:rPr>
            </w:pPr>
            <w:r>
              <w:rPr>
                <w:rFonts w:ascii="Arial" w:cs="Arial" w:eastAsia="Arial" w:hAnsi="Arial"/>
                <w:sz w:val="11"/>
                <w:szCs w:val="11"/>
                <w:color w:val="auto"/>
              </w:rPr>
              <w:t>At January 1, 2011</w:t>
            </w:r>
          </w:p>
        </w:tc>
        <w:tc>
          <w:tcPr>
            <w:tcW w:w="58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21,309</w:t>
            </w:r>
          </w:p>
        </w:tc>
        <w:tc>
          <w:tcPr>
            <w:tcW w:w="1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right w:val="single" w:sz="8" w:color="auto"/>
            </w:tcBorders>
          </w:tcPr>
          <w:p>
            <w:pPr>
              <w:jc w:val="right"/>
              <w:ind w:right="65"/>
              <w:spacing w:after="0" w:line="110" w:lineRule="exact"/>
              <w:rPr>
                <w:sz w:val="20"/>
                <w:szCs w:val="20"/>
                <w:color w:val="auto"/>
              </w:rPr>
            </w:pPr>
            <w:r>
              <w:rPr>
                <w:rFonts w:ascii="Arial" w:cs="Arial" w:eastAsia="Arial" w:hAnsi="Arial"/>
                <w:sz w:val="11"/>
                <w:szCs w:val="11"/>
                <w:color w:val="auto"/>
              </w:rPr>
              <w:t>216</w:t>
            </w:r>
          </w:p>
        </w:tc>
        <w:tc>
          <w:tcPr>
            <w:tcW w:w="64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1,495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134,236</w:t>
            </w:r>
          </w:p>
        </w:tc>
        <w:tc>
          <w:tcPr>
            <w:tcW w:w="160" w:type="dxa"/>
            <w:vAlign w:val="bottom"/>
            <w:tcBorders>
              <w:bottom w:val="single" w:sz="8" w:color="auto"/>
            </w:tcBorders>
          </w:tcPr>
          <w:p>
            <w:pPr>
              <w:ind w:left="40"/>
              <w:spacing w:after="0" w:line="110"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(76,035)</w:t>
            </w:r>
          </w:p>
        </w:tc>
        <w:tc>
          <w:tcPr>
            <w:tcW w:w="1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(3,765)</w:t>
            </w:r>
          </w:p>
        </w:tc>
        <w:tc>
          <w:tcPr>
            <w:tcW w:w="180" w:type="dxa"/>
            <w:vAlign w:val="bottom"/>
            <w:tcBorders>
              <w:bottom w:val="single" w:sz="8" w:color="auto"/>
            </w:tcBorders>
          </w:tcPr>
          <w:p>
            <w:pPr>
              <w:ind w:left="80"/>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57,120</w:t>
            </w:r>
          </w:p>
        </w:tc>
        <w:tc>
          <w:tcPr>
            <w:tcW w:w="1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111,787</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852</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112,639</w:t>
            </w:r>
          </w:p>
        </w:tc>
      </w:tr>
      <w:tr>
        <w:trPr>
          <w:trHeight w:val="196"/>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Net income</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9,956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9,956</w:t>
            </w:r>
          </w:p>
        </w:tc>
        <w:tc>
          <w:tcPr>
            <w:tcW w:w="14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940</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10,896</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Other comprehensive income, net of tax</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1,817</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1,817</w:t>
            </w:r>
          </w:p>
        </w:tc>
        <w:tc>
          <w:tcPr>
            <w:tcW w:w="14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1,828</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w w:val="91"/>
              </w:rPr>
              <w:t>Stock option and restricted stock compensation expense</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4</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935</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939</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939</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Purchase of treasury shares</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(172)</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(747)</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(747)</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(747)</w:t>
            </w:r>
          </w:p>
        </w:tc>
      </w:tr>
      <w:tr>
        <w:trPr>
          <w:trHeight w:val="133"/>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w w:val="97"/>
              </w:rPr>
              <w:t>Class A common stock issued for stock bonuses and</w:t>
            </w:r>
          </w:p>
        </w:tc>
        <w:tc>
          <w:tcPr>
            <w:tcW w:w="5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8"/>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options exercised</w:t>
            </w:r>
          </w:p>
        </w:tc>
        <w:tc>
          <w:tcPr>
            <w:tcW w:w="58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174</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Cinema sale to noncontrolling shareholder</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Contributions from noncontrolling shareholders</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233</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233</w:t>
            </w:r>
          </w:p>
        </w:tc>
      </w:tr>
      <w:tr>
        <w:trPr>
          <w:trHeight w:val="132"/>
        </w:trPr>
        <w:tc>
          <w:tcPr>
            <w:tcW w:w="2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Distributions to noncontrolling shareholders</w:t>
            </w:r>
          </w:p>
        </w:tc>
        <w:tc>
          <w:tcPr>
            <w:tcW w:w="58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w:t>
            </w:r>
          </w:p>
        </w:tc>
      </w:tr>
      <w:tr>
        <w:trPr>
          <w:trHeight w:val="113"/>
        </w:trPr>
        <w:tc>
          <w:tcPr>
            <w:tcW w:w="2560" w:type="dxa"/>
            <w:vAlign w:val="bottom"/>
            <w:tcBorders>
              <w:bottom w:val="single" w:sz="8" w:color="auto"/>
              <w:right w:val="single" w:sz="8" w:color="auto"/>
            </w:tcBorders>
            <w:gridSpan w:val="2"/>
          </w:tcPr>
          <w:p>
            <w:pPr>
              <w:spacing w:after="0" w:line="110" w:lineRule="exact"/>
              <w:rPr>
                <w:sz w:val="20"/>
                <w:szCs w:val="20"/>
                <w:color w:val="auto"/>
              </w:rPr>
            </w:pPr>
            <w:r>
              <w:rPr>
                <w:rFonts w:ascii="Arial" w:cs="Arial" w:eastAsia="Arial" w:hAnsi="Arial"/>
                <w:sz w:val="11"/>
                <w:szCs w:val="11"/>
                <w:color w:val="auto"/>
              </w:rPr>
              <w:t>At December 31, 2011</w:t>
            </w:r>
          </w:p>
        </w:tc>
        <w:tc>
          <w:tcPr>
            <w:tcW w:w="58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21,311</w:t>
            </w:r>
          </w:p>
        </w:tc>
        <w:tc>
          <w:tcPr>
            <w:tcW w:w="1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right w:val="single" w:sz="8" w:color="auto"/>
            </w:tcBorders>
          </w:tcPr>
          <w:p>
            <w:pPr>
              <w:jc w:val="right"/>
              <w:ind w:right="65"/>
              <w:spacing w:after="0" w:line="110" w:lineRule="exact"/>
              <w:rPr>
                <w:sz w:val="20"/>
                <w:szCs w:val="20"/>
                <w:color w:val="auto"/>
              </w:rPr>
            </w:pPr>
            <w:r>
              <w:rPr>
                <w:rFonts w:ascii="Arial" w:cs="Arial" w:eastAsia="Arial" w:hAnsi="Arial"/>
                <w:sz w:val="11"/>
                <w:szCs w:val="11"/>
                <w:color w:val="auto"/>
              </w:rPr>
              <w:t>220</w:t>
            </w:r>
          </w:p>
        </w:tc>
        <w:tc>
          <w:tcPr>
            <w:tcW w:w="64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1,495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135,171</w:t>
            </w:r>
          </w:p>
        </w:tc>
        <w:tc>
          <w:tcPr>
            <w:tcW w:w="160" w:type="dxa"/>
            <w:vAlign w:val="bottom"/>
            <w:tcBorders>
              <w:bottom w:val="single" w:sz="8" w:color="auto"/>
            </w:tcBorders>
          </w:tcPr>
          <w:p>
            <w:pPr>
              <w:ind w:left="40"/>
              <w:spacing w:after="0" w:line="110"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(66,079)</w:t>
            </w:r>
          </w:p>
        </w:tc>
        <w:tc>
          <w:tcPr>
            <w:tcW w:w="1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tcPr>
          <w:p>
            <w:pPr>
              <w:ind w:left="80"/>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58,937</w:t>
            </w:r>
          </w:p>
        </w:tc>
        <w:tc>
          <w:tcPr>
            <w:tcW w:w="1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123,752</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1,235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124,987</w:t>
            </w:r>
          </w:p>
        </w:tc>
      </w:tr>
      <w:tr>
        <w:trPr>
          <w:trHeight w:val="196"/>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Net loss</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(914)</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(492)</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(1,406)</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Other comprehensive income, net of tax</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2,432</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2,432</w:t>
            </w:r>
          </w:p>
        </w:tc>
        <w:tc>
          <w:tcPr>
            <w:tcW w:w="14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2,437</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w w:val="91"/>
              </w:rPr>
              <w:t>Stock option and restricted stock compensation expense</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2</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1,276</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1,278</w:t>
            </w:r>
          </w:p>
        </w:tc>
      </w:tr>
      <w:tr>
        <w:trPr>
          <w:trHeight w:val="133"/>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w w:val="97"/>
              </w:rPr>
              <w:t>Class A common stock issued for stock bonuses and</w:t>
            </w:r>
          </w:p>
        </w:tc>
        <w:tc>
          <w:tcPr>
            <w:tcW w:w="5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8"/>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options exercised</w:t>
            </w:r>
          </w:p>
        </w:tc>
        <w:tc>
          <w:tcPr>
            <w:tcW w:w="58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277</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65"/>
              <w:spacing w:after="0"/>
              <w:rPr>
                <w:sz w:val="20"/>
                <w:szCs w:val="20"/>
                <w:color w:val="auto"/>
              </w:rPr>
            </w:pPr>
            <w:r>
              <w:rPr>
                <w:rFonts w:ascii="Arial" w:cs="Arial" w:eastAsia="Arial" w:hAnsi="Arial"/>
                <w:sz w:val="11"/>
                <w:szCs w:val="11"/>
                <w:color w:val="auto"/>
              </w:rPr>
              <w:t>1</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307</w:t>
            </w:r>
          </w:p>
        </w:tc>
        <w:tc>
          <w:tcPr>
            <w:tcW w:w="16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308</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308</w:t>
            </w:r>
          </w:p>
        </w:tc>
      </w:tr>
      <w:tr>
        <w:trPr>
          <w:trHeight w:val="132"/>
        </w:trPr>
        <w:tc>
          <w:tcPr>
            <w:tcW w:w="2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Contributions from noncontrolling shareholders</w:t>
            </w:r>
          </w:p>
        </w:tc>
        <w:tc>
          <w:tcPr>
            <w:tcW w:w="58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3,350</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3,350</w:t>
            </w:r>
          </w:p>
        </w:tc>
      </w:tr>
      <w:tr>
        <w:trPr>
          <w:trHeight w:val="113"/>
        </w:trPr>
        <w:tc>
          <w:tcPr>
            <w:tcW w:w="2560" w:type="dxa"/>
            <w:vAlign w:val="bottom"/>
            <w:tcBorders>
              <w:bottom w:val="single" w:sz="8" w:color="auto"/>
              <w:right w:val="single" w:sz="8" w:color="auto"/>
            </w:tcBorders>
            <w:gridSpan w:val="2"/>
          </w:tcPr>
          <w:p>
            <w:pPr>
              <w:spacing w:after="0" w:line="110" w:lineRule="exact"/>
              <w:rPr>
                <w:sz w:val="20"/>
                <w:szCs w:val="20"/>
                <w:color w:val="auto"/>
              </w:rPr>
            </w:pPr>
            <w:r>
              <w:rPr>
                <w:rFonts w:ascii="Arial" w:cs="Arial" w:eastAsia="Arial" w:hAnsi="Arial"/>
                <w:sz w:val="11"/>
                <w:szCs w:val="11"/>
                <w:color w:val="auto"/>
              </w:rPr>
              <w:t>At December 31, 2012</w:t>
            </w:r>
          </w:p>
        </w:tc>
        <w:tc>
          <w:tcPr>
            <w:tcW w:w="58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21,588</w:t>
            </w:r>
          </w:p>
        </w:tc>
        <w:tc>
          <w:tcPr>
            <w:tcW w:w="1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right w:val="single" w:sz="8" w:color="auto"/>
            </w:tcBorders>
          </w:tcPr>
          <w:p>
            <w:pPr>
              <w:jc w:val="right"/>
              <w:ind w:right="65"/>
              <w:spacing w:after="0" w:line="110" w:lineRule="exact"/>
              <w:rPr>
                <w:sz w:val="20"/>
                <w:szCs w:val="20"/>
                <w:color w:val="auto"/>
              </w:rPr>
            </w:pPr>
            <w:r>
              <w:rPr>
                <w:rFonts w:ascii="Arial" w:cs="Arial" w:eastAsia="Arial" w:hAnsi="Arial"/>
                <w:sz w:val="11"/>
                <w:szCs w:val="11"/>
                <w:color w:val="auto"/>
              </w:rPr>
              <w:t>223</w:t>
            </w:r>
          </w:p>
        </w:tc>
        <w:tc>
          <w:tcPr>
            <w:tcW w:w="64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1,495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136,754</w:t>
            </w:r>
          </w:p>
        </w:tc>
        <w:tc>
          <w:tcPr>
            <w:tcW w:w="160" w:type="dxa"/>
            <w:vAlign w:val="bottom"/>
            <w:tcBorders>
              <w:bottom w:val="single" w:sz="8" w:color="auto"/>
            </w:tcBorders>
          </w:tcPr>
          <w:p>
            <w:pPr>
              <w:ind w:left="40"/>
              <w:spacing w:after="0" w:line="110"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(66,993)</w:t>
            </w:r>
          </w:p>
        </w:tc>
        <w:tc>
          <w:tcPr>
            <w:tcW w:w="1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tcPr>
          <w:p>
            <w:pPr>
              <w:ind w:left="80"/>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61,369</w:t>
            </w:r>
          </w:p>
        </w:tc>
        <w:tc>
          <w:tcPr>
            <w:tcW w:w="1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126,856</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4,098</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130,954</w:t>
            </w:r>
          </w:p>
        </w:tc>
      </w:tr>
      <w:tr>
        <w:trPr>
          <w:trHeight w:val="196"/>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Net income</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Arial" w:cs="Arial" w:eastAsia="Arial" w:hAnsi="Arial"/>
                <w:sz w:val="11"/>
                <w:szCs w:val="11"/>
                <w:color w:val="auto"/>
              </w:rPr>
              <w:t>9,041</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9,041</w:t>
            </w:r>
          </w:p>
        </w:tc>
        <w:tc>
          <w:tcPr>
            <w:tcW w:w="14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104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9,145</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Other comprehensive loss, net of tax</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(19,854)</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(19,854)</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(107)</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(19,961)</w:t>
            </w:r>
          </w:p>
        </w:tc>
      </w:tr>
      <w:tr>
        <w:trPr>
          <w:trHeight w:val="121"/>
        </w:trPr>
        <w:tc>
          <w:tcPr>
            <w:tcW w:w="2560" w:type="dxa"/>
            <w:vAlign w:val="bottom"/>
            <w:tcBorders>
              <w:right w:val="single" w:sz="8" w:color="auto"/>
            </w:tcBorders>
            <w:gridSpan w:val="2"/>
          </w:tcPr>
          <w:p>
            <w:pPr>
              <w:spacing w:after="0" w:line="121" w:lineRule="exact"/>
              <w:rPr>
                <w:sz w:val="20"/>
                <w:szCs w:val="20"/>
                <w:color w:val="auto"/>
              </w:rPr>
            </w:pPr>
            <w:r>
              <w:rPr>
                <w:rFonts w:ascii="Arial" w:cs="Arial" w:eastAsia="Arial" w:hAnsi="Arial"/>
                <w:sz w:val="11"/>
                <w:szCs w:val="11"/>
                <w:color w:val="auto"/>
                <w:w w:val="91"/>
              </w:rPr>
              <w:t>Stock option and restricted stock compensation expense</w:t>
            </w:r>
          </w:p>
        </w:tc>
        <w:tc>
          <w:tcPr>
            <w:tcW w:w="580" w:type="dxa"/>
            <w:vAlign w:val="bottom"/>
            <w:tcBorders>
              <w:right w:val="single" w:sz="8" w:color="auto"/>
            </w:tcBorders>
          </w:tcPr>
          <w:p>
            <w:pPr>
              <w:jc w:val="right"/>
              <w:ind w:right="45"/>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0" w:type="dxa"/>
            <w:vAlign w:val="bottom"/>
            <w:tcBorders>
              <w:right w:val="single" w:sz="8" w:color="auto"/>
            </w:tcBorders>
          </w:tcPr>
          <w:p>
            <w:pPr>
              <w:jc w:val="right"/>
              <w:ind w:right="65"/>
              <w:spacing w:after="0" w:line="121" w:lineRule="exact"/>
              <w:rPr>
                <w:sz w:val="20"/>
                <w:szCs w:val="20"/>
                <w:color w:val="auto"/>
              </w:rPr>
            </w:pPr>
            <w:r>
              <w:rPr>
                <w:rFonts w:ascii="Arial" w:cs="Arial" w:eastAsia="Arial" w:hAnsi="Arial"/>
                <w:sz w:val="11"/>
                <w:szCs w:val="11"/>
                <w:color w:val="auto"/>
              </w:rPr>
              <w:t>2</w:t>
            </w:r>
          </w:p>
        </w:tc>
        <w:tc>
          <w:tcPr>
            <w:tcW w:w="640" w:type="dxa"/>
            <w:vAlign w:val="bottom"/>
            <w:tcBorders>
              <w:right w:val="single" w:sz="8" w:color="auto"/>
            </w:tcBorders>
          </w:tcPr>
          <w:p>
            <w:pPr>
              <w:jc w:val="right"/>
              <w:ind w:right="45"/>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25"/>
              <w:spacing w:after="0" w:line="121" w:lineRule="exact"/>
              <w:rPr>
                <w:sz w:val="20"/>
                <w:szCs w:val="20"/>
                <w:color w:val="auto"/>
              </w:rPr>
            </w:pPr>
            <w:r>
              <w:rPr>
                <w:rFonts w:ascii="Arial" w:cs="Arial" w:eastAsia="Arial" w:hAnsi="Arial"/>
                <w:sz w:val="11"/>
                <w:szCs w:val="11"/>
                <w:color w:val="auto"/>
              </w:rPr>
              <w:t>948</w:t>
            </w:r>
          </w:p>
        </w:tc>
        <w:tc>
          <w:tcPr>
            <w:tcW w:w="160" w:type="dxa"/>
            <w:vAlign w:val="bottom"/>
          </w:tcPr>
          <w:p>
            <w:pPr>
              <w:spacing w:after="0"/>
              <w:rPr>
                <w:sz w:val="10"/>
                <w:szCs w:val="10"/>
                <w:color w:val="auto"/>
              </w:rPr>
            </w:pPr>
          </w:p>
        </w:tc>
        <w:tc>
          <w:tcPr>
            <w:tcW w:w="660" w:type="dxa"/>
            <w:vAlign w:val="bottom"/>
          </w:tcPr>
          <w:p>
            <w:pPr>
              <w:jc w:val="right"/>
              <w:ind w:right="5"/>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1"/>
                <w:szCs w:val="11"/>
                <w:color w:val="auto"/>
              </w:rPr>
              <w:t>950</w:t>
            </w:r>
          </w:p>
        </w:tc>
        <w:tc>
          <w:tcPr>
            <w:tcW w:w="1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950</w:t>
            </w:r>
          </w:p>
        </w:tc>
      </w:tr>
      <w:tr>
        <w:trPr>
          <w:trHeight w:val="117"/>
        </w:trPr>
        <w:tc>
          <w:tcPr>
            <w:tcW w:w="2560" w:type="dxa"/>
            <w:vAlign w:val="bottom"/>
            <w:tcBorders>
              <w:right w:val="single" w:sz="8" w:color="auto"/>
            </w:tcBorders>
            <w:gridSpan w:val="2"/>
          </w:tcPr>
          <w:p>
            <w:pPr>
              <w:spacing w:after="0" w:line="117" w:lineRule="exact"/>
              <w:rPr>
                <w:sz w:val="20"/>
                <w:szCs w:val="20"/>
                <w:color w:val="auto"/>
              </w:rPr>
            </w:pPr>
            <w:r>
              <w:rPr>
                <w:rFonts w:ascii="Arial" w:cs="Arial" w:eastAsia="Arial" w:hAnsi="Arial"/>
                <w:sz w:val="11"/>
                <w:szCs w:val="11"/>
                <w:color w:val="auto"/>
                <w:w w:val="91"/>
              </w:rPr>
              <w:t>In-kind exchange of stock for the exercise of options, net</w:t>
            </w:r>
          </w:p>
        </w:tc>
        <w:tc>
          <w:tcPr>
            <w:tcW w:w="5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8"/>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issued</w:t>
            </w:r>
          </w:p>
        </w:tc>
        <w:tc>
          <w:tcPr>
            <w:tcW w:w="58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22</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3"/>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w w:val="97"/>
              </w:rPr>
              <w:t>Class A common stock issued for stock bonuses and</w:t>
            </w:r>
          </w:p>
        </w:tc>
        <w:tc>
          <w:tcPr>
            <w:tcW w:w="5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8"/>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options exercised</w:t>
            </w:r>
          </w:p>
        </w:tc>
        <w:tc>
          <w:tcPr>
            <w:tcW w:w="580" w:type="dxa"/>
            <w:vAlign w:val="bottom"/>
            <w:tcBorders>
              <w:right w:val="single" w:sz="8" w:color="auto"/>
            </w:tcBorders>
          </w:tcPr>
          <w:p>
            <w:pPr>
              <w:jc w:val="right"/>
              <w:ind w:right="85"/>
              <w:spacing w:after="0"/>
              <w:rPr>
                <w:sz w:val="20"/>
                <w:szCs w:val="20"/>
                <w:color w:val="auto"/>
              </w:rPr>
            </w:pPr>
            <w:r>
              <w:rPr>
                <w:rFonts w:ascii="Arial" w:cs="Arial" w:eastAsia="Arial" w:hAnsi="Arial"/>
                <w:sz w:val="11"/>
                <w:szCs w:val="11"/>
                <w:color w:val="auto"/>
              </w:rPr>
              <w:t>280</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ind w:right="25"/>
              <w:spacing w:after="0"/>
              <w:rPr>
                <w:sz w:val="20"/>
                <w:szCs w:val="20"/>
                <w:color w:val="auto"/>
              </w:rPr>
            </w:pPr>
            <w:r>
              <w:rPr>
                <w:rFonts w:ascii="Arial" w:cs="Arial" w:eastAsia="Arial" w:hAnsi="Arial"/>
                <w:sz w:val="11"/>
                <w:szCs w:val="11"/>
                <w:color w:val="auto"/>
              </w:rPr>
              <w:t>248</w:t>
            </w:r>
          </w:p>
        </w:tc>
        <w:tc>
          <w:tcPr>
            <w:tcW w:w="160" w:type="dxa"/>
            <w:vAlign w:val="bottom"/>
          </w:tcPr>
          <w:p>
            <w:pPr>
              <w:spacing w:after="0"/>
              <w:rPr>
                <w:sz w:val="11"/>
                <w:szCs w:val="11"/>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248</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248</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Conversion of noncontrolling interest to equity</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(101)</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1"/>
        </w:trPr>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Contributions from noncontrolling shareholders</w:t>
            </w:r>
          </w:p>
        </w:tc>
        <w:tc>
          <w:tcPr>
            <w:tcW w:w="58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2,513</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2,513</w:t>
            </w:r>
          </w:p>
        </w:tc>
      </w:tr>
      <w:tr>
        <w:trPr>
          <w:trHeight w:val="132"/>
        </w:trPr>
        <w:tc>
          <w:tcPr>
            <w:tcW w:w="2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Distributions to noncontrolling shareholders</w:t>
            </w:r>
          </w:p>
        </w:tc>
        <w:tc>
          <w:tcPr>
            <w:tcW w:w="58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right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(2,102)</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(2,102)</w:t>
            </w:r>
          </w:p>
        </w:tc>
      </w:tr>
      <w:tr>
        <w:trPr>
          <w:trHeight w:val="113"/>
        </w:trPr>
        <w:tc>
          <w:tcPr>
            <w:tcW w:w="2560" w:type="dxa"/>
            <w:vAlign w:val="bottom"/>
            <w:tcBorders>
              <w:bottom w:val="single" w:sz="8" w:color="auto"/>
              <w:right w:val="single" w:sz="8" w:color="auto"/>
            </w:tcBorders>
            <w:gridSpan w:val="2"/>
          </w:tcPr>
          <w:p>
            <w:pPr>
              <w:spacing w:after="0" w:line="110" w:lineRule="exact"/>
              <w:rPr>
                <w:sz w:val="20"/>
                <w:szCs w:val="20"/>
                <w:color w:val="auto"/>
              </w:rPr>
            </w:pPr>
            <w:r>
              <w:rPr>
                <w:rFonts w:ascii="Arial" w:cs="Arial" w:eastAsia="Arial" w:hAnsi="Arial"/>
                <w:sz w:val="11"/>
                <w:szCs w:val="11"/>
                <w:color w:val="auto"/>
              </w:rPr>
              <w:t>At December 31, 2013</w:t>
            </w:r>
          </w:p>
        </w:tc>
        <w:tc>
          <w:tcPr>
            <w:tcW w:w="58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21,890</w:t>
            </w:r>
          </w:p>
        </w:tc>
        <w:tc>
          <w:tcPr>
            <w:tcW w:w="1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right w:val="single" w:sz="8" w:color="auto"/>
            </w:tcBorders>
          </w:tcPr>
          <w:p>
            <w:pPr>
              <w:jc w:val="right"/>
              <w:ind w:right="65"/>
              <w:spacing w:after="0" w:line="110" w:lineRule="exact"/>
              <w:rPr>
                <w:sz w:val="20"/>
                <w:szCs w:val="20"/>
                <w:color w:val="auto"/>
              </w:rPr>
            </w:pPr>
            <w:r>
              <w:rPr>
                <w:rFonts w:ascii="Arial" w:cs="Arial" w:eastAsia="Arial" w:hAnsi="Arial"/>
                <w:sz w:val="11"/>
                <w:szCs w:val="11"/>
                <w:color w:val="auto"/>
              </w:rPr>
              <w:t>225</w:t>
            </w:r>
          </w:p>
        </w:tc>
        <w:tc>
          <w:tcPr>
            <w:tcW w:w="640" w:type="dxa"/>
            <w:vAlign w:val="bottom"/>
            <w:tcBorders>
              <w:bottom w:val="single" w:sz="8" w:color="auto"/>
              <w:right w:val="single" w:sz="8" w:color="auto"/>
            </w:tcBorders>
          </w:tcPr>
          <w:p>
            <w:pPr>
              <w:jc w:val="right"/>
              <w:ind w:right="85"/>
              <w:spacing w:after="0" w:line="110" w:lineRule="exact"/>
              <w:rPr>
                <w:sz w:val="20"/>
                <w:szCs w:val="20"/>
                <w:color w:val="auto"/>
              </w:rPr>
            </w:pPr>
            <w:r>
              <w:rPr>
                <w:rFonts w:ascii="Arial" w:cs="Arial" w:eastAsia="Arial" w:hAnsi="Arial"/>
                <w:sz w:val="11"/>
                <w:szCs w:val="11"/>
                <w:color w:val="auto"/>
              </w:rPr>
              <w:t>1,495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15</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5"/>
              <w:spacing w:after="0" w:line="110" w:lineRule="exact"/>
              <w:rPr>
                <w:sz w:val="20"/>
                <w:szCs w:val="20"/>
                <w:color w:val="auto"/>
              </w:rPr>
            </w:pPr>
            <w:r>
              <w:rPr>
                <w:rFonts w:ascii="Arial" w:cs="Arial" w:eastAsia="Arial" w:hAnsi="Arial"/>
                <w:sz w:val="11"/>
                <w:szCs w:val="11"/>
                <w:color w:val="auto"/>
              </w:rPr>
              <w:t>137,849</w:t>
            </w:r>
          </w:p>
        </w:tc>
        <w:tc>
          <w:tcPr>
            <w:tcW w:w="160" w:type="dxa"/>
            <w:vAlign w:val="bottom"/>
            <w:tcBorders>
              <w:bottom w:val="single" w:sz="8" w:color="auto"/>
            </w:tcBorders>
          </w:tcPr>
          <w:p>
            <w:pPr>
              <w:ind w:left="40"/>
              <w:spacing w:after="0" w:line="110"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(57,952)</w:t>
            </w:r>
          </w:p>
        </w:tc>
        <w:tc>
          <w:tcPr>
            <w:tcW w:w="1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tcPr>
          <w:p>
            <w:pPr>
              <w:ind w:left="80"/>
              <w:spacing w:after="0" w:line="11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41,515</w:t>
            </w:r>
          </w:p>
        </w:tc>
        <w:tc>
          <w:tcPr>
            <w:tcW w:w="1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117,140</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5"/>
              <w:spacing w:after="0" w:line="110" w:lineRule="exact"/>
              <w:rPr>
                <w:sz w:val="20"/>
                <w:szCs w:val="20"/>
                <w:color w:val="auto"/>
              </w:rPr>
            </w:pPr>
            <w:r>
              <w:rPr>
                <w:rFonts w:ascii="Arial" w:cs="Arial" w:eastAsia="Arial" w:hAnsi="Arial"/>
                <w:sz w:val="11"/>
                <w:szCs w:val="11"/>
                <w:color w:val="auto"/>
              </w:rPr>
              <w:t>4,607</w:t>
            </w:r>
          </w:p>
        </w:tc>
        <w:tc>
          <w:tcPr>
            <w:tcW w:w="1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121,747</w:t>
            </w:r>
          </w:p>
        </w:tc>
      </w:tr>
    </w:tbl>
    <w:p>
      <w:pPr>
        <w:spacing w:after="0" w:line="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80010</wp:posOffset>
            </wp:positionV>
            <wp:extent cx="6887210" cy="47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87210" cy="47625"/>
                    </a:xfrm>
                    <a:prstGeom prst="rect">
                      <a:avLst/>
                    </a:prstGeom>
                    <a:noFill/>
                  </pic:spPr>
                </pic:pic>
              </a:graphicData>
            </a:graphic>
          </wp:anchor>
        </w:drawing>
      </w:r>
    </w:p>
    <w:p>
      <w:pPr>
        <w:sectPr>
          <w:pgSz w:w="11900" w:h="16838" w:orient="portrait"/>
          <w:cols w:equalWidth="0" w:num="1">
            <w:col w:w="10780"/>
          </w:cols>
          <w:pgMar w:left="560" w:top="290" w:right="55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ind w:right="3339"/>
        <w:spacing w:after="0" w:line="250" w:lineRule="auto"/>
        <w:rPr>
          <w:sz w:val="20"/>
          <w:szCs w:val="20"/>
          <w:color w:val="auto"/>
        </w:rPr>
      </w:pPr>
      <w:r>
        <w:rPr>
          <w:rFonts w:ascii="Arial" w:cs="Arial" w:eastAsia="Arial" w:hAnsi="Arial"/>
          <w:sz w:val="16"/>
          <w:szCs w:val="16"/>
          <w:b w:val="1"/>
          <w:bCs w:val="1"/>
          <w:color w:val="auto"/>
        </w:rPr>
        <w:t>Consolidated Statements of Cash Flows for the Three Years Ended December 31, 2013 (U.S. dollars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6"/>
          </w:tcPr>
          <w:p>
            <w:pPr>
              <w:ind w:left="220"/>
              <w:spacing w:after="0"/>
              <w:rPr>
                <w:sz w:val="20"/>
                <w:szCs w:val="20"/>
                <w:color w:val="auto"/>
              </w:rPr>
            </w:pPr>
            <w:r>
              <w:rPr>
                <w:rFonts w:ascii="Arial" w:cs="Arial" w:eastAsia="Arial" w:hAnsi="Arial"/>
                <w:sz w:val="11"/>
                <w:szCs w:val="11"/>
                <w:b w:val="1"/>
                <w:bCs w:val="1"/>
                <w:color w:val="auto"/>
              </w:rPr>
              <w:t>Year Ended December 31,</w:t>
            </w:r>
          </w:p>
        </w:tc>
      </w:tr>
      <w:tr>
        <w:trPr>
          <w:trHeight w:val="113"/>
        </w:trPr>
        <w:tc>
          <w:tcPr>
            <w:tcW w:w="48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05"/>
              <w:spacing w:after="0" w:line="110" w:lineRule="exact"/>
              <w:rPr>
                <w:sz w:val="20"/>
                <w:szCs w:val="20"/>
                <w:color w:val="auto"/>
              </w:rPr>
            </w:pPr>
            <w:r>
              <w:rPr>
                <w:rFonts w:ascii="Arial" w:cs="Arial" w:eastAsia="Arial" w:hAnsi="Arial"/>
                <w:sz w:val="11"/>
                <w:szCs w:val="11"/>
                <w:b w:val="1"/>
                <w:bCs w:val="1"/>
                <w:color w:val="auto"/>
              </w:rPr>
              <w:t>2013</w:t>
            </w: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05"/>
              <w:spacing w:after="0" w:line="110" w:lineRule="exact"/>
              <w:rPr>
                <w:sz w:val="20"/>
                <w:szCs w:val="20"/>
                <w:color w:val="auto"/>
              </w:rPr>
            </w:pPr>
            <w:r>
              <w:rPr>
                <w:rFonts w:ascii="Arial" w:cs="Arial" w:eastAsia="Arial" w:hAnsi="Arial"/>
                <w:sz w:val="11"/>
                <w:szCs w:val="11"/>
                <w:b w:val="1"/>
                <w:bCs w:val="1"/>
                <w:color w:val="auto"/>
              </w:rPr>
              <w:t>2012</w:t>
            </w:r>
          </w:p>
        </w:tc>
        <w:tc>
          <w:tcPr>
            <w:tcW w:w="1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45"/>
              <w:spacing w:after="0" w:line="110"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9"/>
                <w:szCs w:val="9"/>
                <w:color w:val="auto"/>
              </w:rPr>
            </w:pPr>
          </w:p>
        </w:tc>
      </w:tr>
      <w:tr>
        <w:trPr>
          <w:trHeight w:val="118"/>
        </w:trPr>
        <w:tc>
          <w:tcPr>
            <w:tcW w:w="4880" w:type="dxa"/>
            <w:vAlign w:val="bottom"/>
          </w:tcPr>
          <w:p>
            <w:pPr>
              <w:spacing w:after="0" w:line="117" w:lineRule="exact"/>
              <w:rPr>
                <w:sz w:val="20"/>
                <w:szCs w:val="20"/>
                <w:color w:val="auto"/>
              </w:rPr>
            </w:pPr>
            <w:r>
              <w:rPr>
                <w:rFonts w:ascii="Arial" w:cs="Arial" w:eastAsia="Arial" w:hAnsi="Arial"/>
                <w:sz w:val="11"/>
                <w:szCs w:val="11"/>
                <w:b w:val="1"/>
                <w:bCs w:val="1"/>
                <w:color w:val="auto"/>
              </w:rPr>
              <w:t>Operating Activities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4880" w:type="dxa"/>
            <w:vAlign w:val="bottom"/>
          </w:tcPr>
          <w:p>
            <w:pPr>
              <w:spacing w:after="0"/>
              <w:rPr>
                <w:sz w:val="20"/>
                <w:szCs w:val="20"/>
                <w:color w:val="auto"/>
              </w:rPr>
            </w:pPr>
            <w:r>
              <w:rPr>
                <w:rFonts w:ascii="Arial" w:cs="Arial" w:eastAsia="Arial" w:hAnsi="Arial"/>
                <w:sz w:val="11"/>
                <w:szCs w:val="11"/>
                <w:color w:val="auto"/>
              </w:rPr>
              <w:t>Net income (loss)</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9,145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(1,406)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10,896</w:t>
            </w:r>
          </w:p>
        </w:tc>
        <w:tc>
          <w:tcPr>
            <w:tcW w:w="20" w:type="dxa"/>
            <w:vAlign w:val="bottom"/>
          </w:tcPr>
          <w:p>
            <w:pPr>
              <w:spacing w:after="0"/>
              <w:rPr>
                <w:sz w:val="11"/>
                <w:szCs w:val="11"/>
                <w:color w:val="auto"/>
              </w:rPr>
            </w:pPr>
          </w:p>
        </w:tc>
      </w:tr>
      <w:tr>
        <w:trPr>
          <w:trHeight w:val="117"/>
        </w:trPr>
        <w:tc>
          <w:tcPr>
            <w:tcW w:w="4880" w:type="dxa"/>
            <w:vAlign w:val="bottom"/>
          </w:tcPr>
          <w:p>
            <w:pPr>
              <w:ind w:left="100"/>
              <w:spacing w:after="0" w:line="117" w:lineRule="exact"/>
              <w:rPr>
                <w:sz w:val="20"/>
                <w:szCs w:val="20"/>
                <w:color w:val="auto"/>
              </w:rPr>
            </w:pPr>
            <w:r>
              <w:rPr>
                <w:rFonts w:ascii="Arial" w:cs="Arial" w:eastAsia="Arial" w:hAnsi="Arial"/>
                <w:sz w:val="11"/>
                <w:szCs w:val="11"/>
                <w:i w:val="1"/>
                <w:iCs w:val="1"/>
                <w:color w:val="auto"/>
              </w:rPr>
              <w:t>Adjustments to reconcile net income (loss) to net cash provided by operating activities: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(Income) loss recognized on foreign currency transactions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(415)</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Equity (earnings) loss of unconsolidated joint ventures and entities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(1,369)</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(1,621)</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1,552</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Distributions of earnings from unconsolidated joint ventures and entities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1,095</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1,540</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1,119</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Loss provision on impairment of asset</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1,463</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369</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(Gain) loss on sale of assets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176</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(1,589)</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Change in valuation allowance for net deferred tax assets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2,198</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1,929</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(15,028)</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Gain on sale of marketable securities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(109)</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(25)</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Gain on cinema acquisition and settlement</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(1,359)</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15,197</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16,384</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16,960</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Amortization of prior service costs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660</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304</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832</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Amortization of above and below market leases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413</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395</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427</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Amortization of deferred financing costs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954</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1,440</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1,276</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Amortization of straight-line rent</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574</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1,213</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782</w:t>
            </w:r>
          </w:p>
        </w:tc>
        <w:tc>
          <w:tcPr>
            <w:tcW w:w="20" w:type="dxa"/>
            <w:vAlign w:val="bottom"/>
          </w:tcPr>
          <w:p>
            <w:pPr>
              <w:spacing w:after="0"/>
              <w:rPr>
                <w:sz w:val="11"/>
                <w:szCs w:val="11"/>
                <w:color w:val="auto"/>
              </w:rPr>
            </w:pPr>
          </w:p>
        </w:tc>
      </w:tr>
      <w:tr>
        <w:trPr>
          <w:trHeight w:val="141"/>
        </w:trPr>
        <w:tc>
          <w:tcPr>
            <w:tcW w:w="4880" w:type="dxa"/>
            <w:vAlign w:val="bottom"/>
          </w:tcPr>
          <w:p>
            <w:pPr>
              <w:ind w:left="180"/>
              <w:spacing w:after="0"/>
              <w:rPr>
                <w:sz w:val="20"/>
                <w:szCs w:val="20"/>
                <w:color w:val="auto"/>
              </w:rPr>
            </w:pPr>
            <w:r>
              <w:rPr>
                <w:rFonts w:ascii="Arial" w:cs="Arial" w:eastAsia="Arial" w:hAnsi="Arial"/>
                <w:sz w:val="11"/>
                <w:szCs w:val="11"/>
                <w:color w:val="auto"/>
              </w:rPr>
              <w:t>Stock based compensation expense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1,278</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939</w:t>
            </w:r>
          </w:p>
        </w:tc>
        <w:tc>
          <w:tcPr>
            <w:tcW w:w="20" w:type="dxa"/>
            <w:vAlign w:val="bottom"/>
          </w:tcPr>
          <w:p>
            <w:pPr>
              <w:spacing w:after="0"/>
              <w:rPr>
                <w:sz w:val="12"/>
                <w:szCs w:val="12"/>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i w:val="1"/>
                <w:iCs w:val="1"/>
                <w:color w:val="auto"/>
              </w:rPr>
              <w:t>Changes in assets and liabilities: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4880" w:type="dxa"/>
            <w:vAlign w:val="bottom"/>
          </w:tcPr>
          <w:p>
            <w:pPr>
              <w:ind w:left="280"/>
              <w:spacing w:after="0"/>
              <w:rPr>
                <w:sz w:val="20"/>
                <w:szCs w:val="20"/>
                <w:color w:val="auto"/>
              </w:rPr>
            </w:pPr>
            <w:r>
              <w:rPr>
                <w:rFonts w:ascii="Arial" w:cs="Arial" w:eastAsia="Arial" w:hAnsi="Arial"/>
                <w:sz w:val="11"/>
                <w:szCs w:val="11"/>
                <w:color w:val="auto"/>
              </w:rPr>
              <w:t>(Increase) decrease in receivables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281</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(1,449)</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(1,468)</w:t>
            </w:r>
          </w:p>
        </w:tc>
      </w:tr>
      <w:tr>
        <w:trPr>
          <w:trHeight w:val="129"/>
        </w:trPr>
        <w:tc>
          <w:tcPr>
            <w:tcW w:w="4880" w:type="dxa"/>
            <w:vAlign w:val="bottom"/>
          </w:tcPr>
          <w:p>
            <w:pPr>
              <w:ind w:left="280"/>
              <w:spacing w:after="0"/>
              <w:rPr>
                <w:sz w:val="20"/>
                <w:szCs w:val="20"/>
                <w:color w:val="auto"/>
              </w:rPr>
            </w:pPr>
            <w:r>
              <w:rPr>
                <w:rFonts w:ascii="Arial" w:cs="Arial" w:eastAsia="Arial" w:hAnsi="Arial"/>
                <w:sz w:val="11"/>
                <w:szCs w:val="11"/>
                <w:color w:val="auto"/>
              </w:rPr>
              <w:t>(Increase) decrease in prepaid and other assets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1,907</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1"/>
                <w:szCs w:val="11"/>
                <w:color w:val="auto"/>
              </w:rPr>
            </w:pPr>
          </w:p>
        </w:tc>
      </w:tr>
      <w:tr>
        <w:trPr>
          <w:trHeight w:val="129"/>
        </w:trPr>
        <w:tc>
          <w:tcPr>
            <w:tcW w:w="4880" w:type="dxa"/>
            <w:vAlign w:val="bottom"/>
          </w:tcPr>
          <w:p>
            <w:pPr>
              <w:ind w:left="280"/>
              <w:spacing w:after="0"/>
              <w:rPr>
                <w:sz w:val="20"/>
                <w:szCs w:val="20"/>
                <w:color w:val="auto"/>
              </w:rPr>
            </w:pPr>
            <w:r>
              <w:rPr>
                <w:rFonts w:ascii="Arial" w:cs="Arial" w:eastAsia="Arial" w:hAnsi="Arial"/>
                <w:sz w:val="11"/>
                <w:szCs w:val="11"/>
                <w:color w:val="auto"/>
              </w:rPr>
              <w:t>Increase (decrease) in accounts payable and accrued expenses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556</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1,800</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833</w:t>
            </w:r>
          </w:p>
        </w:tc>
        <w:tc>
          <w:tcPr>
            <w:tcW w:w="20" w:type="dxa"/>
            <w:vAlign w:val="bottom"/>
          </w:tcPr>
          <w:p>
            <w:pPr>
              <w:spacing w:after="0"/>
              <w:rPr>
                <w:sz w:val="11"/>
                <w:szCs w:val="11"/>
                <w:color w:val="auto"/>
              </w:rPr>
            </w:pPr>
          </w:p>
        </w:tc>
      </w:tr>
      <w:tr>
        <w:trPr>
          <w:trHeight w:val="117"/>
        </w:trPr>
        <w:tc>
          <w:tcPr>
            <w:tcW w:w="4880" w:type="dxa"/>
            <w:vAlign w:val="bottom"/>
          </w:tcPr>
          <w:p>
            <w:pPr>
              <w:ind w:left="280"/>
              <w:spacing w:after="0" w:line="117" w:lineRule="exact"/>
              <w:rPr>
                <w:sz w:val="20"/>
                <w:szCs w:val="20"/>
                <w:color w:val="auto"/>
              </w:rPr>
            </w:pPr>
            <w:r>
              <w:rPr>
                <w:rFonts w:ascii="Arial" w:cs="Arial" w:eastAsia="Arial" w:hAnsi="Arial"/>
                <w:sz w:val="11"/>
                <w:szCs w:val="11"/>
                <w:color w:val="auto"/>
              </w:rPr>
              <w:t>Increase in film rent payable</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Arial" w:cs="Arial" w:eastAsia="Arial" w:hAnsi="Arial"/>
                <w:sz w:val="11"/>
                <w:szCs w:val="11"/>
                <w:color w:val="auto"/>
              </w:rPr>
              <w:t>133</w:t>
            </w:r>
          </w:p>
        </w:tc>
        <w:tc>
          <w:tcPr>
            <w:tcW w:w="14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auto"/>
              </w:rPr>
              <w:t>435</w:t>
            </w: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Arial" w:cs="Arial" w:eastAsia="Arial" w:hAnsi="Arial"/>
                <w:sz w:val="11"/>
                <w:szCs w:val="11"/>
                <w:color w:val="auto"/>
              </w:rPr>
              <w:t>361</w:t>
            </w:r>
          </w:p>
        </w:tc>
        <w:tc>
          <w:tcPr>
            <w:tcW w:w="20" w:type="dxa"/>
            <w:vAlign w:val="bottom"/>
          </w:tcPr>
          <w:p>
            <w:pPr>
              <w:spacing w:after="0"/>
              <w:rPr>
                <w:sz w:val="10"/>
                <w:szCs w:val="10"/>
                <w:color w:val="auto"/>
              </w:rPr>
            </w:pPr>
          </w:p>
        </w:tc>
      </w:tr>
      <w:tr>
        <w:trPr>
          <w:trHeight w:val="141"/>
        </w:trPr>
        <w:tc>
          <w:tcPr>
            <w:tcW w:w="4880" w:type="dxa"/>
            <w:vAlign w:val="bottom"/>
          </w:tcPr>
          <w:p>
            <w:pPr>
              <w:ind w:left="280"/>
              <w:spacing w:after="0"/>
              <w:rPr>
                <w:sz w:val="20"/>
                <w:szCs w:val="20"/>
                <w:color w:val="auto"/>
              </w:rPr>
            </w:pPr>
            <w:r>
              <w:rPr>
                <w:rFonts w:ascii="Arial" w:cs="Arial" w:eastAsia="Arial" w:hAnsi="Arial"/>
                <w:sz w:val="11"/>
                <w:szCs w:val="11"/>
                <w:color w:val="auto"/>
              </w:rPr>
              <w:t>Increase (decrease) in taxes payable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(3,294)</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(2,965)</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908</w:t>
            </w:r>
          </w:p>
        </w:tc>
        <w:tc>
          <w:tcPr>
            <w:tcW w:w="20" w:type="dxa"/>
            <w:vAlign w:val="bottom"/>
          </w:tcPr>
          <w:p>
            <w:pPr>
              <w:spacing w:after="0"/>
              <w:rPr>
                <w:sz w:val="12"/>
                <w:szCs w:val="12"/>
                <w:color w:val="auto"/>
              </w:rPr>
            </w:pPr>
          </w:p>
        </w:tc>
      </w:tr>
      <w:tr>
        <w:trPr>
          <w:trHeight w:val="129"/>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Increase (decrease) in deferred revenue and other liabilities</w:t>
            </w: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2,802</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5,100</w:t>
            </w:r>
          </w:p>
        </w:tc>
        <w:tc>
          <w:tcPr>
            <w:tcW w:w="20" w:type="dxa"/>
            <w:vAlign w:val="bottom"/>
          </w:tcPr>
          <w:p>
            <w:pPr>
              <w:spacing w:after="0"/>
              <w:rPr>
                <w:sz w:val="11"/>
                <w:szCs w:val="11"/>
                <w:color w:val="auto"/>
              </w:rPr>
            </w:pPr>
          </w:p>
        </w:tc>
      </w:tr>
      <w:tr>
        <w:trPr>
          <w:trHeight w:val="109"/>
        </w:trPr>
        <w:tc>
          <w:tcPr>
            <w:tcW w:w="488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color w:val="auto"/>
              </w:rPr>
              <w:t>Net cash provided by operating activities</w:t>
            </w: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25,183</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25,496</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24,253</w:t>
            </w:r>
          </w:p>
        </w:tc>
        <w:tc>
          <w:tcPr>
            <w:tcW w:w="20" w:type="dxa"/>
            <w:vAlign w:val="bottom"/>
          </w:tcPr>
          <w:p>
            <w:pPr>
              <w:spacing w:after="0"/>
              <w:rPr>
                <w:sz w:val="9"/>
                <w:szCs w:val="9"/>
                <w:color w:val="auto"/>
              </w:rPr>
            </w:pPr>
          </w:p>
        </w:tc>
      </w:tr>
      <w:tr>
        <w:trPr>
          <w:trHeight w:val="98"/>
        </w:trPr>
        <w:tc>
          <w:tcPr>
            <w:tcW w:w="4880" w:type="dxa"/>
            <w:vAlign w:val="bottom"/>
          </w:tcPr>
          <w:p>
            <w:pPr>
              <w:spacing w:after="0" w:line="98" w:lineRule="exact"/>
              <w:rPr>
                <w:sz w:val="20"/>
                <w:szCs w:val="20"/>
                <w:color w:val="auto"/>
              </w:rPr>
            </w:pPr>
            <w:r>
              <w:rPr>
                <w:rFonts w:ascii="Arial" w:cs="Arial" w:eastAsia="Arial" w:hAnsi="Arial"/>
                <w:sz w:val="11"/>
                <w:szCs w:val="11"/>
                <w:b w:val="1"/>
                <w:bCs w:val="1"/>
                <w:color w:val="auto"/>
              </w:rPr>
              <w:t>Investing Activities</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Cash paid for acquisitions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(5,510)</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(3,917)</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Acquisition deposit paid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(200)</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Cash received from cinema acquisition</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1,936</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Purchases of and additions to operating property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(20,082)</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(8,213)</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(5,459)</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Change in restricted cash</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1,609</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(168)</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Purchase of notes receivable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(1,800)</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(2,784)</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Proceeds from notes receivable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Sale of marketable securities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2,974</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143</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Distributions of investment in unconsolidated joint ventures and entities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395</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382</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Proceeds from sale of property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14,078</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6,750</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Purchase of time deposits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(8,000)</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Proceeds from time deposits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8,000</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41"/>
        </w:trPr>
        <w:tc>
          <w:tcPr>
            <w:tcW w:w="488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Cinema sale proceeds from noncontrolling shareholder</w:t>
            </w: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1,867</w:t>
            </w:r>
          </w:p>
        </w:tc>
        <w:tc>
          <w:tcPr>
            <w:tcW w:w="20" w:type="dxa"/>
            <w:vAlign w:val="bottom"/>
          </w:tcPr>
          <w:p>
            <w:pPr>
              <w:spacing w:after="0"/>
              <w:rPr>
                <w:sz w:val="12"/>
                <w:szCs w:val="12"/>
                <w:color w:val="auto"/>
              </w:rPr>
            </w:pPr>
          </w:p>
        </w:tc>
      </w:tr>
      <w:tr>
        <w:trPr>
          <w:trHeight w:val="109"/>
        </w:trPr>
        <w:tc>
          <w:tcPr>
            <w:tcW w:w="488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color w:val="auto"/>
              </w:rPr>
              <w:t>Net cash used in investing activities</w:t>
            </w: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(6,142)</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(6,095)</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(3,768)</w:t>
            </w:r>
          </w:p>
        </w:tc>
        <w:tc>
          <w:tcPr>
            <w:tcW w:w="20" w:type="dxa"/>
            <w:vAlign w:val="bottom"/>
          </w:tcPr>
          <w:p>
            <w:pPr>
              <w:spacing w:after="0"/>
              <w:rPr>
                <w:sz w:val="9"/>
                <w:szCs w:val="9"/>
                <w:color w:val="auto"/>
              </w:rPr>
            </w:pPr>
          </w:p>
        </w:tc>
      </w:tr>
      <w:tr>
        <w:trPr>
          <w:trHeight w:val="109"/>
        </w:trPr>
        <w:tc>
          <w:tcPr>
            <w:tcW w:w="4880" w:type="dxa"/>
            <w:vAlign w:val="bottom"/>
          </w:tcPr>
          <w:p>
            <w:pPr>
              <w:spacing w:after="0" w:line="110" w:lineRule="exact"/>
              <w:rPr>
                <w:sz w:val="20"/>
                <w:szCs w:val="20"/>
                <w:color w:val="auto"/>
              </w:rPr>
            </w:pPr>
            <w:r>
              <w:rPr>
                <w:rFonts w:ascii="Arial" w:cs="Arial" w:eastAsia="Arial" w:hAnsi="Arial"/>
                <w:sz w:val="11"/>
                <w:szCs w:val="11"/>
                <w:b w:val="1"/>
                <w:bCs w:val="1"/>
                <w:color w:val="auto"/>
              </w:rPr>
              <w:t>Financing Activities</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Repayment of long-term borrowings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(28,121)</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(62,602)</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(126,780)</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Proceeds from borrowings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12,500</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47,007</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105,311</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Capitalized borrowing costs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(563)</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(782)</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(774)</w:t>
            </w: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Repurchase of Class A Nonvoting Common Stock</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(747)</w:t>
            </w:r>
          </w:p>
        </w:tc>
        <w:tc>
          <w:tcPr>
            <w:tcW w:w="20" w:type="dxa"/>
            <w:vAlign w:val="bottom"/>
          </w:tcPr>
          <w:p>
            <w:pPr>
              <w:spacing w:after="0"/>
              <w:rPr>
                <w:sz w:val="11"/>
                <w:szCs w:val="11"/>
                <w:color w:val="auto"/>
              </w:rPr>
            </w:pPr>
          </w:p>
        </w:tc>
      </w:tr>
      <w:tr>
        <w:trPr>
          <w:trHeight w:val="117"/>
        </w:trPr>
        <w:tc>
          <w:tcPr>
            <w:tcW w:w="4880" w:type="dxa"/>
            <w:vAlign w:val="bottom"/>
          </w:tcPr>
          <w:p>
            <w:pPr>
              <w:ind w:left="180"/>
              <w:spacing w:after="0" w:line="117" w:lineRule="exact"/>
              <w:rPr>
                <w:sz w:val="20"/>
                <w:szCs w:val="20"/>
                <w:color w:val="auto"/>
              </w:rPr>
            </w:pPr>
            <w:r>
              <w:rPr>
                <w:rFonts w:ascii="Arial" w:cs="Arial" w:eastAsia="Arial" w:hAnsi="Arial"/>
                <w:sz w:val="11"/>
                <w:szCs w:val="11"/>
                <w:color w:val="auto"/>
              </w:rPr>
              <w:t>Proceeds from the exercise of stock options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Arial" w:cs="Arial" w:eastAsia="Arial" w:hAnsi="Arial"/>
                <w:sz w:val="11"/>
                <w:szCs w:val="11"/>
                <w:color w:val="auto"/>
              </w:rPr>
              <w:t>248</w:t>
            </w:r>
          </w:p>
        </w:tc>
        <w:tc>
          <w:tcPr>
            <w:tcW w:w="14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auto"/>
              </w:rPr>
              <w:t>308</w:t>
            </w:r>
          </w:p>
        </w:tc>
        <w:tc>
          <w:tcPr>
            <w:tcW w:w="160" w:type="dxa"/>
            <w:vAlign w:val="bottom"/>
          </w:tcPr>
          <w:p>
            <w:pPr>
              <w:spacing w:after="0"/>
              <w:rPr>
                <w:sz w:val="10"/>
                <w:szCs w:val="10"/>
                <w:color w:val="auto"/>
              </w:rPr>
            </w:pPr>
          </w:p>
        </w:tc>
        <w:tc>
          <w:tcPr>
            <w:tcW w:w="54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Noncontrolling interest contributions</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263</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3,350</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233</w:t>
            </w:r>
          </w:p>
        </w:tc>
        <w:tc>
          <w:tcPr>
            <w:tcW w:w="20" w:type="dxa"/>
            <w:vAlign w:val="bottom"/>
          </w:tcPr>
          <w:p>
            <w:pPr>
              <w:spacing w:after="0"/>
              <w:rPr>
                <w:sz w:val="11"/>
                <w:szCs w:val="11"/>
                <w:color w:val="auto"/>
              </w:rPr>
            </w:pPr>
          </w:p>
        </w:tc>
      </w:tr>
      <w:tr>
        <w:trPr>
          <w:trHeight w:val="141"/>
        </w:trPr>
        <w:tc>
          <w:tcPr>
            <w:tcW w:w="488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Noncontrolling interest distributions</w:t>
            </w: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(2,102)</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w:t>
            </w:r>
          </w:p>
        </w:tc>
        <w:tc>
          <w:tcPr>
            <w:tcW w:w="20" w:type="dxa"/>
            <w:vAlign w:val="bottom"/>
          </w:tcPr>
          <w:p>
            <w:pPr>
              <w:spacing w:after="0"/>
              <w:rPr>
                <w:sz w:val="12"/>
                <w:szCs w:val="12"/>
                <w:color w:val="auto"/>
              </w:rPr>
            </w:pPr>
          </w:p>
        </w:tc>
      </w:tr>
      <w:tr>
        <w:trPr>
          <w:trHeight w:val="109"/>
        </w:trPr>
        <w:tc>
          <w:tcPr>
            <w:tcW w:w="488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color w:val="auto"/>
              </w:rPr>
              <w:t>Net cash used in financing activities</w:t>
            </w: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(17,775)</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(12,719)</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(23,411)</w:t>
            </w:r>
          </w:p>
        </w:tc>
        <w:tc>
          <w:tcPr>
            <w:tcW w:w="20" w:type="dxa"/>
            <w:vAlign w:val="bottom"/>
            <w:tcBorders>
              <w:bottom w:val="single" w:sz="8" w:color="auto"/>
            </w:tcBorders>
          </w:tcPr>
          <w:p>
            <w:pPr>
              <w:spacing w:after="0"/>
              <w:rPr>
                <w:sz w:val="9"/>
                <w:szCs w:val="9"/>
                <w:color w:val="auto"/>
              </w:rPr>
            </w:pPr>
          </w:p>
        </w:tc>
      </w:tr>
      <w:tr>
        <w:trPr>
          <w:trHeight w:val="133"/>
        </w:trPr>
        <w:tc>
          <w:tcPr>
            <w:tcW w:w="4880" w:type="dxa"/>
            <w:vAlign w:val="bottom"/>
          </w:tcPr>
          <w:p>
            <w:pPr>
              <w:spacing w:after="0"/>
              <w:rPr>
                <w:sz w:val="20"/>
                <w:szCs w:val="20"/>
                <w:color w:val="auto"/>
              </w:rPr>
            </w:pPr>
            <w:r>
              <w:rPr>
                <w:rFonts w:ascii="Arial" w:cs="Arial" w:eastAsia="Arial" w:hAnsi="Arial"/>
                <w:sz w:val="11"/>
                <w:szCs w:val="11"/>
                <w:b w:val="1"/>
                <w:bCs w:val="1"/>
                <w:color w:val="auto"/>
              </w:rPr>
              <w:t>Effect of exchange rate on cash</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(2,101)</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252</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(45)</w:t>
            </w:r>
          </w:p>
        </w:tc>
      </w:tr>
      <w:tr>
        <w:trPr>
          <w:trHeight w:val="230"/>
        </w:trPr>
        <w:tc>
          <w:tcPr>
            <w:tcW w:w="4880" w:type="dxa"/>
            <w:vAlign w:val="bottom"/>
          </w:tcPr>
          <w:p>
            <w:pPr>
              <w:spacing w:after="0"/>
              <w:rPr>
                <w:sz w:val="20"/>
                <w:szCs w:val="20"/>
                <w:color w:val="auto"/>
              </w:rPr>
            </w:pPr>
            <w:r>
              <w:rPr>
                <w:rFonts w:ascii="Arial" w:cs="Arial" w:eastAsia="Arial" w:hAnsi="Arial"/>
                <w:sz w:val="11"/>
                <w:szCs w:val="11"/>
                <w:b w:val="1"/>
                <w:bCs w:val="1"/>
                <w:color w:val="auto"/>
              </w:rPr>
              <w:t>Increase (decrease) in cash and cash equivalents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(835)</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6,934</w:t>
            </w:r>
          </w:p>
        </w:tc>
        <w:tc>
          <w:tcPr>
            <w:tcW w:w="1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(2,971)</w:t>
            </w:r>
          </w:p>
        </w:tc>
      </w:tr>
      <w:tr>
        <w:trPr>
          <w:trHeight w:val="133"/>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Cash and cash equivalents at the beginning of the period</w:t>
            </w: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38,531</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31,597</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34,568</w:t>
            </w:r>
          </w:p>
        </w:tc>
        <w:tc>
          <w:tcPr>
            <w:tcW w:w="20" w:type="dxa"/>
            <w:vAlign w:val="bottom"/>
          </w:tcPr>
          <w:p>
            <w:pPr>
              <w:spacing w:after="0"/>
              <w:rPr>
                <w:sz w:val="11"/>
                <w:szCs w:val="11"/>
                <w:color w:val="auto"/>
              </w:rPr>
            </w:pPr>
          </w:p>
        </w:tc>
      </w:tr>
      <w:tr>
        <w:trPr>
          <w:trHeight w:val="113"/>
        </w:trPr>
        <w:tc>
          <w:tcPr>
            <w:tcW w:w="488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b w:val="1"/>
                <w:bCs w:val="1"/>
                <w:color w:val="auto"/>
              </w:rPr>
              <w:t>Cash and cash equivalents at the end of the period</w:t>
            </w:r>
          </w:p>
        </w:tc>
        <w:tc>
          <w:tcPr>
            <w:tcW w:w="780" w:type="dxa"/>
            <w:vAlign w:val="bottom"/>
            <w:tcBorders>
              <w:bottom w:val="single" w:sz="8" w:color="auto"/>
            </w:tcBorders>
            <w:gridSpan w:val="2"/>
          </w:tcPr>
          <w:p>
            <w:pPr>
              <w:jc w:val="right"/>
              <w:ind w:right="60"/>
              <w:spacing w:after="0" w:line="110"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37,696</w:t>
            </w:r>
          </w:p>
        </w:tc>
        <w:tc>
          <w:tcPr>
            <w:tcW w:w="140" w:type="dxa"/>
            <w:vAlign w:val="bottom"/>
            <w:tcBorders>
              <w:bottom w:val="single" w:sz="8" w:color="auto"/>
            </w:tcBorders>
          </w:tcPr>
          <w:p>
            <w:pPr>
              <w:jc w:val="right"/>
              <w:ind w:right="31"/>
              <w:spacing w:after="0" w:line="109" w:lineRule="exact"/>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38,531</w:t>
            </w:r>
          </w:p>
        </w:tc>
        <w:tc>
          <w:tcPr>
            <w:tcW w:w="160" w:type="dxa"/>
            <w:vAlign w:val="bottom"/>
            <w:tcBorders>
              <w:bottom w:val="single" w:sz="8" w:color="auto"/>
            </w:tcBorders>
          </w:tcPr>
          <w:p>
            <w:pPr>
              <w:jc w:val="right"/>
              <w:ind w:right="51"/>
              <w:spacing w:after="0" w:line="109"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31,597</w:t>
            </w:r>
          </w:p>
        </w:tc>
        <w:tc>
          <w:tcPr>
            <w:tcW w:w="20" w:type="dxa"/>
            <w:vAlign w:val="bottom"/>
          </w:tcPr>
          <w:p>
            <w:pPr>
              <w:spacing w:after="0"/>
              <w:rPr>
                <w:sz w:val="9"/>
                <w:szCs w:val="9"/>
                <w:color w:val="auto"/>
              </w:rPr>
            </w:pPr>
          </w:p>
        </w:tc>
      </w:tr>
      <w:tr>
        <w:trPr>
          <w:trHeight w:val="118"/>
        </w:trPr>
        <w:tc>
          <w:tcPr>
            <w:tcW w:w="4880" w:type="dxa"/>
            <w:vAlign w:val="bottom"/>
          </w:tcPr>
          <w:p>
            <w:pPr>
              <w:spacing w:after="0" w:line="117" w:lineRule="exact"/>
              <w:rPr>
                <w:sz w:val="20"/>
                <w:szCs w:val="20"/>
                <w:color w:val="auto"/>
              </w:rPr>
            </w:pPr>
            <w:r>
              <w:rPr>
                <w:rFonts w:ascii="Arial" w:cs="Arial" w:eastAsia="Arial" w:hAnsi="Arial"/>
                <w:sz w:val="11"/>
                <w:szCs w:val="11"/>
                <w:b w:val="1"/>
                <w:bCs w:val="1"/>
                <w:color w:val="auto"/>
              </w:rPr>
              <w:t>Supplemental Disclosures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Cash paid during the period for: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Interest on borrowings</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6,953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14,526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16,957</w:t>
            </w:r>
          </w:p>
        </w:tc>
        <w:tc>
          <w:tcPr>
            <w:tcW w:w="20" w:type="dxa"/>
            <w:vAlign w:val="bottom"/>
          </w:tcPr>
          <w:p>
            <w:pPr>
              <w:spacing w:after="0"/>
              <w:rPr>
                <w:sz w:val="11"/>
                <w:szCs w:val="11"/>
                <w:color w:val="auto"/>
              </w:rPr>
            </w:pPr>
          </w:p>
        </w:tc>
      </w:tr>
      <w:tr>
        <w:trPr>
          <w:trHeight w:val="125"/>
        </w:trPr>
        <w:tc>
          <w:tcPr>
            <w:tcW w:w="4880" w:type="dxa"/>
            <w:vAlign w:val="bottom"/>
          </w:tcPr>
          <w:p>
            <w:pPr>
              <w:ind w:left="180"/>
              <w:spacing w:after="0" w:line="125" w:lineRule="exact"/>
              <w:rPr>
                <w:sz w:val="20"/>
                <w:szCs w:val="20"/>
                <w:color w:val="auto"/>
              </w:rPr>
            </w:pPr>
            <w:r>
              <w:rPr>
                <w:rFonts w:ascii="Arial" w:cs="Arial" w:eastAsia="Arial" w:hAnsi="Arial"/>
                <w:sz w:val="11"/>
                <w:szCs w:val="11"/>
                <w:color w:val="auto"/>
              </w:rPr>
              <w:t>Income taxes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5,903</w:t>
            </w:r>
          </w:p>
        </w:tc>
        <w:tc>
          <w:tcPr>
            <w:tcW w:w="14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Arial" w:cs="Arial" w:eastAsia="Arial" w:hAnsi="Arial"/>
                <w:sz w:val="11"/>
                <w:szCs w:val="11"/>
                <w:color w:val="auto"/>
              </w:rPr>
              <w:t>5,666</w:t>
            </w:r>
          </w:p>
        </w:tc>
        <w:tc>
          <w:tcPr>
            <w:tcW w:w="16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2,688</w:t>
            </w:r>
          </w:p>
        </w:tc>
        <w:tc>
          <w:tcPr>
            <w:tcW w:w="20" w:type="dxa"/>
            <w:vAlign w:val="bottom"/>
          </w:tcPr>
          <w:p>
            <w:pPr>
              <w:spacing w:after="0"/>
              <w:rPr>
                <w:sz w:val="10"/>
                <w:szCs w:val="10"/>
                <w:color w:val="auto"/>
              </w:rPr>
            </w:pPr>
          </w:p>
        </w:tc>
      </w:tr>
      <w:tr>
        <w:trPr>
          <w:trHeight w:val="121"/>
        </w:trPr>
        <w:tc>
          <w:tcPr>
            <w:tcW w:w="4880" w:type="dxa"/>
            <w:vAlign w:val="bottom"/>
          </w:tcPr>
          <w:p>
            <w:pPr>
              <w:spacing w:after="0" w:line="122" w:lineRule="exact"/>
              <w:rPr>
                <w:sz w:val="20"/>
                <w:szCs w:val="20"/>
                <w:color w:val="auto"/>
              </w:rPr>
            </w:pPr>
            <w:r>
              <w:rPr>
                <w:rFonts w:ascii="Arial" w:cs="Arial" w:eastAsia="Arial" w:hAnsi="Arial"/>
                <w:sz w:val="11"/>
                <w:szCs w:val="11"/>
                <w:b w:val="1"/>
                <w:bCs w:val="1"/>
                <w:color w:val="auto"/>
              </w:rPr>
              <w:t>Non-Cash Transactions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Contribution from noncontrolling shareholder in exchange for debt reduction - related party</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2,250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51"/>
              <w:spacing w:after="0"/>
              <w:rPr>
                <w:sz w:val="20"/>
                <w:szCs w:val="20"/>
                <w:color w:val="auto"/>
              </w:rPr>
            </w:pPr>
            <w:r>
              <w:rPr>
                <w:rFonts w:ascii="Arial" w:cs="Arial" w:eastAsia="Arial" w:hAnsi="Arial"/>
                <w:sz w:val="11"/>
                <w:szCs w:val="11"/>
                <w:color w:val="auto"/>
              </w:rPr>
              <w:t>-- $</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Conversion of noncontrolling interest to equity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29"/>
        </w:trPr>
        <w:tc>
          <w:tcPr>
            <w:tcW w:w="4880" w:type="dxa"/>
            <w:vAlign w:val="bottom"/>
          </w:tcPr>
          <w:p>
            <w:pPr>
              <w:ind w:left="180"/>
              <w:spacing w:after="0"/>
              <w:rPr>
                <w:sz w:val="20"/>
                <w:szCs w:val="20"/>
                <w:color w:val="auto"/>
              </w:rPr>
            </w:pPr>
            <w:r>
              <w:rPr>
                <w:rFonts w:ascii="Arial" w:cs="Arial" w:eastAsia="Arial" w:hAnsi="Arial"/>
                <w:sz w:val="11"/>
                <w:szCs w:val="11"/>
                <w:color w:val="auto"/>
              </w:rPr>
              <w:t>In-kind exchange of stock for the exercise of options, net</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301</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41"/>
        </w:trPr>
        <w:tc>
          <w:tcPr>
            <w:tcW w:w="4880" w:type="dxa"/>
            <w:vAlign w:val="bottom"/>
          </w:tcPr>
          <w:p>
            <w:pPr>
              <w:ind w:left="180"/>
              <w:spacing w:after="0"/>
              <w:rPr>
                <w:sz w:val="20"/>
                <w:szCs w:val="20"/>
                <w:color w:val="auto"/>
              </w:rPr>
            </w:pPr>
            <w:r>
              <w:rPr>
                <w:rFonts w:ascii="Arial" w:cs="Arial" w:eastAsia="Arial" w:hAnsi="Arial"/>
                <w:sz w:val="11"/>
                <w:szCs w:val="11"/>
                <w:color w:val="auto"/>
              </w:rPr>
              <w:t>Contribution from noncontrolling shareholder from bonus accrual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255</w:t>
            </w:r>
          </w:p>
        </w:tc>
        <w:tc>
          <w:tcPr>
            <w:tcW w:w="1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38"/>
        </w:trPr>
        <w:tc>
          <w:tcPr>
            <w:tcW w:w="4880" w:type="dxa"/>
            <w:vAlign w:val="bottom"/>
          </w:tcPr>
          <w:p>
            <w:pPr>
              <w:ind w:left="180"/>
              <w:spacing w:after="0"/>
              <w:rPr>
                <w:sz w:val="20"/>
                <w:szCs w:val="20"/>
                <w:color w:val="auto"/>
              </w:rPr>
            </w:pPr>
            <w:r>
              <w:rPr>
                <w:rFonts w:ascii="Arial" w:cs="Arial" w:eastAsia="Arial" w:hAnsi="Arial"/>
                <w:sz w:val="11"/>
                <w:szCs w:val="11"/>
                <w:color w:val="auto"/>
              </w:rPr>
              <w:t>Foreclosure of a mortgage note to obtain title of the underlying property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1,984</w:t>
            </w:r>
          </w:p>
        </w:tc>
        <w:tc>
          <w:tcPr>
            <w:tcW w:w="20" w:type="dxa"/>
            <w:vAlign w:val="bottom"/>
          </w:tcPr>
          <w:p>
            <w:pPr>
              <w:spacing w:after="0"/>
              <w:rPr>
                <w:sz w:val="11"/>
                <w:szCs w:val="11"/>
                <w:color w:val="auto"/>
              </w:rPr>
            </w:pPr>
          </w:p>
        </w:tc>
      </w:tr>
    </w:tbl>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323" w:right="1440"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2013</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 – Nature of Business</w:t>
      </w:r>
    </w:p>
    <w:p>
      <w:pPr>
        <w:spacing w:after="0" w:line="172" w:lineRule="exact"/>
        <w:rPr>
          <w:sz w:val="20"/>
          <w:szCs w:val="20"/>
          <w:color w:val="auto"/>
        </w:rPr>
      </w:pPr>
    </w:p>
    <w:p>
      <w:pPr>
        <w:jc w:val="both"/>
        <w:ind w:right="1220" w:firstLine="564"/>
        <w:spacing w:after="0" w:line="328" w:lineRule="auto"/>
        <w:rPr>
          <w:sz w:val="20"/>
          <w:szCs w:val="20"/>
          <w:color w:val="auto"/>
        </w:rPr>
      </w:pPr>
      <w:r>
        <w:rPr>
          <w:rFonts w:ascii="Arial" w:cs="Arial" w:eastAsia="Arial" w:hAnsi="Arial"/>
          <w:sz w:val="13"/>
          <w:szCs w:val="13"/>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development, ownership and operation of multiplex cinemas in the United States, Australia, and New Zealand; and</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development, ownership, and operation of retail and commercial real estate in Australia, New Zealand, and the United States.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 –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Consolidation</w:t>
      </w:r>
    </w:p>
    <w:p>
      <w:pPr>
        <w:spacing w:after="0" w:line="157" w:lineRule="exact"/>
        <w:rPr>
          <w:sz w:val="20"/>
          <w:szCs w:val="20"/>
          <w:color w:val="auto"/>
        </w:rPr>
      </w:pPr>
    </w:p>
    <w:p>
      <w:pPr>
        <w:jc w:val="both"/>
        <w:ind w:right="1220" w:firstLine="564"/>
        <w:spacing w:after="0" w:line="250" w:lineRule="auto"/>
        <w:rPr>
          <w:sz w:val="20"/>
          <w:szCs w:val="20"/>
          <w:color w:val="auto"/>
        </w:rPr>
      </w:pPr>
      <w:r>
        <w:rPr>
          <w:rFonts w:ascii="Arial" w:cs="Arial" w:eastAsia="Arial" w:hAnsi="Arial"/>
          <w:sz w:val="16"/>
          <w:szCs w:val="16"/>
          <w:color w:val="auto"/>
        </w:rPr>
        <w:t>The consolidated financial statements of RDI and its subsidiaries include the accounts of RDGE, CRG, and CDL. Also consolidated are Australia Country Cinemas Pty, Limited (“ACC”), a company in which we own a 75% interest and whose only assets are our leasehold cinemas in Townsville and Dubbo, Australia, Sutton Hill Properties, LLC, a company in which we own a 75% interest and whose only asset is the fee interest in the Cinemas 1, 2, 3, and Shadow View Land and Farming, LLC in which we own a 50% controlling membership interest and whose only asset is a 202 acre land parcel in Coachella, California.</w:t>
      </w:r>
    </w:p>
    <w:p>
      <w:pPr>
        <w:spacing w:after="0" w:line="134" w:lineRule="exact"/>
        <w:rPr>
          <w:sz w:val="20"/>
          <w:szCs w:val="20"/>
          <w:color w:val="auto"/>
        </w:rPr>
      </w:pPr>
    </w:p>
    <w:p>
      <w:pPr>
        <w:jc w:val="both"/>
        <w:ind w:right="1220" w:firstLine="564"/>
        <w:spacing w:after="0" w:line="381" w:lineRule="auto"/>
        <w:rPr>
          <w:sz w:val="20"/>
          <w:szCs w:val="20"/>
          <w:color w:val="auto"/>
        </w:rPr>
      </w:pPr>
      <w:r>
        <w:rPr>
          <w:rFonts w:ascii="Arial" w:cs="Arial" w:eastAsia="Arial" w:hAnsi="Arial"/>
          <w:sz w:val="13"/>
          <w:szCs w:val="13"/>
          <w:color w:val="auto"/>
        </w:rPr>
        <w:t>Our investment interests are accounted for as unconsolidated joint ventures and entities, and accordingly, our unconsolidated joint ventures and entities in 20% to 50% owned companies are accounted for on the equity method. These investment interests include our</w:t>
      </w:r>
    </w:p>
    <w:p>
      <w:pPr>
        <w:spacing w:after="0" w:line="66" w:lineRule="exact"/>
        <w:rPr>
          <w:sz w:val="20"/>
          <w:szCs w:val="20"/>
          <w:color w:val="auto"/>
        </w:rPr>
      </w:pPr>
    </w:p>
    <w:p>
      <w:pPr>
        <w:ind w:left="340" w:right="1220" w:hanging="46"/>
        <w:spacing w:after="0" w:line="252" w:lineRule="auto"/>
        <w:rPr>
          <w:sz w:val="20"/>
          <w:szCs w:val="20"/>
          <w:color w:val="auto"/>
        </w:rPr>
      </w:pPr>
      <w:r>
        <w:rPr>
          <w:rFonts w:ascii="Arial" w:cs="Arial" w:eastAsia="Arial" w:hAnsi="Arial"/>
          <w:sz w:val="16"/>
          <w:szCs w:val="16"/>
          <w:color w:val="auto"/>
        </w:rPr>
        <w:t>·25% undivided interest in the unincorporated joint venture that owns 205-209 East 57th Street Associates, LLC (Place 57) a limited liability company formed to redevelop our former cinema site at 205 East 57th Street in Manhattan;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·33.3% undivided interest in the unincorporated joint venture that owns the Mt. Gravatt cinema in a suburb of Brisbane, Australia;</w:t>
      </w:r>
    </w:p>
    <w:p>
      <w:pPr>
        <w:spacing w:after="0" w:line="4" w:lineRule="exact"/>
        <w:rPr>
          <w:sz w:val="20"/>
          <w:szCs w:val="20"/>
          <w:color w:val="auto"/>
        </w:rPr>
      </w:pPr>
    </w:p>
    <w:p>
      <w:pPr>
        <w:ind w:left="340" w:right="1220" w:hanging="46"/>
        <w:spacing w:after="0" w:line="245" w:lineRule="auto"/>
        <w:rPr>
          <w:sz w:val="20"/>
          <w:szCs w:val="20"/>
          <w:color w:val="auto"/>
        </w:rPr>
      </w:pPr>
      <w:r>
        <w:rPr>
          <w:rFonts w:ascii="Arial" w:cs="Arial" w:eastAsia="Arial" w:hAnsi="Arial"/>
          <w:sz w:val="16"/>
          <w:szCs w:val="16"/>
          <w:color w:val="auto"/>
        </w:rPr>
        <w:t>·33.3% undivided interest in Rialto Distribution, an unincorporated joint venture engaged in the business of distributing art film in New Zealand and Australia; and</w:t>
      </w:r>
    </w:p>
    <w:p>
      <w:pPr>
        <w:ind w:right="4680" w:firstLine="283"/>
        <w:spacing w:after="0" w:line="436" w:lineRule="auto"/>
        <w:tabs>
          <w:tab w:leader="none" w:pos="3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50% undivided interest in the unincorporated joint venture that owns Rialto Cinemas. </w:t>
      </w:r>
      <w:r>
        <w:rPr>
          <w:rFonts w:ascii="Arial" w:cs="Arial" w:eastAsia="Arial" w:hAnsi="Arial"/>
          <w:sz w:val="16"/>
          <w:szCs w:val="16"/>
          <w:u w:val="single" w:color="auto"/>
          <w:color w:val="auto"/>
        </w:rPr>
        <w:t>Refinancing Long-Term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Australian Credit Facility</w:t>
      </w:r>
    </w:p>
    <w:p>
      <w:pPr>
        <w:spacing w:after="0" w:line="168" w:lineRule="exact"/>
        <w:rPr>
          <w:sz w:val="20"/>
          <w:szCs w:val="20"/>
          <w:color w:val="auto"/>
        </w:rPr>
      </w:pPr>
    </w:p>
    <w:p>
      <w:pPr>
        <w:jc w:val="both"/>
        <w:ind w:right="1220" w:firstLine="564"/>
        <w:spacing w:after="0" w:line="250" w:lineRule="auto"/>
        <w:rPr>
          <w:sz w:val="20"/>
          <w:szCs w:val="20"/>
          <w:color w:val="auto"/>
        </w:rPr>
      </w:pPr>
      <w:r>
        <w:rPr>
          <w:rFonts w:ascii="Arial" w:cs="Arial" w:eastAsia="Arial" w:hAnsi="Arial"/>
          <w:sz w:val="16"/>
          <w:szCs w:val="16"/>
          <w:color w:val="auto"/>
        </w:rPr>
        <w:t>Our Australian NAB Corporate Term Loan matures on June 30, 2014. Accordingly, the outstanding balance of this debt of $56.7 million (AUS$63.5 million) is classified as current on our December 31, 2013 balance sheet. The Australian NAB Corporate Term Loan is secured by the majority of our theater and entertainment-themed retail center (“ETRC”) properties in Australia. While no assurances can be given that we will be successful, we are currently in the process of renewing this loan and anticipate that the refinancing will be completed at the latest by May 31, 2014.</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Cinemas 1, 2, 3 Term Loan</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10400"/>
          </w:cols>
          <w:pgMar w:left="1360" w:top="464" w:right="139" w:bottom="1440" w:gutter="0" w:footer="0" w:header="0"/>
        </w:sectPr>
      </w:pPr>
    </w:p>
    <w:bookmarkStart w:id="61" w:name="page62"/>
    <w:bookmarkEnd w:id="61"/>
    <w:p>
      <w:pPr>
        <w:jc w:val="both"/>
        <w:ind w:firstLine="564"/>
        <w:spacing w:after="0" w:line="255" w:lineRule="auto"/>
        <w:rPr>
          <w:sz w:val="20"/>
          <w:szCs w:val="20"/>
          <w:color w:val="auto"/>
        </w:rPr>
      </w:pPr>
      <w:r>
        <w:rPr>
          <w:rFonts w:ascii="Arial" w:cs="Arial" w:eastAsia="Arial" w:hAnsi="Arial"/>
          <w:sz w:val="16"/>
          <w:szCs w:val="16"/>
          <w:color w:val="auto"/>
        </w:rPr>
        <w:t>Our Cinemas 1, 2, 3 Term Loan matures on June 27, 2014. Accordingly, the outstanding balance of this debt of $15.0 million is classified as current on our December 31, 2013 balance sheet. While no assurances can be given that we will be successful, we are currently in the process of negotiating an extension of this loan.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Liberty Theatre Term Loans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On May 29, 2013, we replaced our Liberty Theater Term Loan with a loan securitized by our Orpheum and Minetta Lane theaters, thus releasing the Royal George from the securitization and leaving it unencumbered. This new loan, called the Minetta and Orpheum Theatres Loan, has a note balance of $7.5 million. See Note 12 – </w:t>
      </w:r>
      <w:r>
        <w:rPr>
          <w:rFonts w:ascii="Arial" w:cs="Arial" w:eastAsia="Arial" w:hAnsi="Arial"/>
          <w:sz w:val="16"/>
          <w:szCs w:val="16"/>
          <w:i w:val="1"/>
          <w:iCs w:val="1"/>
          <w:color w:val="auto"/>
        </w:rPr>
        <w:t>Notes Payable</w:t>
      </w:r>
      <w:r>
        <w:rPr>
          <w:rFonts w:ascii="Arial" w:cs="Arial" w:eastAsia="Arial" w:hAnsi="Arial"/>
          <w:sz w:val="16"/>
          <w:szCs w:val="16"/>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Credit Facility</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 xml:space="preserve">On October 31, 2012, we replaced our GE Capital Term Loan of $27.7 million with a new credit facility from Bank of America of $30.0 million with an interest rate of between 2.50% and 3.00% above LIBOR and an expiration date of October 31, 2017. In addition, Bank of America increased our existing $3.0 million line of credit to $5.0 million. On March 25, 2013, Bank of America extended the borrowing limit on our BofA Revolver from $30.0 million to $35.0 million. See Note 12 – </w:t>
      </w:r>
      <w:r>
        <w:rPr>
          <w:rFonts w:ascii="Arial" w:cs="Arial" w:eastAsia="Arial" w:hAnsi="Arial"/>
          <w:sz w:val="16"/>
          <w:szCs w:val="16"/>
          <w:i w:val="1"/>
          <w:iCs w:val="1"/>
          <w:color w:val="auto"/>
        </w:rPr>
        <w:t>Notes Payable</w:t>
      </w:r>
      <w:r>
        <w:rPr>
          <w:rFonts w:ascii="Arial" w:cs="Arial" w:eastAsia="Arial" w:hAnsi="Arial"/>
          <w:sz w:val="16"/>
          <w:szCs w:val="16"/>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Position</w:t>
      </w:r>
    </w:p>
    <w:p>
      <w:pPr>
        <w:spacing w:after="0" w:line="15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Our cash position at December 31, 2013 was $37.7 million including $17.9 million in the U.S., $12.1 million in Australia, and $7.7 million in New Zealand. As part of our main credit facilities in Australia, New Zealand and the U.S., we are subject to certain debt covenants which limit the transfer or use of cash outside of the various regional subsidiaries in which the cash is held. As such, at December 31, 2013, we have approximately $15.8 million of cash worldwide that is not restricted by loan covenants.</w:t>
      </w:r>
    </w:p>
    <w:p>
      <w:pPr>
        <w:spacing w:after="0" w:line="12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At December 31, 2013, we had undrawn funds of $4.5 million (AUS$5.0 million) available under our NAB line of credit in Australia, $9.9 million (NZ$12.0 million) available under our New Zealand Corporate Credit facility, and $5.0 million available under our BofA Revolver in the U.S. Accordingly, we believe that we have sufficient borrowing capacity under our various credit facilities, together with our $37.7 million cash balance, to meet our anticipated short-term working capital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Principles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of America (“US GAAP”).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consider all highly liquid investments with original maturities of three months or less when purchased to be cash equivalents for which cost approximates fair value.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Time Deposits</w:t>
      </w:r>
    </w:p>
    <w:p>
      <w:pPr>
        <w:spacing w:after="0" w:line="168"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Time deposits are cash depository investments in which the original maturity of the investments is greater than 90 days. During May 2012, we purchased $8.0 million in U.S. dollar time deposits in Australia which matured on January 3, 2013 having an interest rate of 0.48%. On December 31, 2013, we had the following funds in U.S. dollars: in Australia, $4.6 million and in New Zealand, $495,000.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Receivables</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have established an allowance for accounts that we deem uncollectible.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auto"/>
        </w:rPr>
        <w:t>Inventory</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Inventory is composed of concession goods used in theater operations and is stated at the lower of cost (first-in, first-out method) or net realizable value.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in Marketable Securities</w:t>
      </w:r>
    </w:p>
    <w:p>
      <w:pPr>
        <w:spacing w:after="0" w:line="157" w:lineRule="exact"/>
        <w:rPr>
          <w:sz w:val="20"/>
          <w:szCs w:val="20"/>
          <w:color w:val="auto"/>
        </w:rPr>
      </w:pPr>
    </w:p>
    <w:p>
      <w:pPr>
        <w:jc w:val="both"/>
        <w:ind w:firstLine="564"/>
        <w:spacing w:after="0" w:line="264" w:lineRule="auto"/>
        <w:rPr>
          <w:sz w:val="20"/>
          <w:szCs w:val="20"/>
          <w:color w:val="auto"/>
        </w:rPr>
      </w:pPr>
      <w:r>
        <w:rPr>
          <w:rFonts w:ascii="Arial" w:cs="Arial" w:eastAsia="Arial" w:hAnsi="Arial"/>
          <w:sz w:val="15"/>
          <w:szCs w:val="15"/>
          <w:color w:val="auto"/>
        </w:rPr>
        <w:t xml:space="preserve">We account for investments in marketable debt and equity securities in accordance with Financial Accounting Standards Board (“FASB”) Accounting Standards Codification (“ASC”) 320-10 - </w:t>
      </w:r>
      <w:r>
        <w:rPr>
          <w:rFonts w:ascii="Arial" w:cs="Arial" w:eastAsia="Arial" w:hAnsi="Arial"/>
          <w:sz w:val="15"/>
          <w:szCs w:val="15"/>
          <w:i w:val="1"/>
          <w:iCs w:val="1"/>
          <w:color w:val="auto"/>
        </w:rPr>
        <w:t>Investments—Debt and Equity Securities</w:t>
      </w:r>
      <w:r>
        <w:rPr>
          <w:rFonts w:ascii="Arial" w:cs="Arial" w:eastAsia="Arial" w:hAnsi="Arial"/>
          <w:sz w:val="15"/>
          <w:szCs w:val="15"/>
          <w:color w:val="auto"/>
        </w:rPr>
        <w:t xml:space="preserve"> (“ASC 320-10”). Our investment in Marketable Securities includes equity instruments that are classified as available for sale and are recorded at market using the specific identification method. In accordance with ASC 320-10,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any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 temporary impairments at the end of each reporting period. These investments have a cumulative unrealized gain of $9,000 included in other comprehensive income at December 31, 2013. For the years ended December 31, 2013, 2012, and 2011, our net unrealized losses were $0, $2,000, and $32,000, respectively. The cost of securities sold is based on the specific identification method. Interest and dividends on securities classified as available for sale are included in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Cash</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classify restricted cash as those cash accounts for which the use of funds is restricted by contract or bank covenant. At December 31, 2013 and 2012, our restricted cash balance was $782,000 and $2.5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The carrying amounts of our cash and cash equivalents, accounts receivable, restricted cash, and accounts payable approximate fair value due to their short-term maturities. See Note 16 –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 Financial Instruments</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 xml:space="preserve">In accordance with FASB ASC 815-20 –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815-20”), we carry all derivative financial instruments on our consolidated balance sheets at fair value. Derivatives are generally executed for interest rate management purposes but are not designated as hedges in accordance with ASC 815-20. Therefore, changes in market values are recognized in current earnings.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property</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Operating property consists of land, buildings and improvements, leasehold improvements, fixtures and equipment which we use to derive operating income associated with our two business segments, cinema exhibition and real estate. Buildings and improvements, leasehold improvements, fixtures and equipment initially recorded at the lower of cost or fair market value and depreciated over the useful lives of the related assets. In accordance with US GAAP, land is not depreciated.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and Development Property</w:t>
      </w:r>
    </w:p>
    <w:p>
      <w:pPr>
        <w:spacing w:after="0" w:line="168"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Investment and development property consists of land, new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investment and development property are building and improvement costs directly associated with the development of potential cinemas (whether for sale or lease), the development of entertainment themed retail centers (“ETRCs”), or other improvements to real property. As incurred, we expense start-up costs (such as pre-opening cinema advertising and training expense) and other costs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16"/>
          <w:szCs w:val="16"/>
          <w:color w:val="auto"/>
        </w:rPr>
        <w:t>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 During the year-ended December 31, 2009, we decided to curtail our current development progress on certain Australian and New Zealand land development projects. As a result, these properties are considered held for development and we have not capitalized interest for these projects and will not do so, until the development work recommences.</w:t>
      </w:r>
    </w:p>
    <w:p>
      <w:pPr>
        <w:spacing w:after="0" w:line="146"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a former brickworks site, was greater than we had originally believed.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 As of December 31, 2013, we estimate that the total site preparation costs associated with the removal of this contaminated soil will be $15.2 million (AUS$17.1 million) and as of that date we had incurred a total of $7.4 million (AUS$8.3 million) of these costs. In accordance with FASB ASC 410-30-25 – </w:t>
      </w:r>
      <w:r>
        <w:rPr>
          <w:rFonts w:ascii="Arial" w:cs="Arial" w:eastAsia="Arial" w:hAnsi="Arial"/>
          <w:sz w:val="15"/>
          <w:szCs w:val="15"/>
          <w:i w:val="1"/>
          <w:iCs w:val="1"/>
          <w:color w:val="auto"/>
        </w:rPr>
        <w:t>Environmental Obligations</w:t>
      </w:r>
      <w:r>
        <w:rPr>
          <w:rFonts w:ascii="Arial" w:cs="Arial" w:eastAsia="Arial" w:hAnsi="Arial"/>
          <w:sz w:val="15"/>
          <w:szCs w:val="15"/>
          <w:color w:val="auto"/>
        </w:rPr>
        <w:t>, contamination clean-up costs that improve the property from its original acquisition state are capitalized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property’s overall development costs.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for the Impairment of Long Lived Assets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42"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Pursuant to FASB ASC 360-35, we review internal management reports on a monthly basis as well as monitoring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undiscounted future cash flows is less than the carrying amount of the asset, then impairment is recognized for the amount by which the carrying value of the asset exceeds its estimated fair value based on an appraisal or a discounted cash flow calculation.</w:t>
      </w:r>
    </w:p>
    <w:p>
      <w:pPr>
        <w:spacing w:after="0" w:line="93"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For certain non-income producing properties, we obtain appraisals or other evidence to evaluate whether there are impairment indicators for these assets. Based on calculations of current value from appraisals and a sales contract, we recorded impairment losses of $1.5 million and $369,000 relating to certain of our property and cinema locations for the years ended December 31, 2012 and 2011, respectively. No impairment losses were recorded in 2013. For a further explanation of our 2012 impairment losses see below under the heading “Coachella impairment” and see Note 7 – Investment and Development Property to our 2013 Consolidated Financial Statements.</w:t>
      </w:r>
    </w:p>
    <w:p>
      <w:pPr>
        <w:spacing w:after="0" w:line="122"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Pursuant to FASB ASC 350-35, goodwill and intangible assets are evaluated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There was no impairment for the goodwill and intangible assets for the years ended December 31, 2013, 2012, and 2011,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Variable Interest Entity</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determination of the appropriate accounting method with respect to our investment in Reading International Trust I, which is considered a Variable Interest Entity (“VIE”), is based on FASB ASC 810-10. We account for this VIE, of which we are not the primary beneficiary, under the equity method of accounting.</w:t>
      </w:r>
    </w:p>
    <w:p>
      <w:pPr>
        <w:spacing w:after="0" w:line="13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determine if an entity is a VIE under FASB ASC 810-10 based on several factors, including whether the entity’s total equity investment at risk upon inception is sufficient to finance the entity’s activities without additional subordinated financial support. We make judgments regarding the sufficiency of the equity at risk based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4" w:name="page65"/>
    <w:bookmarkEnd w:id="64"/>
    <w:p>
      <w:pPr>
        <w:jc w:val="both"/>
        <w:spacing w:after="0" w:line="266" w:lineRule="auto"/>
        <w:rPr>
          <w:sz w:val="20"/>
          <w:szCs w:val="20"/>
          <w:color w:val="auto"/>
        </w:rPr>
      </w:pPr>
      <w:r>
        <w:rPr>
          <w:rFonts w:ascii="Arial" w:cs="Arial" w:eastAsia="Arial" w:hAnsi="Arial"/>
          <w:sz w:val="15"/>
          <w:szCs w:val="15"/>
          <w:color w:val="auto"/>
        </w:rPr>
        <w:t>first on a qualitative analysis, then a quantitative analysis, if necessary. In a quantitative analysis, we incorporate various estimates, including estimated future cash flows, asset hold periods and discount rates, as well as estimates of the probabilities of various scenarios occurring. If the entity is a VIE, we then determine whether we consolidate the entity as the primary beneficiary. We determine whether an entity is a VIE and, if so, whether it should be consolidated by utilizing judgments and estimates that are inherently subjective. If we made different judgments or utilized different estimates in these evaluations, it could result in differing conclusions as to whether or not an entity is a VIE and whether or not to consolidate such entity. Our investments in unconsolidated entities in which we have the ability to exercise significant influence over operating and financial policies, but do not control, or entities which are variable interest entities in which we are not the primary beneficiary are accounted for under the equity method.</w:t>
      </w:r>
    </w:p>
    <w:p>
      <w:pPr>
        <w:spacing w:after="0" w:line="139"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 (loss) of this equity method entity is included in consolidated net income (loss). We have no implicit or explicit obligation to further fund our investment in Reading International Trust I.</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Goodwill and Intangible Assets</w:t>
      </w:r>
    </w:p>
    <w:p>
      <w:pPr>
        <w:spacing w:after="0" w:line="157"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We use the purchase method of accounting for all business combinations. Goodwill and intangible assets with indefinite useful lives are not amortized, but instead, tested for impairment at least annually. Prior to conducting our goodwill impairment analysis, we assess long-lived assets for impairment in accordance with FASB ASC 360-15 - </w:t>
      </w:r>
      <w:r>
        <w:rPr>
          <w:rFonts w:ascii="Arial" w:cs="Arial" w:eastAsia="Arial" w:hAnsi="Arial"/>
          <w:sz w:val="15"/>
          <w:szCs w:val="15"/>
          <w:i w:val="1"/>
          <w:iCs w:val="1"/>
          <w:color w:val="auto"/>
        </w:rPr>
        <w:t>Impairment or Disposal of Long-Lived Assets</w:t>
      </w:r>
      <w:r>
        <w:rPr>
          <w:rFonts w:ascii="Arial" w:cs="Arial" w:eastAsia="Arial" w:hAnsi="Arial"/>
          <w:sz w:val="15"/>
          <w:szCs w:val="15"/>
          <w:color w:val="auto"/>
        </w:rPr>
        <w:t xml:space="preserve"> (“ASC 360-15”). We then perform the impairment analysis at the reporting unit level (one level below the operating segment level) (see Note 10 – </w:t>
      </w:r>
      <w:r>
        <w:rPr>
          <w:rFonts w:ascii="Arial" w:cs="Arial" w:eastAsia="Arial" w:hAnsi="Arial"/>
          <w:sz w:val="15"/>
          <w:szCs w:val="15"/>
          <w:i w:val="1"/>
          <w:iCs w:val="1"/>
          <w:color w:val="auto"/>
        </w:rPr>
        <w:t>Goodwill and Intangibles</w:t>
      </w:r>
      <w:r>
        <w:rPr>
          <w:rFonts w:ascii="Arial" w:cs="Arial" w:eastAsia="Arial" w:hAnsi="Arial"/>
          <w:sz w:val="15"/>
          <w:szCs w:val="15"/>
          <w:color w:val="auto"/>
        </w:rPr>
        <w:t xml:space="preserve">) as defined by FASB ASC 350-35 </w:t>
      </w:r>
      <w:r>
        <w:rPr>
          <w:rFonts w:ascii="Arial" w:cs="Arial" w:eastAsia="Arial" w:hAnsi="Arial"/>
          <w:sz w:val="15"/>
          <w:szCs w:val="15"/>
          <w:i w:val="1"/>
          <w:iCs w:val="1"/>
          <w:color w:val="auto"/>
        </w:rPr>
        <w:t>– Goodwill Subsequent Measurement</w:t>
      </w:r>
      <w:r>
        <w:rPr>
          <w:rFonts w:ascii="Arial" w:cs="Arial" w:eastAsia="Arial" w:hAnsi="Arial"/>
          <w:sz w:val="15"/>
          <w:szCs w:val="15"/>
          <w:color w:val="auto"/>
        </w:rPr>
        <w:t xml:space="preserve"> (“ASC 350-35”). This analysis requires management to make a series of critical assumptions to: (1) evaluate whether any impairment exists; and (2) measure the amount of impairment. We estimate the fair value of our reporting units as compared with their current book value. If the estimated fair value of a reporting unit is less than the book value, then impairment is deemed to have occurred. In estimating the fair value of our reporting units, we primarily use the income approach (which uses forecasted, discounted cash flows to estimate the fair value of the reporting unit).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Discontinued Operations and Properties Held for Sale</w:t>
      </w:r>
    </w:p>
    <w:p>
      <w:pPr>
        <w:spacing w:after="0" w:line="157"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In accordance with ASC 360-15, the revenue, expenses and net gain on dispositions of operating properties and the revenue and expenses on properties classified as held for sale are reported in the consolidated statements of operations as discontinued operations for all periods presented through the date of the respective disposition. The net gain (loss) on disposition is included in the period the property is sold. In determining whether the income and loss and net gain on dispositions of operating properties is reported as discontinued operations, we evaluate whether we have any significant continuing involvement in the operations, leasing or management of the sold property in accordance with FASB ASC 205-20 – </w:t>
      </w:r>
      <w:r>
        <w:rPr>
          <w:rFonts w:ascii="Arial" w:cs="Arial" w:eastAsia="Arial" w:hAnsi="Arial"/>
          <w:sz w:val="15"/>
          <w:szCs w:val="15"/>
          <w:i w:val="1"/>
          <w:iCs w:val="1"/>
          <w:color w:val="auto"/>
        </w:rPr>
        <w:t>Presentation of Financial Statements – Discontinued Operations</w:t>
      </w:r>
      <w:r>
        <w:rPr>
          <w:rFonts w:ascii="Arial" w:cs="Arial" w:eastAsia="Arial" w:hAnsi="Arial"/>
          <w:sz w:val="15"/>
          <w:szCs w:val="15"/>
          <w:color w:val="auto"/>
        </w:rPr>
        <w:t xml:space="preserve"> (“ASC 205-20”). If we were to determine that there was any significant continuing involvement, the income and loss and net gain on dispositions of the operating property would not be recorded in discontinued operations.</w:t>
      </w:r>
    </w:p>
    <w:p>
      <w:pPr>
        <w:spacing w:after="0" w:line="127"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 xml:space="preserve">A property is classified as held for sale when certain criteria, as set forth under ASC 360-15, are met. At such time,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For a description of the properties previously held for sale see Note 9 – </w:t>
      </w:r>
      <w:r>
        <w:rPr>
          <w:rFonts w:ascii="Arial" w:cs="Arial" w:eastAsia="Arial" w:hAnsi="Arial"/>
          <w:sz w:val="15"/>
          <w:szCs w:val="15"/>
          <w:i w:val="1"/>
          <w:iCs w:val="1"/>
          <w:color w:val="auto"/>
        </w:rPr>
        <w:t>Transfer of Held for Sale Real Estate to Continuing Operations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Items</w:t>
      </w:r>
      <w:r>
        <w:rPr>
          <w:rFonts w:ascii="Arial" w:cs="Arial" w:eastAsia="Arial" w:hAnsi="Arial"/>
          <w:sz w:val="15"/>
          <w:szCs w:val="15"/>
          <w:color w:val="auto"/>
        </w:rPr>
        <w:t>. These asset transfers from held for sale to operating resulted in a reclassification of their operating results which is reflected in</w:t>
      </w:r>
      <w:r>
        <w:rPr>
          <w:rFonts w:ascii="Arial" w:cs="Arial" w:eastAsia="Arial" w:hAnsi="Arial"/>
          <w:sz w:val="15"/>
          <w:szCs w:val="15"/>
          <w:i w:val="1"/>
          <w:iCs w:val="1"/>
          <w:color w:val="auto"/>
        </w:rPr>
        <w:t xml:space="preserve"> </w:t>
      </w:r>
      <w:r>
        <w:rPr>
          <w:rFonts w:ascii="Arial" w:cs="Arial" w:eastAsia="Arial" w:hAnsi="Arial"/>
          <w:sz w:val="15"/>
          <w:szCs w:val="15"/>
          <w:color w:val="auto"/>
        </w:rPr>
        <w:t>our December 31, 2013, 2012, and 2011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Revenue from cinema ticket sales and concession sales are recognized when sold. Revenue from gift certificate sales is deferred and recognized when the certificates are redeemed. Rental revenue is recognized on a straight-line basis in accordance with FASB ASC 840-20-25 – </w:t>
      </w:r>
      <w:r>
        <w:rPr>
          <w:rFonts w:ascii="Arial" w:cs="Arial" w:eastAsia="Arial" w:hAnsi="Arial"/>
          <w:sz w:val="16"/>
          <w:szCs w:val="16"/>
          <w:i w:val="1"/>
          <w:iCs w:val="1"/>
          <w:color w:val="auto"/>
        </w:rPr>
        <w:t xml:space="preserve">Leases Having Both Scheduled Rent Increases and Contingent Rents </w:t>
      </w:r>
      <w:r>
        <w:rPr>
          <w:rFonts w:ascii="Arial" w:cs="Arial" w:eastAsia="Arial" w:hAnsi="Arial"/>
          <w:sz w:val="16"/>
          <w:szCs w:val="16"/>
          <w:color w:val="auto"/>
        </w:rPr>
        <w:t>(“ASC 840-20-25”).</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auto"/>
        </w:rPr>
        <w:t>Deferred Leasing/Financing Costs</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Advertising Expense</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expense our advertising as incurred. The amount of our advertising expense was $3.4 million, $3.8 million, and $3.8 million for the years ended December 2013, 2012, and 2011,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Legal Settlement Income/Expense</w:t>
      </w:r>
    </w:p>
    <w:p>
      <w:pPr>
        <w:spacing w:after="0" w:line="157"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 xml:space="preserve">For the years ended December 31, 2013, 2012, and 2011, we recorded gains/(losses) on the settlement of litigation of ($285,000), ($194,000), and $0, respectively, included in other income (expense). Also included in other income/expense for the year ended December 31, 2013 was a $1.4 million net gain on acquisition and settlement (see Note 8 – </w:t>
      </w:r>
      <w:r>
        <w:rPr>
          <w:rFonts w:ascii="Arial" w:cs="Arial" w:eastAsia="Arial" w:hAnsi="Arial"/>
          <w:sz w:val="13"/>
          <w:szCs w:val="13"/>
          <w:i w:val="1"/>
          <w:iCs w:val="1"/>
          <w:color w:val="auto"/>
        </w:rPr>
        <w:t>Acquisitions, Disposals, and Assets Held for Sale</w:t>
      </w:r>
      <w:r>
        <w:rPr>
          <w:rFonts w:ascii="Arial" w:cs="Arial" w:eastAsia="Arial" w:hAnsi="Arial"/>
          <w:sz w:val="13"/>
          <w:szCs w:val="13"/>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Depreciation and amortization are provided using the straight-line method over the estimated useful lives of the assets. The estimated useful lives are generally as follows:</w:t>
      </w:r>
    </w:p>
    <w:p>
      <w:pPr>
        <w:sectPr>
          <w:pgSz w:w="11900" w:h="16838" w:orient="portrait"/>
          <w:cols w:equalWidth="0" w:num="1">
            <w:col w:w="9180"/>
          </w:cols>
          <w:pgMar w:left="1360" w:top="468" w:right="1359" w:bottom="1440" w:gutter="0" w:footer="0" w:header="0"/>
        </w:sectPr>
      </w:pPr>
    </w:p>
    <w:p>
      <w:pPr>
        <w:spacing w:after="0" w:line="21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Building and improvements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15-40 years</w:t>
      </w:r>
    </w:p>
    <w:p>
      <w:pPr>
        <w:spacing w:after="0" w:line="191"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Leasehold improvement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Shorter of the life of the lease or useful life of the improvement</w:t>
      </w:r>
    </w:p>
    <w:p>
      <w:pPr>
        <w:spacing w:after="0" w:line="191"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Theater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7 years</w:t>
      </w:r>
    </w:p>
    <w:p>
      <w:pPr>
        <w:spacing w:after="0" w:line="191"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 – 10 years</w:t>
      </w:r>
    </w:p>
    <w:p>
      <w:pPr>
        <w:spacing w:after="0" w:line="200" w:lineRule="exact"/>
        <w:rPr>
          <w:sz w:val="20"/>
          <w:szCs w:val="20"/>
          <w:color w:val="auto"/>
        </w:rPr>
      </w:pPr>
    </w:p>
    <w:p>
      <w:pPr>
        <w:sectPr>
          <w:pgSz w:w="11900" w:h="16838" w:orient="portrait"/>
          <w:cols w:equalWidth="0" w:num="2">
            <w:col w:w="2300" w:space="720"/>
            <w:col w:w="6160"/>
          </w:cols>
          <w:pgMar w:left="1360" w:top="468" w:right="135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Translation of Non-U.S. Currency Amounts</w:t>
      </w:r>
    </w:p>
    <w:p>
      <w:pPr>
        <w:spacing w:after="0" w:line="15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3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carrying value of our Australian and New Zealand assets fluctuates due to changes in the exchange rate between the U.S. dollar and the Australian and New Zealand dollars. The exchange rates of the U.S. dollar to the Australian dollar were $0.8929 and $1.0393 as of December 31, 2013 and 2012, respectively. The exchange rates of the U.S. dollar to the New Zealand dollar were $0.8229 and $0.8267 as of December 31,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57"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 xml:space="preserve">We account for income taxes under FASB ASC 740-10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740-10”), which prescribes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Valuation allowances are established, when necessary, to reduce deferred tax assets to the amount expected to be realized. Income tax expense (benefit) is the tax payable (refundable) for the period and the change during the period in deferred tax assets and liabilities.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type w:val="continuous"/>
        </w:sectPr>
      </w:pPr>
    </w:p>
    <w:bookmarkStart w:id="66" w:name="page67"/>
    <w:bookmarkEnd w:id="66"/>
    <w:p>
      <w:pPr>
        <w:jc w:val="both"/>
        <w:ind w:firstLine="564"/>
        <w:spacing w:after="0" w:line="311" w:lineRule="auto"/>
        <w:rPr>
          <w:sz w:val="20"/>
          <w:szCs w:val="20"/>
          <w:color w:val="auto"/>
        </w:rPr>
      </w:pPr>
      <w:r>
        <w:rPr>
          <w:rFonts w:ascii="Arial" w:cs="Arial" w:eastAsia="Arial" w:hAnsi="Arial"/>
          <w:sz w:val="13"/>
          <w:szCs w:val="13"/>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 In evaluating the objective evidence that historical results provide, we consider three years of cumulative operating income (loss). In the event we were to determine that we would be able to realize our deferred income tax assets in the future in excess of their net recorded amount, we would make an adjustment to the valuation allowance, which would reduce the provision for income taxes.</w:t>
      </w:r>
    </w:p>
    <w:p>
      <w:pPr>
        <w:spacing w:after="0" w:line="112"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ASC 740-10 provides that 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54"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recognize tax liabilities in accordance with ASC 740-10 and we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Earnings Per Share</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 xml:space="preserve">Basic earnings per share is calculated using the weighted average number of shares of Class A and Class B Stock outstanding during the years ended December 31, 2013, 2012, and 2011, respectively. Diluted earnings per share is calculated by dividing net earnings available to common stockholders by the weighted average common shares outstanding plus the dilutive effect of stock options and unvested restricted stock. We had issued stock options to purchase 709,850, 672,350, and 622,350 shares of Class A Common Stock at December 31, 2013, 2012, and 2011, respectively, at a weighted average exercise price of $6.66, $6.24, and $5.65 per share, respectively. Stock options to purchase 185,100, 185,100, and 185,100 shares of Class B Common Stock were outstanding at the years ended December 31, 2013, 2012, and 2011, respectively, at a weighted average exercise price of $9.90, $9.90, and $9.90 per share, respectively. In accordance with FASB ASC 260-10 – </w:t>
      </w:r>
      <w:r>
        <w:rPr>
          <w:rFonts w:ascii="Arial" w:cs="Arial" w:eastAsia="Arial" w:hAnsi="Arial"/>
          <w:sz w:val="15"/>
          <w:szCs w:val="15"/>
          <w:i w:val="1"/>
          <w:iCs w:val="1"/>
          <w:color w:val="auto"/>
        </w:rPr>
        <w:t>Earnings Per Share</w:t>
      </w:r>
      <w:r>
        <w:rPr>
          <w:rFonts w:ascii="Arial" w:cs="Arial" w:eastAsia="Arial" w:hAnsi="Arial"/>
          <w:sz w:val="15"/>
          <w:szCs w:val="15"/>
          <w:color w:val="auto"/>
        </w:rPr>
        <w:t xml:space="preserve"> (“ASC 260-10”), for any years that we record losses from continuing operations before discontinued operations, the effect of the stock options and restricted stock are anti-dilutive and accordingly excluded from the diluted earnings per share computation (see Note 4 – </w:t>
      </w:r>
      <w:r>
        <w:rPr>
          <w:rFonts w:ascii="Arial" w:cs="Arial" w:eastAsia="Arial" w:hAnsi="Arial"/>
          <w:sz w:val="15"/>
          <w:szCs w:val="15"/>
          <w:i w:val="1"/>
          <w:iCs w:val="1"/>
          <w:color w:val="auto"/>
        </w:rPr>
        <w:t>Earnings (Loss) Per</w:t>
      </w:r>
      <w:r>
        <w:rPr>
          <w:rFonts w:ascii="Arial" w:cs="Arial" w:eastAsia="Arial" w:hAnsi="Arial"/>
          <w:sz w:val="15"/>
          <w:szCs w:val="15"/>
          <w:color w:val="auto"/>
        </w:rPr>
        <w:t xml:space="preserve"> </w:t>
      </w:r>
      <w:r>
        <w:rPr>
          <w:rFonts w:ascii="Arial" w:cs="Arial" w:eastAsia="Arial" w:hAnsi="Arial"/>
          <w:sz w:val="15"/>
          <w:szCs w:val="15"/>
          <w:i w:val="1"/>
          <w:iCs w:val="1"/>
          <w:color w:val="auto"/>
        </w:rPr>
        <w:t>Share</w:t>
      </w:r>
      <w:r>
        <w:rPr>
          <w:rFonts w:ascii="Arial" w:cs="Arial" w:eastAsia="Arial" w:hAnsi="Arial"/>
          <w:sz w:val="15"/>
          <w:szCs w:val="15"/>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Real Estate Purchase Price Allocation</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w:t>
      </w:r>
    </w:p>
    <w:p>
      <w:pPr>
        <w:spacing w:after="0" w:line="99"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7" w:name="page68"/>
    <w:bookmarkEnd w:id="67"/>
    <w:p>
      <w:pPr>
        <w:jc w:val="both"/>
        <w:ind w:firstLine="564"/>
        <w:spacing w:after="0" w:line="312" w:lineRule="auto"/>
        <w:rPr>
          <w:sz w:val="20"/>
          <w:szCs w:val="20"/>
          <w:color w:val="auto"/>
        </w:rPr>
      </w:pPr>
      <w:r>
        <w:rPr>
          <w:rFonts w:ascii="Arial" w:cs="Arial" w:eastAsia="Arial" w:hAnsi="Arial"/>
          <w:sz w:val="13"/>
          <w:szCs w:val="13"/>
          <w:color w:val="auto"/>
        </w:rPr>
        <w:t>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301"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w:t>
      </w:r>
    </w:p>
    <w:p>
      <w:pPr>
        <w:spacing w:after="0" w:line="122"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w:t>
      </w:r>
    </w:p>
    <w:p>
      <w:pPr>
        <w:spacing w:after="0" w:line="117"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These assessments have a direct impact on revenue and net income.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 and ultimately reduce the amount of net income.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Business Acquisition Valuations</w:t>
      </w:r>
    </w:p>
    <w:p>
      <w:pPr>
        <w:spacing w:after="0" w:line="15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 xml:space="preserve">The assets and liabilities of businesses acquired are recorded at their respective preliminary fair values as of the acquisition date in accordance with FASB ASC 805-10 –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(“ASC 805-10”). Upon the acquisition of real properties, we allocate the purchase price of such properties to acquired tangible assets, consisting of land and building, and identified intangible assets and liabilities, consisting of the value of above market and below market leases and the value of in-place leases, based in each case on their fair values. We use independent appraisals to assist in the determination of the fair values of the tangible assets of an acquired property (which includes land and building). We also perform valuations and physical counts of property, plant and equipment, valuations of investments and the involuntary termination of employees, as necessary. Costs in excess of the net fair values of assets and liabilities acquired are recorded as goodwill.</w:t>
      </w:r>
    </w:p>
    <w:p>
      <w:pPr>
        <w:spacing w:after="0" w:line="9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record and amortize above-market and below-market operating leases assumed in the acquisition of a business in the same way as those under real estate acquisitions.</w:t>
      </w:r>
    </w:p>
    <w:p>
      <w:pPr>
        <w:spacing w:after="0" w:line="134"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FASB ASC 820-10 –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820-10”) defines fair value, establishes a framework for measuring fair value in GAAP and provides for expanded disclosure about fair value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measurements. ASC 820-10 applies to all other accounting pronouncements that require or permit fair value measurements.</w:t>
      </w:r>
    </w:p>
    <w:p>
      <w:pPr>
        <w:spacing w:after="0" w:line="168"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 xml:space="preserve">The fair value of our financial assets and liabilities are disclosed in Note 16 –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to our consolidated financial statements. We generally determine or calculate the fair value of financial instruments using quoted market prices in active markets when such information is available or using appropriate present value or other valuation techniques, such as discounted cash flow analyses, incorporating available market discount rate information for similar types of instruments while estimating for non-performance and liquidity risk. These techniques are significantly affected by the assumptions used, including the discount rate, credit spreads, and estimates of future cash flow.</w:t>
      </w:r>
    </w:p>
    <w:p>
      <w:pPr>
        <w:spacing w:after="0" w:line="135"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The financial assets and liabilities recorded at fair value in our consolidated financial statements are marketable securities and interest rate swaps/cap. The carrying amounts of our cash and cash equivalents, restricted cash and accounts payable approximate fair value due to their short-term maturities. The remaining financial assets and liabilities that are only disclosed at fair value are comprised of notes payable, TPS, and other debt instruments. We estimated the fair value of our secured mortgage notes payable, our unsecured notes payable, TPS and other debt instruments by performing discounted cash flow analyses using an appropriate market discount rate. We calculated the market discount rate by obtaining period-end treasury rates for fixed-rate debt, or LIBOR rates for variable-rate debt, for maturities that correspond to the maturities of our debt adding an appropriate credit spreads derived from information obtained from third-party financial institutions. These credit spreads take into account factors such as our credit standing, the maturity of the debt, whether the debt is secured or unsecured, and the loan-to-value ratios of the debt.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Assets and liabilities typically recorded at fair value on a non-recurring basis to which ASC 820-10 applies include:</w:t>
      </w:r>
    </w:p>
    <w:p>
      <w:pPr>
        <w:spacing w:after="0" w:line="168" w:lineRule="exact"/>
        <w:rPr>
          <w:sz w:val="20"/>
          <w:szCs w:val="20"/>
          <w:color w:val="auto"/>
        </w:rPr>
      </w:pPr>
    </w:p>
    <w:p>
      <w:pPr>
        <w:ind w:left="280" w:right="2040"/>
        <w:spacing w:after="0" w:line="310" w:lineRule="auto"/>
        <w:rPr>
          <w:sz w:val="20"/>
          <w:szCs w:val="20"/>
          <w:color w:val="auto"/>
        </w:rPr>
      </w:pPr>
      <w:r>
        <w:rPr>
          <w:rFonts w:ascii="Arial" w:cs="Arial" w:eastAsia="Arial" w:hAnsi="Arial"/>
          <w:sz w:val="13"/>
          <w:szCs w:val="13"/>
          <w:color w:val="auto"/>
        </w:rPr>
        <w:t>·Non-financial assets and liabilities initially measured at fair value in an acquisition or business combination; ·Long-lived assets measured at fair value due to an impairment assessment under ASC 360-15; and</w:t>
      </w:r>
    </w:p>
    <w:p>
      <w:pPr>
        <w:spacing w:after="0" w:line="1" w:lineRule="exact"/>
        <w:rPr>
          <w:sz w:val="20"/>
          <w:szCs w:val="20"/>
          <w:color w:val="auto"/>
        </w:rPr>
      </w:pPr>
    </w:p>
    <w:p>
      <w:pPr>
        <w:ind w:right="1180" w:firstLine="282"/>
        <w:spacing w:after="0" w:line="436" w:lineRule="auto"/>
        <w:rPr>
          <w:sz w:val="20"/>
          <w:szCs w:val="20"/>
          <w:color w:val="auto"/>
        </w:rPr>
      </w:pPr>
      <w:r>
        <w:rPr>
          <w:rFonts w:ascii="Arial" w:cs="Arial" w:eastAsia="Arial" w:hAnsi="Arial"/>
          <w:sz w:val="16"/>
          <w:szCs w:val="16"/>
          <w:color w:val="auto"/>
        </w:rPr>
        <w:t xml:space="preserve">·Asset retirement obligations initially measured under FASB ASC 410-20 – </w:t>
      </w:r>
      <w:r>
        <w:rPr>
          <w:rFonts w:ascii="Arial" w:cs="Arial" w:eastAsia="Arial" w:hAnsi="Arial"/>
          <w:sz w:val="16"/>
          <w:szCs w:val="16"/>
          <w:i w:val="1"/>
          <w:iCs w:val="1"/>
          <w:color w:val="auto"/>
        </w:rPr>
        <w:t>Asset Retirement Obligations</w:t>
      </w:r>
      <w:r>
        <w:rPr>
          <w:rFonts w:ascii="Arial" w:cs="Arial" w:eastAsia="Arial" w:hAnsi="Arial"/>
          <w:sz w:val="16"/>
          <w:szCs w:val="16"/>
          <w:color w:val="auto"/>
        </w:rPr>
        <w:t xml:space="preserve"> (“ASC 410-20”). </w:t>
      </w:r>
      <w:r>
        <w:rPr>
          <w:rFonts w:ascii="Arial" w:cs="Arial" w:eastAsia="Arial" w:hAnsi="Arial"/>
          <w:sz w:val="16"/>
          <w:szCs w:val="16"/>
          <w:u w:val="single" w:color="auto"/>
          <w:color w:val="auto"/>
        </w:rPr>
        <w:t>Use of Estimates</w:t>
      </w:r>
    </w:p>
    <w:p>
      <w:pPr>
        <w:spacing w:after="0" w:line="1"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 and expenses during the reported period. Actual results could differ from those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Pronouncements Adopted During 2013</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new pronouncements were adopted during the year ended December 31, 2013.</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New Accounting Pronouncements</w:t>
      </w:r>
    </w:p>
    <w:p>
      <w:pPr>
        <w:spacing w:after="0" w:line="168"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In July 2013, the FASB issued ASU 2013-11</w:t>
      </w:r>
      <w:r>
        <w:rPr>
          <w:rFonts w:ascii="Arial" w:cs="Arial" w:eastAsia="Arial" w:hAnsi="Arial"/>
          <w:sz w:val="13"/>
          <w:szCs w:val="13"/>
          <w:i w:val="1"/>
          <w:iCs w:val="1"/>
          <w:color w:val="auto"/>
        </w:rPr>
        <w:t>, Presentation of an Unrecognized Tax Benefit When a Net Operating Loss Carryforward,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Similar Tax Loss, or a Tax Credit Carryforward Exists </w:t>
      </w:r>
      <w:r>
        <w:rPr>
          <w:rFonts w:ascii="Arial" w:cs="Arial" w:eastAsia="Arial" w:hAnsi="Arial"/>
          <w:sz w:val="13"/>
          <w:szCs w:val="13"/>
          <w:color w:val="auto"/>
        </w:rPr>
        <w:t>("ASU 2013-11"). ASU 2013-11 is effective for the first interim or annual period beginning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on or after December 15, 2013 with early adoption permitted. ASU 2013-11 amends ASC Topic 740, </w:t>
      </w:r>
      <w:r>
        <w:rPr>
          <w:rFonts w:ascii="Arial" w:cs="Arial" w:eastAsia="Arial" w:hAnsi="Arial"/>
          <w:sz w:val="13"/>
          <w:szCs w:val="13"/>
          <w:i w:val="1"/>
          <w:iCs w:val="1"/>
          <w:color w:val="auto"/>
        </w:rPr>
        <w:t>Income Taxes</w:t>
      </w:r>
      <w:r>
        <w:rPr>
          <w:rFonts w:ascii="Arial" w:cs="Arial" w:eastAsia="Arial" w:hAnsi="Arial"/>
          <w:sz w:val="13"/>
          <w:szCs w:val="13"/>
          <w:color w:val="auto"/>
        </w:rPr>
        <w:t>, to provide guidance and reduce diversity in practice on the financial statement presentation of an unrecognized tax benefit when a net operating loss carryforward, a similar tax loss, or a tax credit carryforward exists. We do not anticipate that the application of this standard will impact our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auto"/>
        </w:rPr>
        <w:t>Note 3 – Stock Based Compensation and Employee Stock Option Plan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Based Compensation</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As part of his compensation package, Mr. James J. Cotter, our Chairman of the Board and Chief Executive Officer, was granted $750,000, $950,000, and $750,000, respectively, of restricted Class A Non-voting Common Stock (“Class A Stock”) for each of the years ended December 31, 2013, 2012, and 2011, respectively. The 2013, 2012, and 2011 stock grants of 125,209, 217,890, and 155,925 shares, respectively, were granted with stock grant prices of $5.99, $4.36, and $4.81, respectively. Mr. Cotter’s stock compensation is granted fully vested with a five-year restriction on sale. As of December 31, 2013, the 2013 stock grant had not yet been issued to Mr. Cotter. During 2013, we issued to Mr. Cotter 217,890 of Class A Stock for his 2012 vested stock grants which had a stock grant price of $4.36 and a grant date fair value of $950,000.</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2012, we issued 9,680 shares as a one-time stock grant of Class A Stock to our employees valued at $44,000.</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During the years ended December 31, 2013, 2012, and 2011, we recorded compensation expense of $750,000, $994,000, and $750,000, respectively, for the vesting of all our restricted stock grants. The following table details the grants and vesting of restricted stock to our employees (dollars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188"/>
        </w:trPr>
        <w:tc>
          <w:tcPr>
            <w:tcW w:w="4180" w:type="dxa"/>
            <w:vAlign w:val="bottom"/>
          </w:tcPr>
          <w:p>
            <w:pPr>
              <w:spacing w:after="0"/>
              <w:rPr>
                <w:sz w:val="16"/>
                <w:szCs w:val="16"/>
                <w:color w:val="auto"/>
              </w:rPr>
            </w:pPr>
          </w:p>
        </w:tc>
        <w:tc>
          <w:tcPr>
            <w:tcW w:w="3440" w:type="dxa"/>
            <w:vAlign w:val="bottom"/>
          </w:tcPr>
          <w:p>
            <w:pPr>
              <w:jc w:val="right"/>
              <w:ind w:right="382"/>
              <w:spacing w:after="0"/>
              <w:rPr>
                <w:sz w:val="20"/>
                <w:szCs w:val="20"/>
                <w:color w:val="auto"/>
              </w:rPr>
            </w:pPr>
            <w:r>
              <w:rPr>
                <w:rFonts w:ascii="Arial" w:cs="Arial" w:eastAsia="Arial" w:hAnsi="Arial"/>
                <w:sz w:val="16"/>
                <w:szCs w:val="16"/>
                <w:b w:val="1"/>
                <w:bCs w:val="1"/>
                <w:color w:val="auto"/>
              </w:rPr>
              <w:t>Non-Vested</w:t>
            </w:r>
          </w:p>
        </w:tc>
        <w:tc>
          <w:tcPr>
            <w:tcW w:w="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Fair Value at</w:t>
            </w:r>
          </w:p>
        </w:tc>
      </w:tr>
      <w:tr>
        <w:trPr>
          <w:trHeight w:val="208"/>
        </w:trPr>
        <w:tc>
          <w:tcPr>
            <w:tcW w:w="4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Restricted Stock</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Grant Date</w:t>
            </w:r>
          </w:p>
        </w:tc>
      </w:tr>
      <w:tr>
        <w:trPr>
          <w:trHeight w:val="175"/>
        </w:trPr>
        <w:tc>
          <w:tcPr>
            <w:tcW w:w="4180" w:type="dxa"/>
            <w:vAlign w:val="bottom"/>
          </w:tcPr>
          <w:p>
            <w:pPr>
              <w:spacing w:after="0" w:line="175" w:lineRule="exact"/>
              <w:rPr>
                <w:sz w:val="20"/>
                <w:szCs w:val="20"/>
                <w:color w:val="auto"/>
              </w:rPr>
            </w:pPr>
            <w:r>
              <w:rPr>
                <w:rFonts w:ascii="Arial" w:cs="Arial" w:eastAsia="Arial" w:hAnsi="Arial"/>
                <w:sz w:val="16"/>
                <w:szCs w:val="16"/>
                <w:color w:val="auto"/>
              </w:rPr>
              <w:t>Outstanding – January 1, 2011</w:t>
            </w:r>
          </w:p>
        </w:tc>
        <w:tc>
          <w:tcPr>
            <w:tcW w:w="344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88"/>
        </w:trPr>
        <w:tc>
          <w:tcPr>
            <w:tcW w:w="4180" w:type="dxa"/>
            <w:vAlign w:val="bottom"/>
          </w:tcPr>
          <w:p>
            <w:pPr>
              <w:spacing w:after="0"/>
              <w:rPr>
                <w:sz w:val="20"/>
                <w:szCs w:val="20"/>
                <w:color w:val="auto"/>
              </w:rPr>
            </w:pPr>
            <w:r>
              <w:rPr>
                <w:rFonts w:ascii="Arial" w:cs="Arial" w:eastAsia="Arial" w:hAnsi="Arial"/>
                <w:sz w:val="16"/>
                <w:szCs w:val="16"/>
                <w:color w:val="auto"/>
              </w:rPr>
              <w:t>Granted</w:t>
            </w:r>
          </w:p>
        </w:tc>
        <w:tc>
          <w:tcPr>
            <w:tcW w:w="3440" w:type="dxa"/>
            <w:vAlign w:val="bottom"/>
          </w:tcPr>
          <w:p>
            <w:pPr>
              <w:jc w:val="right"/>
              <w:ind w:right="142"/>
              <w:spacing w:after="0"/>
              <w:rPr>
                <w:sz w:val="20"/>
                <w:szCs w:val="20"/>
                <w:color w:val="auto"/>
              </w:rPr>
            </w:pPr>
            <w:r>
              <w:rPr>
                <w:rFonts w:ascii="Arial" w:cs="Arial" w:eastAsia="Arial" w:hAnsi="Arial"/>
                <w:sz w:val="16"/>
                <w:szCs w:val="16"/>
                <w:color w:val="auto"/>
              </w:rPr>
              <w:t>155,925</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Vested</w:t>
            </w:r>
          </w:p>
        </w:tc>
        <w:tc>
          <w:tcPr>
            <w:tcW w:w="34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(155,925)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168"/>
        </w:trPr>
        <w:tc>
          <w:tcPr>
            <w:tcW w:w="4180" w:type="dxa"/>
            <w:vAlign w:val="bottom"/>
          </w:tcPr>
          <w:p>
            <w:pPr>
              <w:spacing w:after="0" w:line="168" w:lineRule="exact"/>
              <w:rPr>
                <w:sz w:val="20"/>
                <w:szCs w:val="20"/>
                <w:color w:val="auto"/>
              </w:rPr>
            </w:pPr>
            <w:r>
              <w:rPr>
                <w:rFonts w:ascii="Arial" w:cs="Arial" w:eastAsia="Arial" w:hAnsi="Arial"/>
                <w:sz w:val="16"/>
                <w:szCs w:val="16"/>
                <w:color w:val="auto"/>
              </w:rPr>
              <w:t>Outstanding – December 31, 2011</w:t>
            </w:r>
          </w:p>
        </w:tc>
        <w:tc>
          <w:tcPr>
            <w:tcW w:w="3440" w:type="dxa"/>
            <w:vAlign w:val="bottom"/>
          </w:tcPr>
          <w:p>
            <w:pPr>
              <w:jc w:val="right"/>
              <w:ind w:right="162"/>
              <w:spacing w:after="0" w:line="168"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r>
      <w:tr>
        <w:trPr>
          <w:trHeight w:val="188"/>
        </w:trPr>
        <w:tc>
          <w:tcPr>
            <w:tcW w:w="4180" w:type="dxa"/>
            <w:vAlign w:val="bottom"/>
          </w:tcPr>
          <w:p>
            <w:pPr>
              <w:spacing w:after="0"/>
              <w:rPr>
                <w:sz w:val="20"/>
                <w:szCs w:val="20"/>
                <w:color w:val="auto"/>
              </w:rPr>
            </w:pPr>
            <w:r>
              <w:rPr>
                <w:rFonts w:ascii="Arial" w:cs="Arial" w:eastAsia="Arial" w:hAnsi="Arial"/>
                <w:sz w:val="16"/>
                <w:szCs w:val="16"/>
                <w:color w:val="auto"/>
              </w:rPr>
              <w:t>Granted</w:t>
            </w:r>
          </w:p>
        </w:tc>
        <w:tc>
          <w:tcPr>
            <w:tcW w:w="3440" w:type="dxa"/>
            <w:vAlign w:val="bottom"/>
          </w:tcPr>
          <w:p>
            <w:pPr>
              <w:jc w:val="right"/>
              <w:ind w:right="142"/>
              <w:spacing w:after="0"/>
              <w:rPr>
                <w:sz w:val="20"/>
                <w:szCs w:val="20"/>
                <w:color w:val="auto"/>
              </w:rPr>
            </w:pPr>
            <w:r>
              <w:rPr>
                <w:rFonts w:ascii="Arial" w:cs="Arial" w:eastAsia="Arial" w:hAnsi="Arial"/>
                <w:sz w:val="16"/>
                <w:szCs w:val="16"/>
                <w:color w:val="auto"/>
              </w:rPr>
              <w:t>227,570</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0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Vested</w:t>
            </w:r>
          </w:p>
        </w:tc>
        <w:tc>
          <w:tcPr>
            <w:tcW w:w="34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(227,570)</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r>
      <w:tr>
        <w:trPr>
          <w:trHeight w:val="168"/>
        </w:trPr>
        <w:tc>
          <w:tcPr>
            <w:tcW w:w="4180" w:type="dxa"/>
            <w:vAlign w:val="bottom"/>
          </w:tcPr>
          <w:p>
            <w:pPr>
              <w:spacing w:after="0" w:line="168" w:lineRule="exact"/>
              <w:rPr>
                <w:sz w:val="20"/>
                <w:szCs w:val="20"/>
                <w:color w:val="auto"/>
              </w:rPr>
            </w:pPr>
            <w:r>
              <w:rPr>
                <w:rFonts w:ascii="Arial" w:cs="Arial" w:eastAsia="Arial" w:hAnsi="Arial"/>
                <w:sz w:val="16"/>
                <w:szCs w:val="16"/>
                <w:color w:val="auto"/>
              </w:rPr>
              <w:t>Outstanding – December 31, 2012</w:t>
            </w:r>
          </w:p>
        </w:tc>
        <w:tc>
          <w:tcPr>
            <w:tcW w:w="3440" w:type="dxa"/>
            <w:vAlign w:val="bottom"/>
          </w:tcPr>
          <w:p>
            <w:pPr>
              <w:jc w:val="right"/>
              <w:ind w:right="162"/>
              <w:spacing w:after="0" w:line="168"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r>
      <w:tr>
        <w:trPr>
          <w:trHeight w:val="188"/>
        </w:trPr>
        <w:tc>
          <w:tcPr>
            <w:tcW w:w="4180" w:type="dxa"/>
            <w:vAlign w:val="bottom"/>
          </w:tcPr>
          <w:p>
            <w:pPr>
              <w:spacing w:after="0"/>
              <w:rPr>
                <w:sz w:val="20"/>
                <w:szCs w:val="20"/>
                <w:color w:val="auto"/>
              </w:rPr>
            </w:pPr>
            <w:r>
              <w:rPr>
                <w:rFonts w:ascii="Arial" w:cs="Arial" w:eastAsia="Arial" w:hAnsi="Arial"/>
                <w:sz w:val="16"/>
                <w:szCs w:val="16"/>
                <w:color w:val="auto"/>
              </w:rPr>
              <w:t>Granted</w:t>
            </w:r>
          </w:p>
        </w:tc>
        <w:tc>
          <w:tcPr>
            <w:tcW w:w="3440" w:type="dxa"/>
            <w:vAlign w:val="bottom"/>
          </w:tcPr>
          <w:p>
            <w:pPr>
              <w:jc w:val="right"/>
              <w:ind w:right="142"/>
              <w:spacing w:after="0"/>
              <w:rPr>
                <w:sz w:val="20"/>
                <w:szCs w:val="20"/>
                <w:color w:val="auto"/>
              </w:rPr>
            </w:pPr>
            <w:r>
              <w:rPr>
                <w:rFonts w:ascii="Arial" w:cs="Arial" w:eastAsia="Arial" w:hAnsi="Arial"/>
                <w:sz w:val="16"/>
                <w:szCs w:val="16"/>
                <w:color w:val="auto"/>
              </w:rPr>
              <w:t>125,209</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Vested</w:t>
            </w:r>
          </w:p>
        </w:tc>
        <w:tc>
          <w:tcPr>
            <w:tcW w:w="34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(125,209)</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184"/>
        </w:trPr>
        <w:tc>
          <w:tcPr>
            <w:tcW w:w="41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Outstanding – December 31, 2013</w:t>
            </w:r>
          </w:p>
        </w:tc>
        <w:tc>
          <w:tcPr>
            <w:tcW w:w="3440" w:type="dxa"/>
            <w:vAlign w:val="bottom"/>
            <w:tcBorders>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Employee Stock Option Plan</w:t>
      </w:r>
    </w:p>
    <w:p>
      <w:pPr>
        <w:spacing w:after="0" w:line="192"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We have a long-term incentive stock option plan that provides for the grant to eligible employees, directors, and consultants of incentive or nonstatutory options to purchase shares of our Class A Stock. Our 1999 Stock Option Plan expired in November 2009, and was replaced by our new 2010 Stock Incentive Plan, which was approved by the holders of our Class B Voting Common Stock in May 2010.</w:t>
      </w:r>
    </w:p>
    <w:p>
      <w:pPr>
        <w:spacing w:after="0" w:line="11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FASB ASC 718-10 –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718-10”) requires that all stock-based compensation be recognized as an expense in the financial statements and that such costs be measured at the fair value of the award. We estimate the valuation of stock based compensation using a Black-Scholes option-pricing model.</w:t>
      </w:r>
    </w:p>
    <w:p>
      <w:pPr>
        <w:spacing w:after="0" w:line="130"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When our tax deduction from an option exercise exceeds the compensation cost resulting from the option, a tax benefit is created. ASC 718-10 requires that excess tax benefits related to stock option exercises be reflected as financing cash inflows instead of operating cash inflows. For the years ended December 31, 2013, 2012, and 2011, there was no impact to the consolidated statements of cash flows because there were no recognized tax benefits during these periods.</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ASC 718-10 requires companies to estimate forfeitures. Based on our historical experience, we did not estimate any forfeitures for the options granted during the years ended December 31, 2013, 2012, and 2011.</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 accordance with ASC 718-10, we estimate the fair value of our options using the Black-Scholes option-pricing model, which takes into account assumptions such as the dividend yield, the risk-free interest rate,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16"/>
          <w:szCs w:val="16"/>
          <w:color w:val="auto"/>
        </w:rPr>
        <w:t>expected stock price volatility, and the expected life of the options. The dividend yield is excluded from the calculation, as it is our present intention to retain all earnings. We estimated the expected stock price volatility based on our historical price volatility measured using daily share prices back to the inception of the Company in its current form beginning on December 31, 2001. We estimate the expected option life based on our historical share option exercise experience during this same period. We expense the estimated grant date fair values of options issued on a straight-line basis over their vesting periods.</w:t>
      </w:r>
    </w:p>
    <w:p>
      <w:pPr>
        <w:spacing w:after="0" w:line="146"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No options were granted during 2011. For the 175,000 and 206,000 options granted during 2013 and 2012, respectively, we estimated the fair value of these options at the date of grant using a Black-Scholes option-pricing model with the following weighted average assumptions: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center"/>
              <w:ind w:left="1682"/>
              <w:spacing w:after="0"/>
              <w:rPr>
                <w:sz w:val="20"/>
                <w:szCs w:val="20"/>
                <w:color w:val="auto"/>
              </w:rPr>
            </w:pPr>
            <w:r>
              <w:rPr>
                <w:rFonts w:ascii="Arial" w:cs="Arial" w:eastAsia="Arial" w:hAnsi="Arial"/>
                <w:sz w:val="16"/>
                <w:szCs w:val="16"/>
                <w:b w:val="1"/>
                <w:bCs w:val="1"/>
                <w:color w:val="auto"/>
                <w:w w:val="84"/>
              </w:rPr>
              <w:t>2013</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2012</w:t>
            </w:r>
          </w:p>
        </w:tc>
      </w:tr>
      <w:tr>
        <w:trPr>
          <w:trHeight w:val="175"/>
        </w:trPr>
        <w:tc>
          <w:tcPr>
            <w:tcW w:w="4080" w:type="dxa"/>
            <w:vAlign w:val="bottom"/>
          </w:tcPr>
          <w:p>
            <w:pPr>
              <w:spacing w:after="0" w:line="175" w:lineRule="exact"/>
              <w:rPr>
                <w:sz w:val="20"/>
                <w:szCs w:val="20"/>
                <w:color w:val="auto"/>
              </w:rPr>
            </w:pPr>
            <w:r>
              <w:rPr>
                <w:rFonts w:ascii="Arial" w:cs="Arial" w:eastAsia="Arial" w:hAnsi="Arial"/>
                <w:sz w:val="16"/>
                <w:szCs w:val="16"/>
                <w:color w:val="auto"/>
              </w:rPr>
              <w:t>Stock option exercise price</w:t>
            </w:r>
          </w:p>
        </w:tc>
        <w:tc>
          <w:tcPr>
            <w:tcW w:w="3420" w:type="dxa"/>
            <w:vAlign w:val="bottom"/>
          </w:tcPr>
          <w:p>
            <w:pPr>
              <w:jc w:val="center"/>
              <w:ind w:left="1682"/>
              <w:spacing w:after="0" w:line="175" w:lineRule="exact"/>
              <w:rPr>
                <w:sz w:val="20"/>
                <w:szCs w:val="20"/>
                <w:color w:val="auto"/>
              </w:rPr>
            </w:pPr>
            <w:r>
              <w:rPr>
                <w:rFonts w:ascii="Arial" w:cs="Arial" w:eastAsia="Arial" w:hAnsi="Arial"/>
                <w:sz w:val="16"/>
                <w:szCs w:val="16"/>
                <w:color w:val="auto"/>
                <w:w w:val="84"/>
              </w:rPr>
              <w:t>$6.19</w:t>
            </w:r>
          </w:p>
        </w:tc>
        <w:tc>
          <w:tcPr>
            <w:tcW w:w="1680" w:type="dxa"/>
            <w:vAlign w:val="bottom"/>
          </w:tcPr>
          <w:p>
            <w:pPr>
              <w:jc w:val="center"/>
              <w:spacing w:after="0" w:line="175" w:lineRule="exact"/>
              <w:rPr>
                <w:sz w:val="20"/>
                <w:szCs w:val="20"/>
                <w:color w:val="auto"/>
              </w:rPr>
            </w:pPr>
            <w:r>
              <w:rPr>
                <w:rFonts w:ascii="Arial" w:cs="Arial" w:eastAsia="Arial" w:hAnsi="Arial"/>
                <w:sz w:val="16"/>
                <w:szCs w:val="16"/>
                <w:color w:val="auto"/>
                <w:w w:val="84"/>
              </w:rPr>
              <w:t>$5.94</w:t>
            </w: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420" w:type="dxa"/>
            <w:vAlign w:val="bottom"/>
          </w:tcPr>
          <w:p>
            <w:pPr>
              <w:jc w:val="center"/>
              <w:ind w:left="1662"/>
              <w:spacing w:after="0"/>
              <w:rPr>
                <w:sz w:val="20"/>
                <w:szCs w:val="20"/>
                <w:color w:val="auto"/>
              </w:rPr>
            </w:pPr>
            <w:r>
              <w:rPr>
                <w:rFonts w:ascii="Arial" w:cs="Arial" w:eastAsia="Arial" w:hAnsi="Arial"/>
                <w:sz w:val="16"/>
                <w:szCs w:val="16"/>
                <w:color w:val="auto"/>
                <w:w w:val="88"/>
              </w:rPr>
              <w:t>2.25%</w:t>
            </w: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1.71%</w:t>
            </w: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3420" w:type="dxa"/>
            <w:vAlign w:val="bottom"/>
          </w:tcPr>
          <w:p>
            <w:pPr>
              <w:jc w:val="center"/>
              <w:ind w:left="1682"/>
              <w:spacing w:after="0"/>
              <w:rPr>
                <w:sz w:val="20"/>
                <w:szCs w:val="20"/>
                <w:color w:val="auto"/>
              </w:rPr>
            </w:pPr>
            <w:r>
              <w:rPr>
                <w:rFonts w:ascii="Arial" w:cs="Arial" w:eastAsia="Arial" w:hAnsi="Arial"/>
                <w:sz w:val="16"/>
                <w:szCs w:val="16"/>
                <w:color w:val="auto"/>
                <w:w w:val="93"/>
              </w:rPr>
              <w:t>--</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w:t>
            </w: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Expected option life</w:t>
            </w:r>
          </w:p>
        </w:tc>
        <w:tc>
          <w:tcPr>
            <w:tcW w:w="3420" w:type="dxa"/>
            <w:vAlign w:val="bottom"/>
          </w:tcPr>
          <w:p>
            <w:pPr>
              <w:ind w:left="2320"/>
              <w:spacing w:after="0"/>
              <w:rPr>
                <w:sz w:val="20"/>
                <w:szCs w:val="20"/>
                <w:color w:val="auto"/>
              </w:rPr>
            </w:pPr>
            <w:r>
              <w:rPr>
                <w:rFonts w:ascii="Arial" w:cs="Arial" w:eastAsia="Arial" w:hAnsi="Arial"/>
                <w:sz w:val="16"/>
                <w:szCs w:val="16"/>
                <w:color w:val="auto"/>
              </w:rPr>
              <w:t>5.00 yrs.</w:t>
            </w:r>
          </w:p>
        </w:tc>
        <w:tc>
          <w:tcPr>
            <w:tcW w:w="1680" w:type="dxa"/>
            <w:vAlign w:val="bottom"/>
          </w:tcPr>
          <w:p>
            <w:pPr>
              <w:ind w:left="580"/>
              <w:spacing w:after="0"/>
              <w:rPr>
                <w:sz w:val="20"/>
                <w:szCs w:val="20"/>
                <w:color w:val="auto"/>
              </w:rPr>
            </w:pPr>
            <w:r>
              <w:rPr>
                <w:rFonts w:ascii="Arial" w:cs="Arial" w:eastAsia="Arial" w:hAnsi="Arial"/>
                <w:sz w:val="16"/>
                <w:szCs w:val="16"/>
                <w:color w:val="auto"/>
              </w:rPr>
              <w:t>7.20 yrs.</w:t>
            </w: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Expected volatility</w:t>
            </w:r>
          </w:p>
        </w:tc>
        <w:tc>
          <w:tcPr>
            <w:tcW w:w="3420" w:type="dxa"/>
            <w:vAlign w:val="bottom"/>
          </w:tcPr>
          <w:p>
            <w:pPr>
              <w:jc w:val="center"/>
              <w:ind w:left="1662"/>
              <w:spacing w:after="0"/>
              <w:rPr>
                <w:sz w:val="20"/>
                <w:szCs w:val="20"/>
                <w:color w:val="auto"/>
              </w:rPr>
            </w:pPr>
            <w:r>
              <w:rPr>
                <w:rFonts w:ascii="Arial" w:cs="Arial" w:eastAsia="Arial" w:hAnsi="Arial"/>
                <w:sz w:val="16"/>
                <w:szCs w:val="16"/>
                <w:color w:val="auto"/>
                <w:w w:val="88"/>
              </w:rPr>
              <w:t>31.80%</w:t>
            </w: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32.15%</w:t>
            </w: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Weighted average fair value</w:t>
            </w:r>
          </w:p>
        </w:tc>
        <w:tc>
          <w:tcPr>
            <w:tcW w:w="3420" w:type="dxa"/>
            <w:vAlign w:val="bottom"/>
          </w:tcPr>
          <w:p>
            <w:pPr>
              <w:jc w:val="center"/>
              <w:ind w:left="1682"/>
              <w:spacing w:after="0"/>
              <w:rPr>
                <w:sz w:val="20"/>
                <w:szCs w:val="20"/>
                <w:color w:val="auto"/>
              </w:rPr>
            </w:pPr>
            <w:r>
              <w:rPr>
                <w:rFonts w:ascii="Arial" w:cs="Arial" w:eastAsia="Arial" w:hAnsi="Arial"/>
                <w:sz w:val="16"/>
                <w:szCs w:val="16"/>
                <w:color w:val="auto"/>
                <w:w w:val="84"/>
              </w:rPr>
              <w:t>$1.98</w:t>
            </w:r>
          </w:p>
        </w:tc>
        <w:tc>
          <w:tcPr>
            <w:tcW w:w="1680" w:type="dxa"/>
            <w:vAlign w:val="bottom"/>
          </w:tcPr>
          <w:p>
            <w:pPr>
              <w:jc w:val="center"/>
              <w:spacing w:after="0"/>
              <w:rPr>
                <w:sz w:val="20"/>
                <w:szCs w:val="20"/>
                <w:color w:val="auto"/>
              </w:rPr>
            </w:pPr>
            <w:r>
              <w:rPr>
                <w:rFonts w:ascii="Arial" w:cs="Arial" w:eastAsia="Arial" w:hAnsi="Arial"/>
                <w:sz w:val="16"/>
                <w:szCs w:val="16"/>
                <w:color w:val="auto"/>
                <w:w w:val="84"/>
              </w:rPr>
              <w:t>$2.62</w:t>
            </w:r>
          </w:p>
        </w:tc>
      </w:tr>
    </w:tbl>
    <w:p>
      <w:pPr>
        <w:spacing w:after="0" w:line="188"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Using the above assumptions and based on our use of the modified prospective method, we recorded $199,000, $285,000, and $189,000 in compensation expense for the total estimated grant date fair value of stock options that vested during the years ended December 31, 2013, 2012, and 2011, respectively. At December 31, 2013, total unrecognized estimated compensation cost related to non-vested stock options granted was $432,000 which is expected to be recognized over a weighted average vesting period of 2.15 years.</w:t>
      </w:r>
    </w:p>
    <w:p>
      <w:pPr>
        <w:spacing w:after="0" w:line="117" w:lineRule="exact"/>
        <w:rPr>
          <w:sz w:val="20"/>
          <w:szCs w:val="20"/>
          <w:color w:val="auto"/>
        </w:rPr>
      </w:pPr>
    </w:p>
    <w:p>
      <w:pPr>
        <w:jc w:val="both"/>
        <w:ind w:firstLine="564"/>
        <w:spacing w:after="0" w:line="311" w:lineRule="auto"/>
        <w:rPr>
          <w:sz w:val="20"/>
          <w:szCs w:val="20"/>
          <w:color w:val="auto"/>
        </w:rPr>
      </w:pPr>
      <w:r>
        <w:rPr>
          <w:rFonts w:ascii="Arial" w:cs="Arial" w:eastAsia="Arial" w:hAnsi="Arial"/>
          <w:sz w:val="13"/>
          <w:szCs w:val="13"/>
          <w:color w:val="auto"/>
        </w:rPr>
        <w:t>For the stock options exercised during the years ended December 31, 2013 and 2012, we issued 62,500 and 95,000 shares of Class A Stock for cash to employees of the corporation under this stock based compensation plan with weighted average exercise prices of $3.98 and $4.68, respectively. No options were exercised in 2011. The total realized value of stock options exercised during the years ended December 31, 2013 and 2012 was $133,000 and $136,000, respectively. We recorded cash received from stock options exercised of $248,000 and $308,000 during the years ended December 31, 2013 and 2012, respectively. In 2013, 75,000 options were exercised having a realized value of $124,000 for which we did not receive any cash but the employee elected to exchange 53,136 personally owned shares of the company with a market price of $5.66 for the 75,000 shares based on an exercise price of $4.01 for the related options. In 2012, 41,000 options were exercised having a realized value of $103,000 for which we did not receive any cash but the employee elected to receive the net incremental number of in-the-money shares of 15,822 based on an exercise price of $4.01 and a market price of $6.53. At December 31, 2013, the intrinsic, unrealized value of all options outstanding, vested and expected to vest, was $939,000 of which 68.8% were currently exercisable.</w:t>
      </w:r>
    </w:p>
    <w:p>
      <w:pPr>
        <w:spacing w:after="0" w:line="300"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Pursuant to both our 1999 Stock Option Plan and our 2010 Stock Incentive Plan, all stock options expire within ten years of their grant date. The aggregate total number of shares of Class A Stock and Class B voting common stock authorized for issuance under our 2010 Stock Option Plan is 1,250,000.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had the following stock options outstanding and exercisable: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0"/>
              </w:rPr>
              <w:t>Weighted Average</w:t>
            </w: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5"/>
        </w:trPr>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5"/>
              </w:rPr>
              <w:t>Average Exercise</w:t>
            </w:r>
          </w:p>
        </w:tc>
        <w:tc>
          <w:tcPr>
            <w:tcW w:w="15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9"/>
              </w:rPr>
              <w:t>Price of</w:t>
            </w: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15"/>
        </w:trPr>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Price of Options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15"/>
        </w:trPr>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0"/>
              </w:rPr>
              <w:t>Options</w:t>
            </w:r>
          </w:p>
        </w:tc>
      </w:tr>
      <w:tr>
        <w:trPr>
          <w:trHeight w:val="20"/>
        </w:trPr>
        <w:tc>
          <w:tcPr>
            <w:tcW w:w="2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242"/>
        </w:trPr>
        <w:tc>
          <w:tcPr>
            <w:tcW w:w="2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Class A</w:t>
            </w:r>
          </w:p>
        </w:tc>
        <w:tc>
          <w:tcPr>
            <w:tcW w:w="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3"/>
              </w:rPr>
              <w:t>Class B</w:t>
            </w:r>
          </w:p>
        </w:tc>
        <w:tc>
          <w:tcPr>
            <w:tcW w:w="7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Class A</w:t>
            </w:r>
          </w:p>
        </w:tc>
        <w:tc>
          <w:tcPr>
            <w:tcW w:w="8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8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Class A</w:t>
            </w:r>
          </w:p>
        </w:tc>
        <w:tc>
          <w:tcPr>
            <w:tcW w:w="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Class B</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85"/>
              </w:rPr>
              <w:t>Class A</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85"/>
              </w:rPr>
              <w:t>Class B</w:t>
            </w:r>
          </w:p>
        </w:tc>
      </w:tr>
      <w:tr>
        <w:trPr>
          <w:trHeight w:val="176"/>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Outstanding-January 1, 2011</w:t>
            </w:r>
          </w:p>
        </w:tc>
        <w:tc>
          <w:tcPr>
            <w:tcW w:w="1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color w:val="auto"/>
              </w:rPr>
              <w:t>622,350</w:t>
            </w: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5.65</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9.90</w:t>
            </w: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449,750</w:t>
            </w:r>
          </w:p>
        </w:tc>
        <w:tc>
          <w:tcPr>
            <w:tcW w:w="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150,000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10.24</w:t>
            </w:r>
          </w:p>
        </w:tc>
      </w:tr>
      <w:tr>
        <w:trPr>
          <w:trHeight w:val="168"/>
        </w:trPr>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No activity during the period</w:t>
            </w:r>
          </w:p>
        </w:tc>
        <w:tc>
          <w:tcPr>
            <w:tcW w:w="13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68"/>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Outstanding-December 31, 2011</w:t>
            </w:r>
          </w:p>
        </w:tc>
        <w:tc>
          <w:tcPr>
            <w:tcW w:w="1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color w:val="auto"/>
              </w:rPr>
              <w:t>622,350</w:t>
            </w: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5.65</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9.90</w:t>
            </w: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544,383</w:t>
            </w:r>
          </w:p>
        </w:tc>
        <w:tc>
          <w:tcPr>
            <w:tcW w:w="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167,550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10.05</w:t>
            </w:r>
          </w:p>
        </w:tc>
      </w:tr>
      <w:tr>
        <w:trPr>
          <w:trHeight w:val="160"/>
        </w:trPr>
        <w:tc>
          <w:tcPr>
            <w:tcW w:w="2380" w:type="dxa"/>
            <w:vAlign w:val="bottom"/>
          </w:tcPr>
          <w:p>
            <w:pPr>
              <w:ind w:left="100"/>
              <w:spacing w:after="0" w:line="159" w:lineRule="exact"/>
              <w:rPr>
                <w:sz w:val="20"/>
                <w:szCs w:val="20"/>
                <w:color w:val="auto"/>
              </w:rPr>
            </w:pPr>
            <w:r>
              <w:rPr>
                <w:rFonts w:ascii="Arial" w:cs="Arial" w:eastAsia="Arial" w:hAnsi="Arial"/>
                <w:sz w:val="14"/>
                <w:szCs w:val="14"/>
                <w:color w:val="auto"/>
              </w:rPr>
              <w:t>Granted</w:t>
            </w:r>
          </w:p>
        </w:tc>
        <w:tc>
          <w:tcPr>
            <w:tcW w:w="1360" w:type="dxa"/>
            <w:vAlign w:val="bottom"/>
            <w:gridSpan w:val="4"/>
          </w:tcPr>
          <w:p>
            <w:pPr>
              <w:jc w:val="right"/>
              <w:ind w:right="90"/>
              <w:spacing w:after="0" w:line="159" w:lineRule="exact"/>
              <w:rPr>
                <w:sz w:val="20"/>
                <w:szCs w:val="20"/>
                <w:color w:val="auto"/>
              </w:rPr>
            </w:pPr>
            <w:r>
              <w:rPr>
                <w:rFonts w:ascii="Arial" w:cs="Arial" w:eastAsia="Arial" w:hAnsi="Arial"/>
                <w:sz w:val="14"/>
                <w:szCs w:val="14"/>
                <w:color w:val="auto"/>
              </w:rPr>
              <w:t>206,000</w:t>
            </w:r>
          </w:p>
        </w:tc>
        <w:tc>
          <w:tcPr>
            <w:tcW w:w="7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4"/>
          </w:tcPr>
          <w:p>
            <w:pPr>
              <w:ind w:left="280"/>
              <w:spacing w:after="0" w:line="159" w:lineRule="exact"/>
              <w:rPr>
                <w:sz w:val="20"/>
                <w:szCs w:val="20"/>
                <w:color w:val="auto"/>
              </w:rPr>
            </w:pPr>
            <w:r>
              <w:rPr>
                <w:rFonts w:ascii="Arial" w:cs="Arial" w:eastAsia="Arial" w:hAnsi="Arial"/>
                <w:sz w:val="14"/>
                <w:szCs w:val="14"/>
                <w:color w:val="auto"/>
              </w:rPr>
              <w:t>5.94</w:t>
            </w:r>
          </w:p>
        </w:tc>
        <w:tc>
          <w:tcPr>
            <w:tcW w:w="240" w:type="dxa"/>
            <w:vAlign w:val="bottom"/>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6"/>
        </w:trPr>
        <w:tc>
          <w:tcPr>
            <w:tcW w:w="2380" w:type="dxa"/>
            <w:vAlign w:val="bottom"/>
          </w:tcPr>
          <w:p>
            <w:pPr>
              <w:ind w:left="100"/>
              <w:spacing w:after="0"/>
              <w:rPr>
                <w:sz w:val="20"/>
                <w:szCs w:val="20"/>
                <w:color w:val="auto"/>
              </w:rPr>
            </w:pPr>
            <w:r>
              <w:rPr>
                <w:rFonts w:ascii="Arial" w:cs="Arial" w:eastAsia="Arial" w:hAnsi="Arial"/>
                <w:sz w:val="14"/>
                <w:szCs w:val="14"/>
                <w:color w:val="auto"/>
              </w:rPr>
              <w:t>Exercised</w:t>
            </w:r>
          </w:p>
        </w:tc>
        <w:tc>
          <w:tcPr>
            <w:tcW w:w="1360" w:type="dxa"/>
            <w:vAlign w:val="bottom"/>
            <w:gridSpan w:val="4"/>
          </w:tcPr>
          <w:p>
            <w:pPr>
              <w:jc w:val="right"/>
              <w:ind w:right="70"/>
              <w:spacing w:after="0"/>
              <w:rPr>
                <w:sz w:val="20"/>
                <w:szCs w:val="20"/>
                <w:color w:val="auto"/>
              </w:rPr>
            </w:pPr>
            <w:r>
              <w:rPr>
                <w:rFonts w:ascii="Arial" w:cs="Arial" w:eastAsia="Arial" w:hAnsi="Arial"/>
                <w:sz w:val="14"/>
                <w:szCs w:val="14"/>
                <w:color w:val="auto"/>
              </w:rPr>
              <w:t>(136,000)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80"/>
              <w:spacing w:after="0"/>
              <w:rPr>
                <w:sz w:val="20"/>
                <w:szCs w:val="20"/>
                <w:color w:val="auto"/>
              </w:rPr>
            </w:pPr>
            <w:r>
              <w:rPr>
                <w:rFonts w:ascii="Arial" w:cs="Arial" w:eastAsia="Arial" w:hAnsi="Arial"/>
                <w:sz w:val="14"/>
                <w:szCs w:val="14"/>
                <w:color w:val="auto"/>
              </w:rPr>
              <w:t>4.68</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2"/>
        </w:trPr>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Expired</w:t>
            </w:r>
          </w:p>
        </w:tc>
        <w:tc>
          <w:tcPr>
            <w:tcW w:w="13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color w:val="auto"/>
              </w:rPr>
              <w:t>(20,000)</w:t>
            </w: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3.75</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70"/>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 December 31, 2012</w:t>
            </w:r>
          </w:p>
        </w:tc>
        <w:tc>
          <w:tcPr>
            <w:tcW w:w="1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color w:val="auto"/>
              </w:rPr>
              <w:t>672,350</w:t>
            </w: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6.24</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9.90</w:t>
            </w: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546,350</w:t>
            </w:r>
          </w:p>
        </w:tc>
        <w:tc>
          <w:tcPr>
            <w:tcW w:w="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185,100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9.90</w:t>
            </w:r>
          </w:p>
        </w:tc>
      </w:tr>
      <w:tr>
        <w:trPr>
          <w:trHeight w:val="160"/>
        </w:trPr>
        <w:tc>
          <w:tcPr>
            <w:tcW w:w="2380" w:type="dxa"/>
            <w:vAlign w:val="bottom"/>
          </w:tcPr>
          <w:p>
            <w:pPr>
              <w:ind w:left="100"/>
              <w:spacing w:after="0" w:line="159" w:lineRule="exact"/>
              <w:rPr>
                <w:sz w:val="20"/>
                <w:szCs w:val="20"/>
                <w:color w:val="auto"/>
              </w:rPr>
            </w:pPr>
            <w:r>
              <w:rPr>
                <w:rFonts w:ascii="Arial" w:cs="Arial" w:eastAsia="Arial" w:hAnsi="Arial"/>
                <w:sz w:val="14"/>
                <w:szCs w:val="14"/>
                <w:color w:val="auto"/>
              </w:rPr>
              <w:t>Granted</w:t>
            </w:r>
          </w:p>
        </w:tc>
        <w:tc>
          <w:tcPr>
            <w:tcW w:w="1360" w:type="dxa"/>
            <w:vAlign w:val="bottom"/>
            <w:gridSpan w:val="4"/>
          </w:tcPr>
          <w:p>
            <w:pPr>
              <w:jc w:val="right"/>
              <w:ind w:right="90"/>
              <w:spacing w:after="0" w:line="159" w:lineRule="exact"/>
              <w:rPr>
                <w:sz w:val="20"/>
                <w:szCs w:val="20"/>
                <w:color w:val="auto"/>
              </w:rPr>
            </w:pPr>
            <w:r>
              <w:rPr>
                <w:rFonts w:ascii="Arial" w:cs="Arial" w:eastAsia="Arial" w:hAnsi="Arial"/>
                <w:sz w:val="14"/>
                <w:szCs w:val="14"/>
                <w:color w:val="auto"/>
              </w:rPr>
              <w:t>175,000</w:t>
            </w:r>
          </w:p>
        </w:tc>
        <w:tc>
          <w:tcPr>
            <w:tcW w:w="7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4"/>
          </w:tcPr>
          <w:p>
            <w:pPr>
              <w:ind w:left="280"/>
              <w:spacing w:after="0" w:line="159" w:lineRule="exact"/>
              <w:rPr>
                <w:sz w:val="20"/>
                <w:szCs w:val="20"/>
                <w:color w:val="auto"/>
              </w:rPr>
            </w:pPr>
            <w:r>
              <w:rPr>
                <w:rFonts w:ascii="Arial" w:cs="Arial" w:eastAsia="Arial" w:hAnsi="Arial"/>
                <w:sz w:val="14"/>
                <w:szCs w:val="14"/>
                <w:color w:val="auto"/>
              </w:rPr>
              <w:t>6.19</w:t>
            </w:r>
          </w:p>
        </w:tc>
        <w:tc>
          <w:tcPr>
            <w:tcW w:w="240" w:type="dxa"/>
            <w:vAlign w:val="bottom"/>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2"/>
        </w:trPr>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Exercised</w:t>
            </w:r>
          </w:p>
        </w:tc>
        <w:tc>
          <w:tcPr>
            <w:tcW w:w="13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color w:val="auto"/>
              </w:rPr>
              <w:t>(137,500)</w:t>
            </w: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74"/>
        </w:trPr>
        <w:tc>
          <w:tcPr>
            <w:tcW w:w="2380" w:type="dxa"/>
            <w:vAlign w:val="bottom"/>
          </w:tcPr>
          <w:p>
            <w:pPr>
              <w:spacing w:after="0"/>
              <w:rPr>
                <w:sz w:val="20"/>
                <w:szCs w:val="20"/>
                <w:color w:val="auto"/>
              </w:rPr>
            </w:pPr>
            <w:r>
              <w:rPr>
                <w:rFonts w:ascii="Arial" w:cs="Arial" w:eastAsia="Arial" w:hAnsi="Arial"/>
                <w:sz w:val="14"/>
                <w:szCs w:val="14"/>
                <w:color w:val="auto"/>
              </w:rPr>
              <w:t>Outstanding - December 31, 2013</w:t>
            </w:r>
          </w:p>
        </w:tc>
        <w:tc>
          <w:tcPr>
            <w:tcW w:w="1360" w:type="dxa"/>
            <w:vAlign w:val="bottom"/>
            <w:gridSpan w:val="4"/>
          </w:tcPr>
          <w:p>
            <w:pPr>
              <w:jc w:val="right"/>
              <w:ind w:right="90"/>
              <w:spacing w:after="0"/>
              <w:rPr>
                <w:sz w:val="20"/>
                <w:szCs w:val="20"/>
                <w:color w:val="auto"/>
              </w:rPr>
            </w:pPr>
            <w:r>
              <w:rPr>
                <w:rFonts w:ascii="Arial" w:cs="Arial" w:eastAsia="Arial" w:hAnsi="Arial"/>
                <w:sz w:val="14"/>
                <w:szCs w:val="14"/>
                <w:color w:val="auto"/>
              </w:rPr>
              <w:t>709,850</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185,100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80"/>
              <w:spacing w:after="0"/>
              <w:rPr>
                <w:sz w:val="20"/>
                <w:szCs w:val="20"/>
                <w:color w:val="auto"/>
              </w:rPr>
            </w:pPr>
            <w:r>
              <w:rPr>
                <w:rFonts w:ascii="Arial" w:cs="Arial" w:eastAsia="Arial" w:hAnsi="Arial"/>
                <w:sz w:val="14"/>
                <w:szCs w:val="14"/>
                <w:color w:val="auto"/>
              </w:rPr>
              <w:t>6.66</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9.90</w:t>
            </w:r>
          </w:p>
        </w:tc>
        <w:tc>
          <w:tcPr>
            <w:tcW w:w="800" w:type="dxa"/>
            <w:vAlign w:val="bottom"/>
            <w:gridSpan w:val="4"/>
          </w:tcPr>
          <w:p>
            <w:pPr>
              <w:jc w:val="right"/>
              <w:ind w:right="100"/>
              <w:spacing w:after="0"/>
              <w:rPr>
                <w:sz w:val="20"/>
                <w:szCs w:val="20"/>
                <w:color w:val="auto"/>
              </w:rPr>
            </w:pPr>
            <w:r>
              <w:rPr>
                <w:rFonts w:ascii="Arial" w:cs="Arial" w:eastAsia="Arial" w:hAnsi="Arial"/>
                <w:sz w:val="14"/>
                <w:szCs w:val="14"/>
                <w:color w:val="auto"/>
              </w:rPr>
              <w:t>490,350</w:t>
            </w:r>
          </w:p>
        </w:tc>
        <w:tc>
          <w:tcPr>
            <w:tcW w:w="780" w:type="dxa"/>
            <w:vAlign w:val="bottom"/>
            <w:gridSpan w:val="4"/>
          </w:tcPr>
          <w:p>
            <w:pPr>
              <w:jc w:val="right"/>
              <w:ind w:right="60"/>
              <w:spacing w:after="0"/>
              <w:rPr>
                <w:sz w:val="20"/>
                <w:szCs w:val="20"/>
                <w:color w:val="auto"/>
              </w:rPr>
            </w:pPr>
            <w:r>
              <w:rPr>
                <w:rFonts w:ascii="Arial" w:cs="Arial" w:eastAsia="Arial" w:hAnsi="Arial"/>
                <w:sz w:val="14"/>
                <w:szCs w:val="14"/>
                <w:color w:val="auto"/>
              </w:rPr>
              <w:t>185,100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6.85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5"/>
          </w:tcPr>
          <w:p>
            <w:pPr>
              <w:jc w:val="right"/>
              <w:ind w:right="20"/>
              <w:spacing w:after="0"/>
              <w:rPr>
                <w:sz w:val="20"/>
                <w:szCs w:val="20"/>
                <w:color w:val="auto"/>
              </w:rPr>
            </w:pPr>
            <w:r>
              <w:rPr>
                <w:rFonts w:ascii="Arial" w:cs="Arial" w:eastAsia="Arial" w:hAnsi="Arial"/>
                <w:sz w:val="14"/>
                <w:szCs w:val="14"/>
                <w:color w:val="auto"/>
              </w:rPr>
              <w:t>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583247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32475" cy="14605"/>
                    </a:xfrm>
                    <a:prstGeom prst="rect">
                      <a:avLst/>
                    </a:prstGeom>
                    <a:noFill/>
                  </pic:spPr>
                </pic:pic>
              </a:graphicData>
            </a:graphic>
          </wp:anchor>
        </w:drawing>
      </w:r>
    </w:p>
    <w:p>
      <w:pPr>
        <w:jc w:val="both"/>
        <w:ind w:firstLine="564"/>
        <w:spacing w:after="0" w:line="255" w:lineRule="auto"/>
        <w:rPr>
          <w:sz w:val="20"/>
          <w:szCs w:val="20"/>
          <w:color w:val="auto"/>
        </w:rPr>
      </w:pPr>
      <w:r>
        <w:rPr>
          <w:rFonts w:ascii="Arial" w:cs="Arial" w:eastAsia="Arial" w:hAnsi="Arial"/>
          <w:sz w:val="16"/>
          <w:szCs w:val="16"/>
          <w:color w:val="auto"/>
        </w:rPr>
        <w:t>The weighted average remaining contractual life of all options outstanding, vested and expected to vest, at December 31, 2013 and 2012 were approximately 4.70 and 5.32 years, respectively. The weighted average remaining contractual life of the exercisable options outstanding at December 31, 2013 and 2012 was approximately 3.63 and 4.28 years, respectively.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4 – Earnings (Loss) Per Share</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For the three years ended December 31, 2013, we calculated the following earnings (loss) per share (dollars 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2011</w:t>
            </w:r>
          </w:p>
        </w:tc>
      </w:tr>
      <w:tr>
        <w:trPr>
          <w:trHeight w:val="168"/>
        </w:trPr>
        <w:tc>
          <w:tcPr>
            <w:tcW w:w="5600" w:type="dxa"/>
            <w:vAlign w:val="bottom"/>
          </w:tcPr>
          <w:p>
            <w:pPr>
              <w:spacing w:after="0"/>
              <w:rPr>
                <w:sz w:val="20"/>
                <w:szCs w:val="20"/>
                <w:color w:val="auto"/>
              </w:rPr>
            </w:pPr>
            <w:r>
              <w:rPr>
                <w:rFonts w:ascii="Arial" w:cs="Arial" w:eastAsia="Arial" w:hAnsi="Arial"/>
                <w:sz w:val="14"/>
                <w:szCs w:val="14"/>
                <w:color w:val="auto"/>
              </w:rPr>
              <w:t>Income (loss) from continuing operations</w:t>
            </w:r>
          </w:p>
        </w:tc>
        <w:tc>
          <w:tcPr>
            <w:tcW w:w="3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9,041</w:t>
            </w:r>
          </w:p>
        </w:tc>
        <w:tc>
          <w:tcPr>
            <w:tcW w:w="3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(509)</w:t>
            </w:r>
          </w:p>
        </w:tc>
        <w:tc>
          <w:tcPr>
            <w:tcW w:w="3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8,068</w:t>
            </w:r>
          </w:p>
        </w:tc>
      </w:tr>
      <w:tr>
        <w:trPr>
          <w:trHeight w:val="18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(loss) from discontinued operations</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w:t>
            </w:r>
          </w:p>
        </w:tc>
      </w:tr>
      <w:tr>
        <w:trPr>
          <w:trHeight w:val="322"/>
        </w:trPr>
        <w:tc>
          <w:tcPr>
            <w:tcW w:w="5600" w:type="dxa"/>
            <w:vAlign w:val="bottom"/>
          </w:tcPr>
          <w:p>
            <w:pPr>
              <w:spacing w:after="0"/>
              <w:rPr>
                <w:sz w:val="20"/>
                <w:szCs w:val="20"/>
                <w:color w:val="auto"/>
              </w:rPr>
            </w:pPr>
            <w:r>
              <w:rPr>
                <w:rFonts w:ascii="Arial" w:cs="Arial" w:eastAsia="Arial" w:hAnsi="Arial"/>
                <w:sz w:val="14"/>
                <w:szCs w:val="14"/>
                <w:color w:val="auto"/>
              </w:rPr>
              <w:t>Net income (loss) attributable to Reading International, Inc. common shareholders</w:t>
            </w:r>
          </w:p>
        </w:tc>
        <w:tc>
          <w:tcPr>
            <w:tcW w:w="3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9,041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(914)</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9,956</w:t>
            </w:r>
          </w:p>
        </w:tc>
      </w:tr>
      <w:tr>
        <w:trPr>
          <w:trHeight w:val="176"/>
        </w:trPr>
        <w:tc>
          <w:tcPr>
            <w:tcW w:w="5600" w:type="dxa"/>
            <w:vAlign w:val="bottom"/>
          </w:tcPr>
          <w:p>
            <w:pPr>
              <w:spacing w:after="0"/>
              <w:rPr>
                <w:sz w:val="20"/>
                <w:szCs w:val="20"/>
                <w:color w:val="auto"/>
              </w:rPr>
            </w:pPr>
            <w:r>
              <w:rPr>
                <w:rFonts w:ascii="Arial" w:cs="Arial" w:eastAsia="Arial" w:hAnsi="Arial"/>
                <w:sz w:val="14"/>
                <w:szCs w:val="14"/>
                <w:b w:val="1"/>
                <w:bCs w:val="1"/>
                <w:color w:val="auto"/>
                <w:w w:val="96"/>
              </w:rPr>
              <w:t>Basic  income  (loss)  per  common  share  attributable  to  Reading  International,  Inc.</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60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600" w:type="dxa"/>
            <w:vAlign w:val="bottom"/>
          </w:tcPr>
          <w:p>
            <w:pPr>
              <w:spacing w:after="0"/>
              <w:rPr>
                <w:sz w:val="20"/>
                <w:szCs w:val="20"/>
                <w:color w:val="auto"/>
              </w:rPr>
            </w:pPr>
            <w:r>
              <w:rPr>
                <w:rFonts w:ascii="Arial" w:cs="Arial" w:eastAsia="Arial" w:hAnsi="Arial"/>
                <w:sz w:val="14"/>
                <w:szCs w:val="14"/>
                <w:color w:val="auto"/>
              </w:rPr>
              <w:t>Earnings (loss) from continuing operations</w:t>
            </w:r>
          </w:p>
        </w:tc>
        <w:tc>
          <w:tcPr>
            <w:tcW w:w="3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0.39</w:t>
            </w:r>
          </w:p>
        </w:tc>
        <w:tc>
          <w:tcPr>
            <w:tcW w:w="3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0.36</w:t>
            </w:r>
          </w:p>
        </w:tc>
      </w:tr>
      <w:tr>
        <w:trPr>
          <w:trHeight w:val="18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(loss) from discontinued operations, net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r>
      <w:tr>
        <w:trPr>
          <w:trHeight w:val="158"/>
        </w:trPr>
        <w:tc>
          <w:tcPr>
            <w:tcW w:w="5600" w:type="dxa"/>
            <w:vAlign w:val="bottom"/>
          </w:tcPr>
          <w:p>
            <w:pPr>
              <w:spacing w:after="0" w:line="158" w:lineRule="exact"/>
              <w:rPr>
                <w:sz w:val="20"/>
                <w:szCs w:val="20"/>
                <w:color w:val="auto"/>
              </w:rPr>
            </w:pPr>
            <w:r>
              <w:rPr>
                <w:rFonts w:ascii="Arial" w:cs="Arial" w:eastAsia="Arial" w:hAnsi="Arial"/>
                <w:sz w:val="14"/>
                <w:szCs w:val="14"/>
                <w:color w:val="auto"/>
              </w:rPr>
              <w:t>Basic income (loss) per share attributable to Reading International, Inc. shareholders</w:t>
            </w:r>
          </w:p>
        </w:tc>
        <w:tc>
          <w:tcPr>
            <w:tcW w:w="320" w:type="dxa"/>
            <w:vAlign w:val="bottom"/>
          </w:tcPr>
          <w:p>
            <w:pPr>
              <w:jc w:val="right"/>
              <w:ind w:right="9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line="158" w:lineRule="exact"/>
              <w:rPr>
                <w:sz w:val="20"/>
                <w:szCs w:val="20"/>
                <w:color w:val="auto"/>
              </w:rPr>
            </w:pPr>
            <w:r>
              <w:rPr>
                <w:rFonts w:ascii="Arial" w:cs="Arial" w:eastAsia="Arial" w:hAnsi="Arial"/>
                <w:sz w:val="14"/>
                <w:szCs w:val="14"/>
                <w:color w:val="auto"/>
              </w:rPr>
              <w:t>0.39</w:t>
            </w:r>
          </w:p>
        </w:tc>
        <w:tc>
          <w:tcPr>
            <w:tcW w:w="300" w:type="dxa"/>
            <w:vAlign w:val="bottom"/>
          </w:tcPr>
          <w:p>
            <w:pPr>
              <w:jc w:val="right"/>
              <w:ind w:right="90"/>
              <w:spacing w:after="0" w:line="15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(0.04)</w:t>
            </w:r>
          </w:p>
        </w:tc>
        <w:tc>
          <w:tcPr>
            <w:tcW w:w="320" w:type="dxa"/>
            <w:vAlign w:val="bottom"/>
          </w:tcPr>
          <w:p>
            <w:pPr>
              <w:jc w:val="right"/>
              <w:ind w:right="110"/>
              <w:spacing w:after="0" w:line="15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0.44</w:t>
            </w:r>
          </w:p>
        </w:tc>
      </w:tr>
      <w:tr>
        <w:trPr>
          <w:trHeight w:val="176"/>
        </w:trPr>
        <w:tc>
          <w:tcPr>
            <w:tcW w:w="5600" w:type="dxa"/>
            <w:vAlign w:val="bottom"/>
          </w:tcPr>
          <w:p>
            <w:pPr>
              <w:spacing w:after="0"/>
              <w:rPr>
                <w:sz w:val="20"/>
                <w:szCs w:val="20"/>
                <w:color w:val="auto"/>
              </w:rPr>
            </w:pPr>
            <w:r>
              <w:rPr>
                <w:rFonts w:ascii="Arial" w:cs="Arial" w:eastAsia="Arial" w:hAnsi="Arial"/>
                <w:sz w:val="14"/>
                <w:szCs w:val="14"/>
                <w:b w:val="1"/>
                <w:bCs w:val="1"/>
                <w:color w:val="auto"/>
              </w:rPr>
              <w:t>Diluted income (loss) per common share attributable to Reading International, Inc.</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60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600" w:type="dxa"/>
            <w:vAlign w:val="bottom"/>
          </w:tcPr>
          <w:p>
            <w:pPr>
              <w:spacing w:after="0"/>
              <w:rPr>
                <w:sz w:val="20"/>
                <w:szCs w:val="20"/>
                <w:color w:val="auto"/>
              </w:rPr>
            </w:pPr>
            <w:r>
              <w:rPr>
                <w:rFonts w:ascii="Arial" w:cs="Arial" w:eastAsia="Arial" w:hAnsi="Arial"/>
                <w:sz w:val="14"/>
                <w:szCs w:val="14"/>
                <w:color w:val="auto"/>
              </w:rPr>
              <w:t>Earnings (loss) from continuing operations</w:t>
            </w:r>
          </w:p>
        </w:tc>
        <w:tc>
          <w:tcPr>
            <w:tcW w:w="3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0.38</w:t>
            </w:r>
          </w:p>
        </w:tc>
        <w:tc>
          <w:tcPr>
            <w:tcW w:w="3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18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Earnings (loss) from discontinued operations, net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r>
      <w:tr>
        <w:trPr>
          <w:trHeight w:val="327"/>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income (loss) per share attributable to Reading International, Inc. shareholders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0.38</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r>
      <w:tr>
        <w:trPr>
          <w:trHeight w:val="168"/>
        </w:trPr>
        <w:tc>
          <w:tcPr>
            <w:tcW w:w="5600" w:type="dxa"/>
            <w:vAlign w:val="bottom"/>
          </w:tcPr>
          <w:p>
            <w:pPr>
              <w:spacing w:after="0"/>
              <w:rPr>
                <w:sz w:val="20"/>
                <w:szCs w:val="20"/>
                <w:color w:val="auto"/>
              </w:rPr>
            </w:pPr>
            <w:r>
              <w:rPr>
                <w:rFonts w:ascii="Arial" w:cs="Arial" w:eastAsia="Arial" w:hAnsi="Arial"/>
                <w:sz w:val="14"/>
                <w:szCs w:val="14"/>
                <w:color w:val="auto"/>
              </w:rPr>
              <w:t>Weighted average shares of common stock – basic</w:t>
            </w:r>
          </w:p>
        </w:tc>
        <w:tc>
          <w:tcPr>
            <w:tcW w:w="320" w:type="dxa"/>
            <w:vAlign w:val="bottom"/>
          </w:tcPr>
          <w:p>
            <w:pPr>
              <w:spacing w:after="0"/>
              <w:rPr>
                <w:sz w:val="14"/>
                <w:szCs w:val="14"/>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23,348,003</w:t>
            </w:r>
          </w:p>
        </w:tc>
        <w:tc>
          <w:tcPr>
            <w:tcW w:w="30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23,028,596</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22,764,666</w:t>
            </w:r>
          </w:p>
        </w:tc>
      </w:t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Weighted average shares of common stock – diluted</w:t>
            </w:r>
          </w:p>
        </w:tc>
        <w:tc>
          <w:tcPr>
            <w:tcW w:w="320" w:type="dxa"/>
            <w:vAlign w:val="bottom"/>
          </w:tcPr>
          <w:p>
            <w:pPr>
              <w:spacing w:after="0"/>
              <w:rPr>
                <w:sz w:val="15"/>
                <w:szCs w:val="15"/>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23,520,271</w:t>
            </w:r>
          </w:p>
        </w:tc>
        <w:tc>
          <w:tcPr>
            <w:tcW w:w="30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23,028,596</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22,993,135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583247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32475" cy="14605"/>
                    </a:xfrm>
                    <a:prstGeom prst="rect">
                      <a:avLst/>
                    </a:prstGeom>
                    <a:noFill/>
                  </pic:spPr>
                </pic:pic>
              </a:graphicData>
            </a:graphic>
          </wp:anchor>
        </w:drawing>
      </w:r>
    </w:p>
    <w:p>
      <w:pPr>
        <w:spacing w:after="0" w:line="8"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For the years ended December 31, 2013 and 2011, the weighted average common stock – dilutive included 172,268 and 228,469, respectively, of incremental shares of exercisable in-the-money stock options and unissued restricted Class A Stock. For the year ended December 31, 2012, we recorded a loss from continuing operations. As such, the 284,054 of incremental shares of exercisable in-the-money stock options and unissued restricted Class A Stock were excluded from the computation of diluted loss per share because they were anti-dilutive in that period. In addition, 847,891, 791,286, and 734,906 of out-of-the-money stock options were excluded from the computation of diluted earnings (loss) per share for the years ended December 31, 2013, 2012, and 2011, respectively. The total number of in-the-money stock options, out-of-the-money stock options, and unissued restricted Class A Stock that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777" w:right="1359" w:bottom="1440" w:gutter="0" w:footer="0" w:header="0"/>
        </w:sectPr>
      </w:pPr>
    </w:p>
    <w:bookmarkStart w:id="72" w:name="page73"/>
    <w:bookmarkEnd w:id="72"/>
    <w:p>
      <w:pPr>
        <w:spacing w:after="0" w:line="265" w:lineRule="auto"/>
        <w:rPr>
          <w:sz w:val="20"/>
          <w:szCs w:val="20"/>
          <w:color w:val="auto"/>
        </w:rPr>
      </w:pPr>
      <w:r>
        <w:rPr>
          <w:rFonts w:ascii="Arial" w:cs="Arial" w:eastAsia="Arial" w:hAnsi="Arial"/>
          <w:sz w:val="16"/>
          <w:szCs w:val="16"/>
          <w:color w:val="auto"/>
        </w:rPr>
        <w:t>could potentially dilute basic earnings per share was 1,020,159, 1,075,340, and 963,375 for the years ended December 31, 2013, 2012, and 2011,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5 – Prepaid and Other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Pr>
          <w:p>
            <w:pPr>
              <w:ind w:left="560"/>
              <w:spacing w:after="0"/>
              <w:rPr>
                <w:sz w:val="20"/>
                <w:szCs w:val="20"/>
                <w:color w:val="auto"/>
              </w:rPr>
            </w:pPr>
            <w:r>
              <w:rPr>
                <w:rFonts w:ascii="Arial" w:cs="Arial" w:eastAsia="Arial" w:hAnsi="Arial"/>
                <w:sz w:val="16"/>
                <w:szCs w:val="16"/>
                <w:color w:val="auto"/>
                <w:w w:val="93"/>
              </w:rPr>
              <w:t>Prepaid and other assets are summarized as follows (dollars in thousands):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70"/>
        </w:trPr>
        <w:tc>
          <w:tcPr>
            <w:tcW w:w="5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07"/>
        </w:trPr>
        <w:tc>
          <w:tcPr>
            <w:tcW w:w="5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2012</w:t>
            </w:r>
          </w:p>
        </w:tc>
      </w:tr>
      <w:tr>
        <w:trPr>
          <w:trHeight w:val="175"/>
        </w:trPr>
        <w:tc>
          <w:tcPr>
            <w:tcW w:w="5580" w:type="dxa"/>
            <w:vAlign w:val="bottom"/>
          </w:tcPr>
          <w:p>
            <w:pPr>
              <w:spacing w:after="0" w:line="175" w:lineRule="exact"/>
              <w:rPr>
                <w:sz w:val="20"/>
                <w:szCs w:val="20"/>
                <w:color w:val="auto"/>
              </w:rPr>
            </w:pPr>
            <w:r>
              <w:rPr>
                <w:rFonts w:ascii="Arial" w:cs="Arial" w:eastAsia="Arial" w:hAnsi="Arial"/>
                <w:sz w:val="16"/>
                <w:szCs w:val="16"/>
                <w:b w:val="1"/>
                <w:bCs w:val="1"/>
                <w:color w:val="auto"/>
              </w:rPr>
              <w:t>Prepaid and other current assets</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138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1,079</w:t>
            </w:r>
          </w:p>
        </w:tc>
        <w:tc>
          <w:tcPr>
            <w:tcW w:w="6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Prepaid taxes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623</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Prepaid rent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1,210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Deposits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368</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00"/>
        </w:trPr>
        <w:tc>
          <w:tcPr>
            <w:tcW w:w="5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184"/>
        </w:trPr>
        <w:tc>
          <w:tcPr>
            <w:tcW w:w="5580" w:type="dxa"/>
            <w:vAlign w:val="bottom"/>
            <w:tcBorders>
              <w:bottom w:val="single" w:sz="8" w:color="auto"/>
            </w:tcBorders>
          </w:tcPr>
          <w:p>
            <w:pPr>
              <w:ind w:left="180"/>
              <w:spacing w:after="0" w:line="181" w:lineRule="exact"/>
              <w:rPr>
                <w:sz w:val="20"/>
                <w:szCs w:val="20"/>
                <w:color w:val="auto"/>
              </w:rPr>
            </w:pPr>
            <w:r>
              <w:rPr>
                <w:rFonts w:ascii="Arial" w:cs="Arial" w:eastAsia="Arial" w:hAnsi="Arial"/>
                <w:sz w:val="16"/>
                <w:szCs w:val="16"/>
                <w:color w:val="auto"/>
              </w:rPr>
              <w:t>Total prepaid and other current assets</w:t>
            </w:r>
          </w:p>
        </w:tc>
        <w:tc>
          <w:tcPr>
            <w:tcW w:w="1380" w:type="dxa"/>
            <w:vAlign w:val="bottom"/>
            <w:tcBorders>
              <w:bottom w:val="single" w:sz="8" w:color="auto"/>
            </w:tcBorders>
            <w:gridSpan w:val="2"/>
          </w:tcPr>
          <w:p>
            <w:pPr>
              <w:jc w:val="right"/>
              <w:ind w:right="960"/>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3,283</w:t>
            </w:r>
          </w:p>
        </w:tc>
        <w:tc>
          <w:tcPr>
            <w:tcW w:w="64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3,576</w:t>
            </w:r>
          </w:p>
        </w:tc>
      </w:tr>
      <w:tr>
        <w:trPr>
          <w:trHeight w:val="270"/>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non-current assets</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168"/>
        </w:trPr>
        <w:tc>
          <w:tcPr>
            <w:tcW w:w="5580" w:type="dxa"/>
            <w:vAlign w:val="bottom"/>
          </w:tcPr>
          <w:p>
            <w:pPr>
              <w:ind w:left="100"/>
              <w:spacing w:after="0" w:line="168" w:lineRule="exact"/>
              <w:rPr>
                <w:sz w:val="20"/>
                <w:szCs w:val="20"/>
                <w:color w:val="auto"/>
              </w:rPr>
            </w:pPr>
            <w:r>
              <w:rPr>
                <w:rFonts w:ascii="Arial" w:cs="Arial" w:eastAsia="Arial" w:hAnsi="Arial"/>
                <w:sz w:val="16"/>
                <w:szCs w:val="16"/>
                <w:color w:val="auto"/>
              </w:rPr>
              <w:t>Other non-cinema and non-rental real estate assets</w:t>
            </w:r>
          </w:p>
        </w:tc>
        <w:tc>
          <w:tcPr>
            <w:tcW w:w="1380" w:type="dxa"/>
            <w:vAlign w:val="bottom"/>
            <w:gridSpan w:val="2"/>
          </w:tcPr>
          <w:p>
            <w:pPr>
              <w:jc w:val="right"/>
              <w:ind w:right="960"/>
              <w:spacing w:after="0" w:line="168"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line="168" w:lineRule="exact"/>
              <w:rPr>
                <w:sz w:val="20"/>
                <w:szCs w:val="20"/>
                <w:color w:val="auto"/>
              </w:rPr>
            </w:pPr>
            <w:r>
              <w:rPr>
                <w:rFonts w:ascii="Arial" w:cs="Arial" w:eastAsia="Arial" w:hAnsi="Arial"/>
                <w:sz w:val="16"/>
                <w:szCs w:val="16"/>
                <w:color w:val="auto"/>
              </w:rPr>
              <w:t>1,134</w:t>
            </w:r>
          </w:p>
        </w:tc>
        <w:tc>
          <w:tcPr>
            <w:tcW w:w="640" w:type="dxa"/>
            <w:vAlign w:val="bottom"/>
          </w:tcPr>
          <w:p>
            <w:pPr>
              <w:jc w:val="right"/>
              <w:ind w:right="362"/>
              <w:spacing w:after="0" w:line="168"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8" w:lineRule="exact"/>
              <w:rPr>
                <w:sz w:val="20"/>
                <w:szCs w:val="20"/>
                <w:color w:val="auto"/>
              </w:rPr>
            </w:pPr>
            <w:r>
              <w:rPr>
                <w:rFonts w:ascii="Arial" w:cs="Arial" w:eastAsia="Arial" w:hAnsi="Arial"/>
                <w:sz w:val="16"/>
                <w:szCs w:val="16"/>
                <w:color w:val="auto"/>
              </w:rPr>
              <w:t>1,134</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Long-term deposits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144</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Deferred financing costs, net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1,833</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2,230</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Interest rate cap at fair value</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Note receivable</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Tenant inducement asset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512</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188"/>
        </w:trPr>
        <w:tc>
          <w:tcPr>
            <w:tcW w:w="5580" w:type="dxa"/>
            <w:vAlign w:val="bottom"/>
          </w:tcPr>
          <w:p>
            <w:pPr>
              <w:ind w:left="100"/>
              <w:spacing w:after="0"/>
              <w:rPr>
                <w:sz w:val="20"/>
                <w:szCs w:val="20"/>
                <w:color w:val="auto"/>
              </w:rPr>
            </w:pPr>
            <w:r>
              <w:rPr>
                <w:rFonts w:ascii="Arial" w:cs="Arial" w:eastAsia="Arial" w:hAnsi="Arial"/>
                <w:sz w:val="16"/>
                <w:szCs w:val="16"/>
                <w:color w:val="auto"/>
              </w:rPr>
              <w:t>Straight-line rent asset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2,310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2,775</w:t>
            </w:r>
          </w:p>
        </w:tc>
      </w:tr>
      <w:tr>
        <w:trPr>
          <w:trHeight w:val="200"/>
        </w:trPr>
        <w:tc>
          <w:tcPr>
            <w:tcW w:w="5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4"/>
        </w:trPr>
        <w:tc>
          <w:tcPr>
            <w:tcW w:w="5580" w:type="dxa"/>
            <w:vAlign w:val="bottom"/>
            <w:tcBorders>
              <w:bottom w:val="single" w:sz="8" w:color="auto"/>
            </w:tcBorders>
          </w:tcPr>
          <w:p>
            <w:pPr>
              <w:ind w:left="180"/>
              <w:spacing w:after="0" w:line="181" w:lineRule="exact"/>
              <w:rPr>
                <w:sz w:val="20"/>
                <w:szCs w:val="20"/>
                <w:color w:val="auto"/>
              </w:rPr>
            </w:pPr>
            <w:r>
              <w:rPr>
                <w:rFonts w:ascii="Arial" w:cs="Arial" w:eastAsia="Arial" w:hAnsi="Arial"/>
                <w:sz w:val="16"/>
                <w:szCs w:val="16"/>
                <w:color w:val="auto"/>
              </w:rPr>
              <w:t>Total non-current assets</w:t>
            </w:r>
          </w:p>
        </w:tc>
        <w:tc>
          <w:tcPr>
            <w:tcW w:w="1380" w:type="dxa"/>
            <w:vAlign w:val="bottom"/>
            <w:tcBorders>
              <w:bottom w:val="single" w:sz="8" w:color="auto"/>
            </w:tcBorders>
            <w:gridSpan w:val="2"/>
          </w:tcPr>
          <w:p>
            <w:pPr>
              <w:jc w:val="right"/>
              <w:ind w:right="960"/>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6,010</w:t>
            </w:r>
          </w:p>
        </w:tc>
        <w:tc>
          <w:tcPr>
            <w:tcW w:w="64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9,069</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6 – Operating Property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Property associated with our operating activities is summarized as follows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vMerge w:val="restart"/>
          </w:tcPr>
          <w:p>
            <w:pPr>
              <w:spacing w:after="0"/>
              <w:rPr>
                <w:sz w:val="20"/>
                <w:szCs w:val="20"/>
                <w:color w:val="auto"/>
              </w:rPr>
            </w:pPr>
            <w:r>
              <w:rPr>
                <w:rFonts w:ascii="Arial" w:cs="Arial" w:eastAsia="Arial" w:hAnsi="Arial"/>
                <w:sz w:val="16"/>
                <w:szCs w:val="16"/>
                <w:b w:val="1"/>
                <w:bCs w:val="1"/>
                <w:color w:val="auto"/>
              </w:rPr>
              <w:t>Operating property</w:t>
            </w:r>
          </w:p>
        </w:tc>
        <w:tc>
          <w:tcPr>
            <w:tcW w:w="1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60" w:type="dxa"/>
            <w:vAlign w:val="bottom"/>
            <w:tcBorders>
              <w:bottom w:val="single" w:sz="8" w:color="auto"/>
            </w:tcBorders>
            <w:vMerge w:val="continue"/>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2"/>
              <w:spacing w:after="0" w:line="181" w:lineRule="exact"/>
              <w:rPr>
                <w:sz w:val="20"/>
                <w:szCs w:val="20"/>
                <w:color w:val="auto"/>
              </w:rPr>
            </w:pPr>
            <w:r>
              <w:rPr>
                <w:rFonts w:ascii="Arial" w:cs="Arial" w:eastAsia="Arial" w:hAnsi="Arial"/>
                <w:sz w:val="16"/>
                <w:szCs w:val="16"/>
                <w:b w:val="1"/>
                <w:bCs w:val="1"/>
                <w:color w:val="auto"/>
              </w:rPr>
              <w:t>2013</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75"/>
        </w:trPr>
        <w:tc>
          <w:tcPr>
            <w:tcW w:w="3960" w:type="dxa"/>
            <w:vAlign w:val="bottom"/>
          </w:tcPr>
          <w:p>
            <w:pPr>
              <w:ind w:left="100"/>
              <w:spacing w:after="0" w:line="175" w:lineRule="exact"/>
              <w:rPr>
                <w:sz w:val="20"/>
                <w:szCs w:val="20"/>
                <w:color w:val="auto"/>
              </w:rPr>
            </w:pPr>
            <w:r>
              <w:rPr>
                <w:rFonts w:ascii="Arial" w:cs="Arial" w:eastAsia="Arial" w:hAnsi="Arial"/>
                <w:sz w:val="16"/>
                <w:szCs w:val="16"/>
                <w:color w:val="auto"/>
              </w:rPr>
              <w:t>Land</w:t>
            </w:r>
          </w:p>
        </w:tc>
        <w:tc>
          <w:tcPr>
            <w:tcW w:w="2280" w:type="dxa"/>
            <w:vAlign w:val="bottom"/>
            <w:gridSpan w:val="2"/>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line="175" w:lineRule="exact"/>
              <w:rPr>
                <w:sz w:val="20"/>
                <w:szCs w:val="20"/>
                <w:color w:val="auto"/>
              </w:rPr>
            </w:pPr>
            <w:r>
              <w:rPr>
                <w:rFonts w:ascii="Arial" w:cs="Arial" w:eastAsia="Arial" w:hAnsi="Arial"/>
                <w:sz w:val="16"/>
                <w:szCs w:val="16"/>
                <w:color w:val="auto"/>
              </w:rPr>
              <w:t>65,578</w:t>
            </w:r>
          </w:p>
        </w:tc>
        <w:tc>
          <w:tcPr>
            <w:tcW w:w="640" w:type="dxa"/>
            <w:vAlign w:val="bottom"/>
          </w:tcPr>
          <w:p>
            <w:pPr>
              <w:jc w:val="right"/>
              <w:ind w:right="382"/>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69,370</w:t>
            </w:r>
          </w:p>
        </w:tc>
        <w:tc>
          <w:tcPr>
            <w:tcW w:w="0" w:type="dxa"/>
            <w:vAlign w:val="bottom"/>
          </w:tcPr>
          <w:p>
            <w:pPr>
              <w:spacing w:after="0"/>
              <w:rPr>
                <w:sz w:val="1"/>
                <w:szCs w:val="1"/>
                <w:color w:val="auto"/>
              </w:rPr>
            </w:pPr>
          </w:p>
        </w:tc>
      </w:tr>
      <w:tr>
        <w:trPr>
          <w:trHeight w:val="188"/>
        </w:trPr>
        <w:tc>
          <w:tcPr>
            <w:tcW w:w="3960" w:type="dxa"/>
            <w:vAlign w:val="bottom"/>
          </w:tcPr>
          <w:p>
            <w:pPr>
              <w:ind w:left="100"/>
              <w:spacing w:after="0"/>
              <w:rPr>
                <w:sz w:val="20"/>
                <w:szCs w:val="20"/>
                <w:color w:val="auto"/>
              </w:rPr>
            </w:pPr>
            <w:r>
              <w:rPr>
                <w:rFonts w:ascii="Arial" w:cs="Arial" w:eastAsia="Arial" w:hAnsi="Arial"/>
                <w:sz w:val="16"/>
                <w:szCs w:val="16"/>
                <w:color w:val="auto"/>
              </w:rPr>
              <w:t>Building and improvements</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123,061</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136,225</w:t>
            </w:r>
          </w:p>
        </w:tc>
        <w:tc>
          <w:tcPr>
            <w:tcW w:w="0" w:type="dxa"/>
            <w:vAlign w:val="bottom"/>
          </w:tcPr>
          <w:p>
            <w:pPr>
              <w:spacing w:after="0"/>
              <w:rPr>
                <w:sz w:val="1"/>
                <w:szCs w:val="1"/>
                <w:color w:val="auto"/>
              </w:rPr>
            </w:pPr>
          </w:p>
        </w:tc>
      </w:tr>
      <w:tr>
        <w:trPr>
          <w:trHeight w:val="188"/>
        </w:trPr>
        <w:tc>
          <w:tcPr>
            <w:tcW w:w="3960" w:type="dxa"/>
            <w:vAlign w:val="bottom"/>
          </w:tcPr>
          <w:p>
            <w:pPr>
              <w:ind w:left="100"/>
              <w:spacing w:after="0"/>
              <w:rPr>
                <w:sz w:val="20"/>
                <w:szCs w:val="20"/>
                <w:color w:val="auto"/>
              </w:rPr>
            </w:pPr>
            <w:r>
              <w:rPr>
                <w:rFonts w:ascii="Arial" w:cs="Arial" w:eastAsia="Arial" w:hAnsi="Arial"/>
                <w:sz w:val="16"/>
                <w:szCs w:val="16"/>
                <w:color w:val="auto"/>
              </w:rPr>
              <w:t>Leasehold improvements</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46,330</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45,391</w:t>
            </w:r>
          </w:p>
        </w:tc>
        <w:tc>
          <w:tcPr>
            <w:tcW w:w="0" w:type="dxa"/>
            <w:vAlign w:val="bottom"/>
          </w:tcPr>
          <w:p>
            <w:pPr>
              <w:spacing w:after="0"/>
              <w:rPr>
                <w:sz w:val="1"/>
                <w:szCs w:val="1"/>
                <w:color w:val="auto"/>
              </w:rPr>
            </w:pPr>
          </w:p>
        </w:tc>
      </w:tr>
      <w:tr>
        <w:trPr>
          <w:trHeight w:val="200"/>
        </w:trPr>
        <w:tc>
          <w:tcPr>
            <w:tcW w:w="3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Fixtures and equipment</w:t>
            </w:r>
          </w:p>
        </w:tc>
        <w:tc>
          <w:tcPr>
            <w:tcW w:w="1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106,099</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108,169</w:t>
            </w:r>
          </w:p>
        </w:tc>
        <w:tc>
          <w:tcPr>
            <w:tcW w:w="0" w:type="dxa"/>
            <w:vAlign w:val="bottom"/>
          </w:tcPr>
          <w:p>
            <w:pPr>
              <w:spacing w:after="0"/>
              <w:rPr>
                <w:sz w:val="1"/>
                <w:szCs w:val="1"/>
                <w:color w:val="auto"/>
              </w:rPr>
            </w:pPr>
          </w:p>
        </w:tc>
      </w:tr>
      <w:tr>
        <w:trPr>
          <w:trHeight w:val="168"/>
        </w:trPr>
        <w:tc>
          <w:tcPr>
            <w:tcW w:w="3960" w:type="dxa"/>
            <w:vAlign w:val="bottom"/>
          </w:tcPr>
          <w:p>
            <w:pPr>
              <w:ind w:left="180"/>
              <w:spacing w:after="0" w:line="168" w:lineRule="exact"/>
              <w:rPr>
                <w:sz w:val="20"/>
                <w:szCs w:val="20"/>
                <w:color w:val="auto"/>
              </w:rPr>
            </w:pPr>
            <w:r>
              <w:rPr>
                <w:rFonts w:ascii="Arial" w:cs="Arial" w:eastAsia="Arial" w:hAnsi="Arial"/>
                <w:sz w:val="16"/>
                <w:szCs w:val="16"/>
                <w:color w:val="auto"/>
              </w:rPr>
              <w:t>Total cost</w:t>
            </w: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62"/>
              <w:spacing w:after="0" w:line="168" w:lineRule="exact"/>
              <w:rPr>
                <w:sz w:val="20"/>
                <w:szCs w:val="20"/>
                <w:color w:val="auto"/>
              </w:rPr>
            </w:pPr>
            <w:r>
              <w:rPr>
                <w:rFonts w:ascii="Arial" w:cs="Arial" w:eastAsia="Arial" w:hAnsi="Arial"/>
                <w:sz w:val="16"/>
                <w:szCs w:val="16"/>
                <w:color w:val="auto"/>
              </w:rPr>
              <w:t>341,068</w:t>
            </w:r>
          </w:p>
        </w:tc>
        <w:tc>
          <w:tcPr>
            <w:tcW w:w="6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359,155</w:t>
            </w:r>
          </w:p>
        </w:tc>
        <w:tc>
          <w:tcPr>
            <w:tcW w:w="0" w:type="dxa"/>
            <w:vAlign w:val="bottom"/>
          </w:tcPr>
          <w:p>
            <w:pPr>
              <w:spacing w:after="0"/>
              <w:rPr>
                <w:sz w:val="1"/>
                <w:szCs w:val="1"/>
                <w:color w:val="auto"/>
              </w:rPr>
            </w:pPr>
          </w:p>
        </w:tc>
      </w:tr>
      <w:tr>
        <w:trPr>
          <w:trHeight w:val="200"/>
        </w:trPr>
        <w:tc>
          <w:tcPr>
            <w:tcW w:w="3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Less: accumulated depreciation</w:t>
            </w:r>
          </w:p>
        </w:tc>
        <w:tc>
          <w:tcPr>
            <w:tcW w:w="1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(149,408)</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(156,377)</w:t>
            </w:r>
          </w:p>
        </w:tc>
        <w:tc>
          <w:tcPr>
            <w:tcW w:w="0" w:type="dxa"/>
            <w:vAlign w:val="bottom"/>
          </w:tcPr>
          <w:p>
            <w:pPr>
              <w:spacing w:after="0"/>
              <w:rPr>
                <w:sz w:val="1"/>
                <w:szCs w:val="1"/>
                <w:color w:val="auto"/>
              </w:rPr>
            </w:pPr>
          </w:p>
        </w:tc>
      </w:tr>
      <w:tr>
        <w:trPr>
          <w:trHeight w:val="184"/>
        </w:trPr>
        <w:tc>
          <w:tcPr>
            <w:tcW w:w="3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Operating property, net</w:t>
            </w:r>
          </w:p>
        </w:tc>
        <w:tc>
          <w:tcPr>
            <w:tcW w:w="2280" w:type="dxa"/>
            <w:vAlign w:val="bottom"/>
            <w:tcBorders>
              <w:bottom w:val="single" w:sz="8" w:color="auto"/>
            </w:tcBorders>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191,660</w:t>
            </w:r>
          </w:p>
        </w:tc>
        <w:tc>
          <w:tcPr>
            <w:tcW w:w="640" w:type="dxa"/>
            <w:vAlign w:val="bottom"/>
            <w:tcBorders>
              <w:bottom w:val="single" w:sz="8" w:color="auto"/>
            </w:tcBorders>
          </w:tcPr>
          <w:p>
            <w:pPr>
              <w:jc w:val="right"/>
              <w:ind w:right="38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202,778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Depreciation expense for operating property was $14.0 million, $14.9 million, and $14.9 million for the three years ended December 31, 2013, 2012, and 2011, respectively.</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 2011, we recorded impairment losses totaling $65,000 on two of our cinema properties. We did not record an impairment charge for our operating assets during 2013 or 2012.</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7 – Investment and Development Property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and development property is summarized as follows (dollars in thousands):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4"/>
        </w:trPr>
        <w:tc>
          <w:tcPr>
            <w:tcW w:w="4740" w:type="dxa"/>
            <w:vAlign w:val="bottom"/>
            <w:vMerge w:val="restart"/>
          </w:tcPr>
          <w:p>
            <w:pPr>
              <w:spacing w:after="0"/>
              <w:rPr>
                <w:sz w:val="20"/>
                <w:szCs w:val="20"/>
                <w:color w:val="auto"/>
              </w:rPr>
            </w:pPr>
            <w:r>
              <w:rPr>
                <w:rFonts w:ascii="Arial" w:cs="Arial" w:eastAsia="Arial" w:hAnsi="Arial"/>
                <w:sz w:val="16"/>
                <w:szCs w:val="16"/>
                <w:b w:val="1"/>
                <w:bCs w:val="1"/>
                <w:color w:val="auto"/>
              </w:rPr>
              <w:t>Investment and Development Property</w:t>
            </w:r>
          </w:p>
        </w:tc>
        <w:tc>
          <w:tcPr>
            <w:tcW w:w="1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2"/>
              <w:spacing w:after="0" w:line="181" w:lineRule="exact"/>
              <w:rPr>
                <w:sz w:val="20"/>
                <w:szCs w:val="20"/>
                <w:color w:val="auto"/>
              </w:rPr>
            </w:pPr>
            <w:r>
              <w:rPr>
                <w:rFonts w:ascii="Arial" w:cs="Arial" w:eastAsia="Arial" w:hAnsi="Arial"/>
                <w:sz w:val="16"/>
                <w:szCs w:val="16"/>
                <w:b w:val="1"/>
                <w:bCs w:val="1"/>
                <w:color w:val="auto"/>
              </w:rPr>
              <w:t>2013</w:t>
            </w: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75"/>
        </w:trPr>
        <w:tc>
          <w:tcPr>
            <w:tcW w:w="4740" w:type="dxa"/>
            <w:vAlign w:val="bottom"/>
          </w:tcPr>
          <w:p>
            <w:pPr>
              <w:ind w:left="100"/>
              <w:spacing w:after="0" w:line="175" w:lineRule="exact"/>
              <w:rPr>
                <w:sz w:val="20"/>
                <w:szCs w:val="20"/>
                <w:color w:val="auto"/>
              </w:rPr>
            </w:pPr>
            <w:r>
              <w:rPr>
                <w:rFonts w:ascii="Arial" w:cs="Arial" w:eastAsia="Arial" w:hAnsi="Arial"/>
                <w:sz w:val="16"/>
                <w:szCs w:val="16"/>
                <w:color w:val="auto"/>
              </w:rPr>
              <w:t>Land</w:t>
            </w:r>
          </w:p>
        </w:tc>
        <w:tc>
          <w:tcPr>
            <w:tcW w:w="1500" w:type="dxa"/>
            <w:vAlign w:val="bottom"/>
            <w:gridSpan w:val="2"/>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59,550</w:t>
            </w:r>
          </w:p>
        </w:tc>
        <w:tc>
          <w:tcPr>
            <w:tcW w:w="660" w:type="dxa"/>
            <w:vAlign w:val="bottom"/>
          </w:tcPr>
          <w:p>
            <w:pPr>
              <w:jc w:val="right"/>
              <w:ind w:right="382"/>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77,020</w:t>
            </w:r>
          </w:p>
        </w:tc>
        <w:tc>
          <w:tcPr>
            <w:tcW w:w="0" w:type="dxa"/>
            <w:vAlign w:val="bottom"/>
          </w:tcPr>
          <w:p>
            <w:pPr>
              <w:spacing w:after="0"/>
              <w:rPr>
                <w:sz w:val="1"/>
                <w:szCs w:val="1"/>
                <w:color w:val="auto"/>
              </w:rPr>
            </w:pPr>
          </w:p>
        </w:tc>
      </w:tr>
      <w:tr>
        <w:trPr>
          <w:trHeight w:val="200"/>
        </w:trPr>
        <w:tc>
          <w:tcPr>
            <w:tcW w:w="4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Construction-in-progress (including capitalized interest)</w:t>
            </w: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14,680</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17,902</w:t>
            </w:r>
          </w:p>
        </w:tc>
        <w:tc>
          <w:tcPr>
            <w:tcW w:w="0" w:type="dxa"/>
            <w:vAlign w:val="bottom"/>
          </w:tcPr>
          <w:p>
            <w:pPr>
              <w:spacing w:after="0"/>
              <w:rPr>
                <w:sz w:val="1"/>
                <w:szCs w:val="1"/>
                <w:color w:val="auto"/>
              </w:rPr>
            </w:pPr>
          </w:p>
        </w:tc>
      </w:tr>
      <w:tr>
        <w:trPr>
          <w:trHeight w:val="184"/>
        </w:trPr>
        <w:tc>
          <w:tcPr>
            <w:tcW w:w="47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Investment and development property, net</w:t>
            </w:r>
          </w:p>
        </w:tc>
        <w:tc>
          <w:tcPr>
            <w:tcW w:w="1500" w:type="dxa"/>
            <w:vAlign w:val="bottom"/>
            <w:tcBorders>
              <w:bottom w:val="single" w:sz="8" w:color="auto"/>
            </w:tcBorders>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74,230</w:t>
            </w:r>
          </w:p>
        </w:tc>
        <w:tc>
          <w:tcPr>
            <w:tcW w:w="660" w:type="dxa"/>
            <w:vAlign w:val="bottom"/>
            <w:tcBorders>
              <w:bottom w:val="single" w:sz="8" w:color="auto"/>
            </w:tcBorders>
          </w:tcPr>
          <w:p>
            <w:pPr>
              <w:jc w:val="right"/>
              <w:ind w:right="38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94,922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During the year-ended December 31, 2009, we decided to curtail our current development progress on certain Australian and New Zealand land development projects. As a result, we did not capitalize interest on these projects during 2013, 2012, and 2011 and we will not capitalize interest for these projects until development work recommences.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Coachella, California Land</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Based on a December 2012 appraisal, the fair value of our Coachella property was $4.0 million resulting in a $1.5 million impairment to the carrying value of the asset. As noted below, this property is 50% owned by Mr. James J. Cotter who shares in any impairment loss to the extent of his ownership interest.</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8 – Acquisitions, Disposals, and Assets Held for Sale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Plano Cinema</w:t>
      </w:r>
    </w:p>
    <w:p>
      <w:pPr>
        <w:spacing w:after="0" w:line="157"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On December 31, 2013, we settled a management fee claim that we had against the owner of the Plano, Texas cinema that we had managed since 2003 for a cash receipt of $1.9 million. As part of the settlement, we acquired that entity, and through the purchase of that entity acquired the underlying cinema’s lease and the associated personal property, equipment, and trade fixtures. Because the fair value of the lease, in light of anticipated rent payments, resulted in a lease liability of $320,000 and the acquired net assets, including cash received in connection with the settlement, were valued at $1.7 million, we recorded a net gain on acquisition and settlement of $1.4 million.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Held for Sale – Moonee Ponds</w:t>
      </w:r>
    </w:p>
    <w:p>
      <w:pPr>
        <w:spacing w:after="0" w:line="192" w:lineRule="exact"/>
        <w:rPr>
          <w:sz w:val="20"/>
          <w:szCs w:val="20"/>
          <w:color w:val="auto"/>
        </w:rPr>
      </w:pPr>
    </w:p>
    <w:p>
      <w:pPr>
        <w:jc w:val="both"/>
        <w:ind w:firstLine="564"/>
        <w:spacing w:after="0" w:line="312" w:lineRule="auto"/>
        <w:rPr>
          <w:sz w:val="20"/>
          <w:szCs w:val="20"/>
          <w:color w:val="auto"/>
        </w:rPr>
      </w:pPr>
      <w:r>
        <w:rPr>
          <w:rFonts w:ascii="Arial" w:cs="Arial" w:eastAsia="Arial" w:hAnsi="Arial"/>
          <w:sz w:val="13"/>
          <w:szCs w:val="13"/>
          <w:color w:val="auto"/>
        </w:rPr>
        <w:t>On October 15, 2013, we entered into a definitive purchase and sale agreement with Moonee Ponds Pty Ltd, an affiliate of Leighton Properties Pty Ltd, for the sale of our properties located in Moonee Ponds, Victoria, Australia. The agreement calls for a sale price of AUS$23.0 million payable in full on April 16, 2015. Leighton Properties Pty Ltd. has guaranteed the purchaser’s performance. Our attorney has received from the purchaser bank guaranties and checks to the value of AUS$2.3 million representing the agreed upon 10% deposit. These amounts will be held by our attorney and released to us upon settlement on April 16, 2015. Prior to settlement, Reading retains title to the properties, is responsible for their costs (including taxes and utilities), and is entitled to receive all of their revenues (the properties are currently used as a parking lot). The properties comprise approximately 3.3 acres and are carried on our books at $11.6 million (AUS$12.4 million) at December 31, 2013 which is classified as land held for sale on our December 31, 2013 consolidated balance sheet. The historical operations of this property were as an non-attendant parking lot which are not material and thus not separately presented as discontinued operations.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2012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Indooroopilly - Sale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722" w:right="1359" w:bottom="1440" w:gutter="0" w:footer="0" w:header="0"/>
        </w:sectPr>
      </w:pPr>
    </w:p>
    <w:bookmarkStart w:id="74" w:name="page75"/>
    <w:bookmarkEnd w:id="74"/>
    <w:p>
      <w:pPr>
        <w:jc w:val="both"/>
        <w:ind w:firstLine="564"/>
        <w:spacing w:after="0" w:line="270" w:lineRule="auto"/>
        <w:rPr>
          <w:sz w:val="20"/>
          <w:szCs w:val="20"/>
          <w:color w:val="auto"/>
        </w:rPr>
      </w:pPr>
      <w:r>
        <w:rPr>
          <w:rFonts w:ascii="Arial" w:cs="Arial" w:eastAsia="Arial" w:hAnsi="Arial"/>
          <w:sz w:val="15"/>
          <w:szCs w:val="15"/>
          <w:color w:val="auto"/>
        </w:rPr>
        <w:t>On November 20, 2012, we sold our Indooroopilly property for $12.4 million (AUS$12.0 million). As its book value at the time of sale was $12.5 million (AUS$12.1 million), we recorded a loss on sale in the form of an impairment expense of $318,000 (AUS$306,000) for the year ended December 31, 2012 which included the cost to sell the property. The operational results are included in income (loss) from discontinued operations on our Consolidated Statements of Operations for the years ended December 31, 2012, and 2011, respectively. The condensed statement of operations for Indooroopilly is as follows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2011</w:t>
            </w:r>
          </w:p>
        </w:tc>
      </w:tr>
      <w:tr>
        <w:trPr>
          <w:trHeight w:val="175"/>
        </w:trPr>
        <w:tc>
          <w:tcPr>
            <w:tcW w:w="5080" w:type="dxa"/>
            <w:vAlign w:val="bottom"/>
          </w:tcPr>
          <w:p>
            <w:pPr>
              <w:spacing w:after="0" w:line="175" w:lineRule="exact"/>
              <w:rPr>
                <w:sz w:val="20"/>
                <w:szCs w:val="20"/>
                <w:color w:val="auto"/>
              </w:rPr>
            </w:pPr>
            <w:r>
              <w:rPr>
                <w:rFonts w:ascii="Arial" w:cs="Arial" w:eastAsia="Arial" w:hAnsi="Arial"/>
                <w:sz w:val="16"/>
                <w:szCs w:val="16"/>
                <w:color w:val="auto"/>
              </w:rPr>
              <w:t>Revenue</w:t>
            </w:r>
          </w:p>
        </w:tc>
        <w:tc>
          <w:tcPr>
            <w:tcW w:w="2480" w:type="dxa"/>
            <w:vAlign w:val="bottom"/>
          </w:tcPr>
          <w:p>
            <w:pPr>
              <w:jc w:val="right"/>
              <w:ind w:right="642"/>
              <w:spacing w:after="0" w:line="175" w:lineRule="exact"/>
              <w:rPr>
                <w:sz w:val="20"/>
                <w:szCs w:val="20"/>
                <w:color w:val="auto"/>
              </w:rPr>
            </w:pPr>
            <w:r>
              <w:rPr>
                <w:rFonts w:ascii="Arial" w:cs="Arial" w:eastAsia="Arial" w:hAnsi="Arial"/>
                <w:sz w:val="16"/>
                <w:szCs w:val="16"/>
                <w:color w:val="auto"/>
              </w:rPr>
              <w:t>$</w:t>
            </w:r>
          </w:p>
        </w:tc>
        <w:tc>
          <w:tcPr>
            <w:tcW w:w="420" w:type="dxa"/>
            <w:vAlign w:val="bottom"/>
          </w:tcPr>
          <w:p>
            <w:pPr>
              <w:ind w:left="40"/>
              <w:spacing w:after="0" w:line="175" w:lineRule="exact"/>
              <w:rPr>
                <w:sz w:val="20"/>
                <w:szCs w:val="20"/>
                <w:color w:val="auto"/>
              </w:rPr>
            </w:pPr>
            <w:r>
              <w:rPr>
                <w:rFonts w:ascii="Arial" w:cs="Arial" w:eastAsia="Arial" w:hAnsi="Arial"/>
                <w:sz w:val="16"/>
                <w:szCs w:val="16"/>
                <w:color w:val="auto"/>
              </w:rPr>
              <w:t>793</w:t>
            </w:r>
          </w:p>
        </w:tc>
        <w:tc>
          <w:tcPr>
            <w:tcW w:w="36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825</w:t>
            </w:r>
          </w:p>
        </w:tc>
      </w:tr>
      <w:tr>
        <w:trPr>
          <w:trHeight w:val="188"/>
        </w:trPr>
        <w:tc>
          <w:tcPr>
            <w:tcW w:w="5080" w:type="dxa"/>
            <w:vAlign w:val="bottom"/>
          </w:tcPr>
          <w:p>
            <w:pPr>
              <w:spacing w:after="0"/>
              <w:rPr>
                <w:sz w:val="20"/>
                <w:szCs w:val="20"/>
                <w:color w:val="auto"/>
              </w:rPr>
            </w:pPr>
            <w:r>
              <w:rPr>
                <w:rFonts w:ascii="Arial" w:cs="Arial" w:eastAsia="Arial" w:hAnsi="Arial"/>
                <w:sz w:val="16"/>
                <w:szCs w:val="16"/>
                <w:color w:val="auto"/>
              </w:rPr>
              <w:t>Less: operating expense</w:t>
            </w:r>
          </w:p>
        </w:tc>
        <w:tc>
          <w:tcPr>
            <w:tcW w:w="248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560</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00"/>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impairment expense</w:t>
            </w:r>
          </w:p>
        </w:tc>
        <w:tc>
          <w:tcPr>
            <w:tcW w:w="2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318</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50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Income (loss) from discontinued operations, net of tax</w:t>
            </w:r>
          </w:p>
        </w:tc>
        <w:tc>
          <w:tcPr>
            <w:tcW w:w="2480" w:type="dxa"/>
            <w:vAlign w:val="bottom"/>
            <w:tcBorders>
              <w:bottom w:val="single" w:sz="8" w:color="auto"/>
            </w:tcBorders>
          </w:tcPr>
          <w:p>
            <w:pPr>
              <w:jc w:val="right"/>
              <w:ind w:right="642"/>
              <w:spacing w:after="0" w:line="181"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60"/>
              <w:spacing w:after="0" w:line="181" w:lineRule="exact"/>
              <w:rPr>
                <w:sz w:val="20"/>
                <w:szCs w:val="20"/>
                <w:color w:val="auto"/>
              </w:rPr>
            </w:pPr>
            <w:r>
              <w:rPr>
                <w:rFonts w:ascii="Arial" w:cs="Arial" w:eastAsia="Arial" w:hAnsi="Arial"/>
                <w:sz w:val="16"/>
                <w:szCs w:val="16"/>
                <w:color w:val="auto"/>
              </w:rPr>
              <w:t>(85)</w:t>
            </w:r>
          </w:p>
        </w:tc>
        <w:tc>
          <w:tcPr>
            <w:tcW w:w="36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Taringa - Sale</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February 21, 2012, we sold our three properties of approximately 1.1 acres in the Taringa area of Brisbane, Australia for $1.9 million (AUS$1.8 million). Because the net carrying amounts of these properties were greater than the total sale price, we recorded an impairment expense for these properties of $369,000 (AUS$365,000) for the year ended December 31, 2011.</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Coachella, California Land - Acquisition</w:t>
      </w:r>
    </w:p>
    <w:p>
      <w:pPr>
        <w:spacing w:after="0" w:line="168"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 xml:space="preserve">On January 10, 2012, Shadow View Land and Farming, LLC, a limited liability company owned by our Company, acquired a 202-acre property, zoned for the development of up to 816 single-family residential units, located in the City of Coachella, California. The property was acquired at a foreclosure auction for $5.5 million. The property was acquired as a long-term investment in developable land. Half of the funds used to acquire the land were provided by Mr. James J. Cotter, our Chairman, Chief Executive Officer and controlling shareholder. Upon the approval of our Conflicts Committee, these funds were converted on January 18, 2012 into a 50% interest in Shadow View Land and Farming, LLC. We are the managing member of this company. See Note 20 – </w:t>
      </w:r>
      <w:r>
        <w:rPr>
          <w:rFonts w:ascii="Arial" w:cs="Arial" w:eastAsia="Arial" w:hAnsi="Arial"/>
          <w:sz w:val="15"/>
          <w:szCs w:val="15"/>
          <w:i w:val="1"/>
          <w:iCs w:val="1"/>
          <w:color w:val="auto"/>
        </w:rPr>
        <w:t>Noncontrolling Interests</w:t>
      </w:r>
      <w:r>
        <w:rPr>
          <w:rFonts w:ascii="Arial" w:cs="Arial" w:eastAsia="Arial" w:hAnsi="Arial"/>
          <w:sz w:val="15"/>
          <w:szCs w:val="15"/>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2011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Cal Oaks Cinema - Acquisition</w:t>
      </w:r>
    </w:p>
    <w:p>
      <w:pPr>
        <w:spacing w:after="0" w:line="168" w:lineRule="exact"/>
        <w:rPr>
          <w:sz w:val="20"/>
          <w:szCs w:val="20"/>
          <w:color w:val="auto"/>
        </w:rPr>
      </w:pPr>
    </w:p>
    <w:p>
      <w:pPr>
        <w:ind w:right="920" w:firstLine="564"/>
        <w:spacing w:after="0" w:line="444" w:lineRule="auto"/>
        <w:rPr>
          <w:sz w:val="20"/>
          <w:szCs w:val="20"/>
          <w:color w:val="auto"/>
        </w:rPr>
      </w:pPr>
      <w:r>
        <w:rPr>
          <w:rFonts w:ascii="Arial" w:cs="Arial" w:eastAsia="Arial" w:hAnsi="Arial"/>
          <w:sz w:val="16"/>
          <w:szCs w:val="16"/>
          <w:color w:val="auto"/>
        </w:rPr>
        <w:t xml:space="preserve">On August 25, 2011, we purchased a 17-screen multiplex in Murrieta, California (the “CalOaks Cinema”) for $4.2 million. </w:t>
      </w:r>
      <w:r>
        <w:rPr>
          <w:rFonts w:ascii="Arial" w:cs="Arial" w:eastAsia="Arial" w:hAnsi="Arial"/>
          <w:sz w:val="16"/>
          <w:szCs w:val="16"/>
          <w:i w:val="1"/>
          <w:iCs w:val="1"/>
          <w:color w:val="auto"/>
        </w:rPr>
        <w:t>Elsternwick Classic Cinema - Sale</w:t>
      </w:r>
    </w:p>
    <w:p>
      <w:pPr>
        <w:jc w:val="both"/>
        <w:ind w:firstLine="564"/>
        <w:spacing w:after="0" w:line="381" w:lineRule="auto"/>
        <w:rPr>
          <w:sz w:val="20"/>
          <w:szCs w:val="20"/>
          <w:color w:val="auto"/>
        </w:rPr>
      </w:pPr>
      <w:r>
        <w:rPr>
          <w:rFonts w:ascii="Arial" w:cs="Arial" w:eastAsia="Arial" w:hAnsi="Arial"/>
          <w:sz w:val="13"/>
          <w:szCs w:val="13"/>
          <w:color w:val="auto"/>
        </w:rPr>
        <w:t>On April 14, 2011, we sold our 66.7% share of the 5-screen Elsternwick Classic cinema located in Melbourne, Australia to our joint venture partner for $1.9 million (AUS$1.8 million) and recognized a gain on sale of a discontinued operation of $1.7 million (AUS$1.6 million).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9 – Transfer of Held for Sale Real Estate to Continuing Operations and Related Items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and 2012 Transactions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transfers of held for sale real estate to continuing operations or related items in 2013 or 2012.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2011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Lake Taupo Motel</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During the fourth quarter of 2010, we listed for sale the residential units of our Lake Taupo property and the adjoining 1.0-acre parcel located in Lake Taupo, New Zealand. A portion of this property was previously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75" w:name="page76"/>
    <w:bookmarkEnd w:id="75"/>
    <w:p>
      <w:pPr>
        <w:jc w:val="both"/>
        <w:ind w:right="20"/>
        <w:spacing w:after="0" w:line="267" w:lineRule="auto"/>
        <w:rPr>
          <w:sz w:val="20"/>
          <w:szCs w:val="20"/>
          <w:color w:val="auto"/>
        </w:rPr>
      </w:pPr>
      <w:r>
        <w:rPr>
          <w:rFonts w:ascii="Arial" w:cs="Arial" w:eastAsia="Arial" w:hAnsi="Arial"/>
          <w:sz w:val="15"/>
          <w:szCs w:val="15"/>
          <w:color w:val="auto"/>
        </w:rPr>
        <w:t>improved with a motel in which we recently renovated the property’s units to be condominiums and have enhanced the property value with residential apartment entitlements for the adjoining vacant land. At December 31, 2011, we had not yet sold the property. Pursuant to ASC 360-10-45, as twelve months had passed since this announcement and we did not meet the criteria to classify this property as held for sale. As a result of the transfer of the asset from held for sale to continuing operations, we recorded a loss for 2011 of $37,000 (NZ$48,000) to measure the property at the lower of its carrying amount, adjusted for depreciation and amortization expense that would have been recognized had the asset been continuously classified as a continuing operational asset, or its fair value at the date of the decision not to sell. We continue to discuss with potential buyers and plan to monetize the property in time.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Burwood Development Property</w:t>
      </w:r>
    </w:p>
    <w:p>
      <w:pPr>
        <w:spacing w:after="0" w:line="157" w:lineRule="exact"/>
        <w:rPr>
          <w:sz w:val="20"/>
          <w:szCs w:val="20"/>
          <w:color w:val="auto"/>
        </w:rPr>
      </w:pPr>
    </w:p>
    <w:p>
      <w:pPr>
        <w:jc w:val="both"/>
        <w:ind w:right="20" w:firstLine="564"/>
        <w:spacing w:after="0" w:line="270" w:lineRule="auto"/>
        <w:rPr>
          <w:sz w:val="20"/>
          <w:szCs w:val="20"/>
          <w:color w:val="auto"/>
        </w:rPr>
      </w:pPr>
      <w:r>
        <w:rPr>
          <w:rFonts w:ascii="Arial" w:cs="Arial" w:eastAsia="Arial" w:hAnsi="Arial"/>
          <w:sz w:val="15"/>
          <w:szCs w:val="15"/>
          <w:color w:val="auto"/>
        </w:rPr>
        <w:t>In May 2010, we announced our intent to sell and began actively marketing our 50.6-acre Burwood development site in suburban Melbourne. At June 30, 2011, we had not yet achieved that aim. Pursuant to ASC 360-10-45, as twelve months had passed since this announcement and we did not meet the criteria to classify this property as held for sale, we reclassified the current carrying value of this property of $53.4 million (AUS$52.1 million) from assets held for sale to investment and development property on our December 31, 2011 consolidated balance sheet. We continue to evaluate our options concerning this property.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10 – Goodwill and Intangible Assets</w:t>
      </w:r>
    </w:p>
    <w:p>
      <w:pPr>
        <w:spacing w:after="0" w:line="172" w:lineRule="exact"/>
        <w:rPr>
          <w:sz w:val="20"/>
          <w:szCs w:val="20"/>
          <w:color w:val="auto"/>
        </w:rPr>
      </w:pPr>
    </w:p>
    <w:p>
      <w:pPr>
        <w:jc w:val="both"/>
        <w:ind w:right="20" w:firstLine="564"/>
        <w:spacing w:after="0" w:line="250" w:lineRule="auto"/>
        <w:rPr>
          <w:sz w:val="20"/>
          <w:szCs w:val="20"/>
          <w:color w:val="auto"/>
        </w:rPr>
      </w:pPr>
      <w:r>
        <w:rPr>
          <w:rFonts w:ascii="Arial" w:cs="Arial" w:eastAsia="Arial" w:hAnsi="Arial"/>
          <w:sz w:val="16"/>
          <w:szCs w:val="16"/>
          <w:color w:val="auto"/>
        </w:rPr>
        <w:t>Goodwill associated with our business combinations is tested for impairment at the beginning of the fourth quarter with continued evaluation through the end of the fourth quarter of every year. The fair value estimates of each of our reporting units is based on the projected profits and cash flows of the related assets using each reporting unit’s weighted average cost of capital as a discount rate. As a result of this test, whereby the Step 1 Test was passed for all reporting units, it was determined that there is no impairment to our goodwill as of December 31, 2013 or 2012.</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December 31, 2013 or 2012, our goodwill consisted of the following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2013</w:t>
            </w:r>
          </w:p>
        </w:tc>
        <w:tc>
          <w:tcPr>
            <w:tcW w:w="1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Cinema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9"/>
              </w:rPr>
              <w:t>Real Estate</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Balance as of January 1, 2013</w:t>
            </w:r>
          </w:p>
        </w:tc>
        <w:tc>
          <w:tcPr>
            <w:tcW w:w="15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17,674</w:t>
            </w:r>
          </w:p>
        </w:tc>
        <w:tc>
          <w:tcPr>
            <w:tcW w:w="2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line="175" w:lineRule="exact"/>
              <w:rPr>
                <w:sz w:val="20"/>
                <w:szCs w:val="20"/>
                <w:color w:val="auto"/>
              </w:rPr>
            </w:pPr>
            <w:r>
              <w:rPr>
                <w:rFonts w:ascii="Arial" w:cs="Arial" w:eastAsia="Arial" w:hAnsi="Arial"/>
                <w:sz w:val="16"/>
                <w:szCs w:val="16"/>
                <w:color w:val="auto"/>
              </w:rPr>
              <w:t>5,224</w:t>
            </w:r>
          </w:p>
        </w:tc>
        <w:tc>
          <w:tcPr>
            <w:tcW w:w="38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22,898</w:t>
            </w:r>
          </w:p>
        </w:tc>
      </w:tr>
      <w:tr>
        <w:trPr>
          <w:trHeight w:val="200"/>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translation adjustment</w:t>
            </w:r>
          </w:p>
        </w:tc>
        <w:tc>
          <w:tcPr>
            <w:tcW w:w="1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r>
      <w:tr>
        <w:trPr>
          <w:trHeight w:val="184"/>
        </w:trPr>
        <w:tc>
          <w:tcPr>
            <w:tcW w:w="38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Balance at December 31, 2013</w:t>
            </w:r>
          </w:p>
        </w:tc>
        <w:tc>
          <w:tcPr>
            <w:tcW w:w="15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16,935</w:t>
            </w:r>
          </w:p>
        </w:tc>
        <w:tc>
          <w:tcPr>
            <w:tcW w:w="24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5,224</w:t>
            </w:r>
          </w:p>
        </w:tc>
        <w:tc>
          <w:tcPr>
            <w:tcW w:w="38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22,159</w:t>
            </w: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2012</w:t>
            </w:r>
          </w:p>
        </w:tc>
        <w:tc>
          <w:tcPr>
            <w:tcW w:w="1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Cinema</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9"/>
              </w:rPr>
              <w:t>Real Estate</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Balance as of January 1, 2012</w:t>
            </w:r>
          </w:p>
        </w:tc>
        <w:tc>
          <w:tcPr>
            <w:tcW w:w="15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line="175" w:lineRule="exact"/>
              <w:rPr>
                <w:sz w:val="20"/>
                <w:szCs w:val="20"/>
                <w:color w:val="auto"/>
              </w:rPr>
            </w:pPr>
            <w:r>
              <w:rPr>
                <w:rFonts w:ascii="Arial" w:cs="Arial" w:eastAsia="Arial" w:hAnsi="Arial"/>
                <w:sz w:val="16"/>
                <w:szCs w:val="16"/>
                <w:color w:val="auto"/>
              </w:rPr>
              <w:t>17,053</w:t>
            </w:r>
          </w:p>
        </w:tc>
        <w:tc>
          <w:tcPr>
            <w:tcW w:w="26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line="175" w:lineRule="exact"/>
              <w:rPr>
                <w:sz w:val="20"/>
                <w:szCs w:val="20"/>
                <w:color w:val="auto"/>
              </w:rPr>
            </w:pPr>
            <w:r>
              <w:rPr>
                <w:rFonts w:ascii="Arial" w:cs="Arial" w:eastAsia="Arial" w:hAnsi="Arial"/>
                <w:sz w:val="16"/>
                <w:szCs w:val="16"/>
                <w:color w:val="auto"/>
              </w:rPr>
              <w:t>5,224</w:t>
            </w:r>
          </w:p>
        </w:tc>
        <w:tc>
          <w:tcPr>
            <w:tcW w:w="38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22,277</w:t>
            </w:r>
          </w:p>
        </w:tc>
      </w:tr>
      <w:tr>
        <w:trPr>
          <w:trHeight w:val="200"/>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translation adjustment</w:t>
            </w:r>
          </w:p>
        </w:tc>
        <w:tc>
          <w:tcPr>
            <w:tcW w:w="1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621</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184"/>
        </w:trPr>
        <w:tc>
          <w:tcPr>
            <w:tcW w:w="38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Balance at December 31, 2012</w:t>
            </w:r>
          </w:p>
        </w:tc>
        <w:tc>
          <w:tcPr>
            <w:tcW w:w="15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17,674</w:t>
            </w:r>
          </w:p>
        </w:tc>
        <w:tc>
          <w:tcPr>
            <w:tcW w:w="2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5,224</w:t>
            </w:r>
          </w:p>
        </w:tc>
        <w:tc>
          <w:tcPr>
            <w:tcW w:w="38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22,898</w:t>
            </w:r>
          </w:p>
        </w:tc>
      </w:tr>
    </w:tbl>
    <w:p>
      <w:pPr>
        <w:spacing w:after="0" w:line="152"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We have intangible assets other than goodwill that are subject to amortization which are being amortized over various periods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b w:val="1"/>
                <w:bCs w:val="1"/>
                <w:color w:val="auto"/>
                <w:w w:val="91"/>
              </w:rPr>
              <w:t>Other Intangible</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 2013</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4"/>
              </w:rPr>
              <w:t>Beneficial Leases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8"/>
              </w:rPr>
              <w:t>Trade Name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Total</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Gross carrying amount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24,223</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7,254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455</w:t>
            </w:r>
          </w:p>
        </w:tc>
        <w:tc>
          <w:tcPr>
            <w:tcW w:w="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31,932</w:t>
            </w:r>
          </w:p>
        </w:tc>
      </w:tr>
      <w:tr>
        <w:trPr>
          <w:trHeight w:val="200"/>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amortization</w:t>
            </w: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14,520</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3,517</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455</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18,492</w:t>
            </w:r>
          </w:p>
        </w:tc>
      </w:tr>
      <w:tr>
        <w:trPr>
          <w:trHeight w:val="184"/>
        </w:trPr>
        <w:tc>
          <w:tcPr>
            <w:tcW w:w="2700" w:type="dxa"/>
            <w:vAlign w:val="bottom"/>
            <w:tcBorders>
              <w:bottom w:val="single" w:sz="8" w:color="auto"/>
            </w:tcBorders>
          </w:tcPr>
          <w:p>
            <w:pPr>
              <w:ind w:left="100"/>
              <w:spacing w:after="0" w:line="181" w:lineRule="exact"/>
              <w:rPr>
                <w:sz w:val="20"/>
                <w:szCs w:val="20"/>
                <w:color w:val="auto"/>
              </w:rPr>
            </w:pPr>
            <w:r>
              <w:rPr>
                <w:rFonts w:ascii="Arial" w:cs="Arial" w:eastAsia="Arial" w:hAnsi="Arial"/>
                <w:sz w:val="16"/>
                <w:szCs w:val="16"/>
                <w:color w:val="auto"/>
              </w:rPr>
              <w:t>Total, net</w:t>
            </w: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9,703</w:t>
            </w:r>
          </w:p>
        </w:tc>
        <w:tc>
          <w:tcPr>
            <w:tcW w:w="3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3,737</w:t>
            </w:r>
          </w:p>
        </w:tc>
        <w:tc>
          <w:tcPr>
            <w:tcW w:w="2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13,440</w:t>
            </w: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b w:val="1"/>
                <w:bCs w:val="1"/>
                <w:color w:val="auto"/>
                <w:w w:val="91"/>
              </w:rPr>
              <w:t>Other Intangible</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 of December 31, 2012</w:t>
            </w: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4"/>
              </w:rPr>
              <w:t>Beneficial Leases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8"/>
              </w:rPr>
              <w:t>Trade Name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Gross carrying amount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24,284</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7,254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458</w:t>
            </w:r>
          </w:p>
        </w:tc>
        <w:tc>
          <w:tcPr>
            <w:tcW w:w="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31,996</w:t>
            </w:r>
          </w:p>
        </w:tc>
        <w:tc>
          <w:tcPr>
            <w:tcW w:w="20" w:type="dxa"/>
            <w:vAlign w:val="bottom"/>
          </w:tcPr>
          <w:p>
            <w:pPr>
              <w:spacing w:after="0"/>
              <w:rPr>
                <w:sz w:val="16"/>
                <w:szCs w:val="16"/>
                <w:color w:val="auto"/>
              </w:rPr>
            </w:pPr>
          </w:p>
        </w:tc>
      </w:tr>
      <w:tr>
        <w:trPr>
          <w:trHeight w:val="200"/>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amortization</w:t>
            </w: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12,873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3,059</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403</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16,335</w:t>
            </w:r>
          </w:p>
        </w:tc>
        <w:tc>
          <w:tcPr>
            <w:tcW w:w="20" w:type="dxa"/>
            <w:vAlign w:val="bottom"/>
          </w:tcPr>
          <w:p>
            <w:pPr>
              <w:spacing w:after="0"/>
              <w:rPr>
                <w:sz w:val="17"/>
                <w:szCs w:val="17"/>
                <w:color w:val="auto"/>
              </w:rPr>
            </w:pPr>
          </w:p>
        </w:tc>
      </w:tr>
      <w:tr>
        <w:trPr>
          <w:trHeight w:val="184"/>
        </w:trPr>
        <w:tc>
          <w:tcPr>
            <w:tcW w:w="2700" w:type="dxa"/>
            <w:vAlign w:val="bottom"/>
            <w:tcBorders>
              <w:bottom w:val="single" w:sz="8" w:color="auto"/>
            </w:tcBorders>
          </w:tcPr>
          <w:p>
            <w:pPr>
              <w:ind w:left="100"/>
              <w:spacing w:after="0" w:line="181" w:lineRule="exact"/>
              <w:rPr>
                <w:sz w:val="20"/>
                <w:szCs w:val="20"/>
                <w:color w:val="auto"/>
              </w:rPr>
            </w:pPr>
            <w:r>
              <w:rPr>
                <w:rFonts w:ascii="Arial" w:cs="Arial" w:eastAsia="Arial" w:hAnsi="Arial"/>
                <w:sz w:val="16"/>
                <w:szCs w:val="16"/>
                <w:color w:val="auto"/>
              </w:rPr>
              <w:t>Total, net</w:t>
            </w: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11,411</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4,195</w:t>
            </w:r>
          </w:p>
        </w:tc>
        <w:tc>
          <w:tcPr>
            <w:tcW w:w="2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55</w:t>
            </w:r>
          </w:p>
        </w:tc>
        <w:tc>
          <w:tcPr>
            <w:tcW w:w="4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15,661</w:t>
            </w:r>
          </w:p>
        </w:tc>
        <w:tc>
          <w:tcPr>
            <w:tcW w:w="20" w:type="dxa"/>
            <w:vAlign w:val="bottom"/>
          </w:tcPr>
          <w:p>
            <w:pPr>
              <w:spacing w:after="0"/>
              <w:rPr>
                <w:sz w:val="15"/>
                <w:szCs w:val="15"/>
                <w:color w:val="auto"/>
              </w:rPr>
            </w:pPr>
          </w:p>
        </w:tc>
      </w:tr>
      <w:tr>
        <w:trPr>
          <w:trHeight w:val="727"/>
        </w:trPr>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27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27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8" w:right="1339" w:bottom="1440" w:gutter="0" w:footer="0" w:header="0"/>
        </w:sectPr>
      </w:pPr>
    </w:p>
    <w:bookmarkStart w:id="76" w:name="page77"/>
    <w:bookmarkEnd w:id="76"/>
    <w:p>
      <w:pPr>
        <w:jc w:val="both"/>
        <w:ind w:firstLine="564"/>
        <w:spacing w:after="0" w:line="274" w:lineRule="auto"/>
        <w:rPr>
          <w:sz w:val="20"/>
          <w:szCs w:val="20"/>
          <w:color w:val="auto"/>
        </w:rPr>
      </w:pPr>
      <w:r>
        <w:rPr>
          <w:rFonts w:ascii="Arial" w:cs="Arial" w:eastAsia="Arial" w:hAnsi="Arial"/>
          <w:sz w:val="15"/>
          <w:szCs w:val="15"/>
          <w:color w:val="auto"/>
        </w:rPr>
        <w:t>We amortize our beneficial leases over the lease period, the longest of which is approximately 30 years; our trade name using an accelerated amortization method over its estimated useful life of 45 years; and our option fee and other intangible assets over 10 years. For the years ended December 31, 2013, 2012, and 2011, our amortization expense was $2.2 million, $2.2 million, and $2.4 million, respectively. The estimated amortization expense in the five succeeding years and thereafter is as follows (dollars in thousands):</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p>
    <w:tbl>
      <w:tblPr>
        <w:tblLayout w:type="fixed"/>
        <w:tblInd w:w="740" w:type="dxa"/>
        <w:tblCellMar>
          <w:top w:w="0" w:type="dxa"/>
          <w:left w:w="0" w:type="dxa"/>
          <w:bottom w:w="0" w:type="dxa"/>
          <w:right w:w="0" w:type="dxa"/>
        </w:tblCellMar>
      </w:tblPr>
      <w:tr>
        <w:trPr>
          <w:trHeight w:val="180"/>
        </w:trPr>
        <w:tc>
          <w:tcPr>
            <w:tcW w:w="42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2014</w:t>
            </w:r>
          </w:p>
        </w:tc>
        <w:tc>
          <w:tcPr>
            <w:tcW w:w="2620" w:type="dxa"/>
            <w:vAlign w:val="bottom"/>
            <w:tcBorders>
              <w:top w:val="single" w:sz="8" w:color="auto"/>
            </w:tcBorders>
          </w:tcPr>
          <w:p>
            <w:pPr>
              <w:jc w:val="right"/>
              <w:ind w:right="282"/>
              <w:spacing w:after="0" w:line="180"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1,994</w:t>
            </w:r>
          </w:p>
        </w:tc>
      </w:tr>
      <w:tr>
        <w:trPr>
          <w:trHeight w:val="188"/>
        </w:trPr>
        <w:tc>
          <w:tcPr>
            <w:tcW w:w="4280" w:type="dxa"/>
            <w:vAlign w:val="bottom"/>
          </w:tcPr>
          <w:p>
            <w:pPr>
              <w:spacing w:after="0"/>
              <w:rPr>
                <w:sz w:val="20"/>
                <w:szCs w:val="20"/>
                <w:color w:val="auto"/>
              </w:rPr>
            </w:pPr>
            <w:r>
              <w:rPr>
                <w:rFonts w:ascii="Arial" w:cs="Arial" w:eastAsia="Arial" w:hAnsi="Arial"/>
                <w:sz w:val="16"/>
                <w:szCs w:val="16"/>
                <w:color w:val="auto"/>
              </w:rPr>
              <w:t>2015</w:t>
            </w:r>
          </w:p>
        </w:tc>
        <w:tc>
          <w:tcPr>
            <w:tcW w:w="2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1,921</w:t>
            </w:r>
          </w:p>
        </w:tc>
      </w:tr>
      <w:tr>
        <w:trPr>
          <w:trHeight w:val="188"/>
        </w:trPr>
        <w:tc>
          <w:tcPr>
            <w:tcW w:w="4280" w:type="dxa"/>
            <w:vAlign w:val="bottom"/>
          </w:tcPr>
          <w:p>
            <w:pPr>
              <w:spacing w:after="0"/>
              <w:rPr>
                <w:sz w:val="20"/>
                <w:szCs w:val="20"/>
                <w:color w:val="auto"/>
              </w:rPr>
            </w:pPr>
            <w:r>
              <w:rPr>
                <w:rFonts w:ascii="Arial" w:cs="Arial" w:eastAsia="Arial" w:hAnsi="Arial"/>
                <w:sz w:val="16"/>
                <w:szCs w:val="16"/>
                <w:color w:val="auto"/>
              </w:rPr>
              <w:t>2016</w:t>
            </w:r>
          </w:p>
        </w:tc>
        <w:tc>
          <w:tcPr>
            <w:tcW w:w="2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1,724</w:t>
            </w:r>
          </w:p>
        </w:tc>
      </w:tr>
      <w:tr>
        <w:trPr>
          <w:trHeight w:val="188"/>
        </w:trPr>
        <w:tc>
          <w:tcPr>
            <w:tcW w:w="4280" w:type="dxa"/>
            <w:vAlign w:val="bottom"/>
          </w:tcPr>
          <w:p>
            <w:pPr>
              <w:spacing w:after="0"/>
              <w:rPr>
                <w:sz w:val="20"/>
                <w:szCs w:val="20"/>
                <w:color w:val="auto"/>
              </w:rPr>
            </w:pPr>
            <w:r>
              <w:rPr>
                <w:rFonts w:ascii="Arial" w:cs="Arial" w:eastAsia="Arial" w:hAnsi="Arial"/>
                <w:sz w:val="16"/>
                <w:szCs w:val="16"/>
                <w:color w:val="auto"/>
              </w:rPr>
              <w:t>2017</w:t>
            </w:r>
          </w:p>
        </w:tc>
        <w:tc>
          <w:tcPr>
            <w:tcW w:w="2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1,327</w:t>
            </w:r>
          </w:p>
        </w:tc>
      </w:tr>
      <w:tr>
        <w:trPr>
          <w:trHeight w:val="188"/>
        </w:trPr>
        <w:tc>
          <w:tcPr>
            <w:tcW w:w="4280" w:type="dxa"/>
            <w:vAlign w:val="bottom"/>
          </w:tcPr>
          <w:p>
            <w:pPr>
              <w:spacing w:after="0"/>
              <w:rPr>
                <w:sz w:val="20"/>
                <w:szCs w:val="20"/>
                <w:color w:val="auto"/>
              </w:rPr>
            </w:pPr>
            <w:r>
              <w:rPr>
                <w:rFonts w:ascii="Arial" w:cs="Arial" w:eastAsia="Arial" w:hAnsi="Arial"/>
                <w:sz w:val="16"/>
                <w:szCs w:val="16"/>
                <w:color w:val="auto"/>
              </w:rPr>
              <w:t>2018</w:t>
            </w:r>
          </w:p>
        </w:tc>
        <w:tc>
          <w:tcPr>
            <w:tcW w:w="2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1,211</w:t>
            </w:r>
          </w:p>
        </w:tc>
      </w:tr>
      <w:tr>
        <w:trPr>
          <w:trHeight w:val="200"/>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2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w:t>
            </w:r>
          </w:p>
        </w:tc>
      </w:tr>
      <w:tr>
        <w:trPr>
          <w:trHeight w:val="184"/>
        </w:trPr>
        <w:tc>
          <w:tcPr>
            <w:tcW w:w="42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future amortization expense</w:t>
            </w:r>
          </w:p>
        </w:tc>
        <w:tc>
          <w:tcPr>
            <w:tcW w:w="26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13,440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11 – Investments in and Advances to Unconsolidated Joint Ventures and Entities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Investments in and advances to unconsolidated joint ventures and entities are accounted for under the equity method of accounting except for Rialto Distribution as described below. As of December 31, 2013 and 2012, these investments in and advances to unconsolidated joint ventures and entities include the following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07"/>
        </w:trPr>
        <w:tc>
          <w:tcPr>
            <w:tcW w:w="37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left="882"/>
              <w:spacing w:after="0"/>
              <w:rPr>
                <w:sz w:val="20"/>
                <w:szCs w:val="20"/>
                <w:color w:val="auto"/>
              </w:rPr>
            </w:pPr>
            <w:r>
              <w:rPr>
                <w:rFonts w:ascii="Arial" w:cs="Arial" w:eastAsia="Arial" w:hAnsi="Arial"/>
                <w:sz w:val="16"/>
                <w:szCs w:val="16"/>
                <w:b w:val="1"/>
                <w:bCs w:val="1"/>
                <w:color w:val="auto"/>
                <w:w w:val="89"/>
              </w:rPr>
              <w:t>Interest</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2013</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2012</w:t>
            </w:r>
          </w:p>
        </w:tc>
      </w:tr>
      <w:tr>
        <w:trPr>
          <w:trHeight w:val="200"/>
        </w:trPr>
        <w:tc>
          <w:tcPr>
            <w:tcW w:w="3740" w:type="dxa"/>
            <w:vAlign w:val="bottom"/>
          </w:tcPr>
          <w:p>
            <w:pPr>
              <w:spacing w:after="0"/>
              <w:rPr>
                <w:sz w:val="20"/>
                <w:szCs w:val="20"/>
                <w:color w:val="auto"/>
              </w:rPr>
            </w:pPr>
            <w:r>
              <w:rPr>
                <w:rFonts w:ascii="Arial" w:cs="Arial" w:eastAsia="Arial" w:hAnsi="Arial"/>
                <w:sz w:val="16"/>
                <w:szCs w:val="16"/>
                <w:color w:val="auto"/>
              </w:rPr>
              <w:t>Rialto Distribution</w:t>
            </w:r>
          </w:p>
        </w:tc>
        <w:tc>
          <w:tcPr>
            <w:tcW w:w="1920" w:type="dxa"/>
            <w:vAlign w:val="bottom"/>
          </w:tcPr>
          <w:p>
            <w:pPr>
              <w:jc w:val="center"/>
              <w:ind w:left="882"/>
              <w:spacing w:after="0"/>
              <w:rPr>
                <w:sz w:val="20"/>
                <w:szCs w:val="20"/>
                <w:color w:val="auto"/>
              </w:rPr>
            </w:pPr>
            <w:r>
              <w:rPr>
                <w:rFonts w:ascii="Arial" w:cs="Arial" w:eastAsia="Arial" w:hAnsi="Arial"/>
                <w:sz w:val="16"/>
                <w:szCs w:val="16"/>
                <w:color w:val="auto"/>
                <w:w w:val="88"/>
              </w:rPr>
              <w:t>33.3%</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3740" w:type="dxa"/>
            <w:vAlign w:val="bottom"/>
          </w:tcPr>
          <w:p>
            <w:pPr>
              <w:spacing w:after="0"/>
              <w:rPr>
                <w:sz w:val="20"/>
                <w:szCs w:val="20"/>
                <w:color w:val="auto"/>
              </w:rPr>
            </w:pPr>
            <w:r>
              <w:rPr>
                <w:rFonts w:ascii="Arial" w:cs="Arial" w:eastAsia="Arial" w:hAnsi="Arial"/>
                <w:sz w:val="16"/>
                <w:szCs w:val="16"/>
                <w:color w:val="auto"/>
              </w:rPr>
              <w:t>Rialto Cinemas</w:t>
            </w:r>
          </w:p>
        </w:tc>
        <w:tc>
          <w:tcPr>
            <w:tcW w:w="1920" w:type="dxa"/>
            <w:vAlign w:val="bottom"/>
          </w:tcPr>
          <w:p>
            <w:pPr>
              <w:jc w:val="center"/>
              <w:ind w:left="882"/>
              <w:spacing w:after="0"/>
              <w:rPr>
                <w:sz w:val="20"/>
                <w:szCs w:val="20"/>
                <w:color w:val="auto"/>
              </w:rPr>
            </w:pPr>
            <w:r>
              <w:rPr>
                <w:rFonts w:ascii="Arial" w:cs="Arial" w:eastAsia="Arial" w:hAnsi="Arial"/>
                <w:sz w:val="16"/>
                <w:szCs w:val="16"/>
                <w:color w:val="auto"/>
                <w:w w:val="88"/>
              </w:rPr>
              <w:t>50.0%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1,571</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1,561</w:t>
            </w:r>
          </w:p>
        </w:tc>
      </w:tr>
      <w:tr>
        <w:trPr>
          <w:trHeight w:val="211"/>
        </w:trPr>
        <w:tc>
          <w:tcPr>
            <w:tcW w:w="3740" w:type="dxa"/>
            <w:vAlign w:val="bottom"/>
          </w:tcPr>
          <w:p>
            <w:pPr>
              <w:spacing w:after="0"/>
              <w:rPr>
                <w:sz w:val="20"/>
                <w:szCs w:val="20"/>
                <w:color w:val="auto"/>
              </w:rPr>
            </w:pPr>
            <w:r>
              <w:rPr>
                <w:rFonts w:ascii="Arial" w:cs="Arial" w:eastAsia="Arial" w:hAnsi="Arial"/>
                <w:sz w:val="16"/>
                <w:szCs w:val="16"/>
                <w:color w:val="auto"/>
              </w:rPr>
              <w:t>205-209 East 57</w:t>
            </w:r>
            <w:r>
              <w:rPr>
                <w:rFonts w:ascii="Arial" w:cs="Arial" w:eastAsia="Arial" w:hAnsi="Arial"/>
                <w:sz w:val="7"/>
                <w:szCs w:val="7"/>
                <w:color w:val="auto"/>
              </w:rPr>
              <w:t>th</w:t>
            </w:r>
            <w:r>
              <w:rPr>
                <w:rFonts w:ascii="Arial" w:cs="Arial" w:eastAsia="Arial" w:hAnsi="Arial"/>
                <w:sz w:val="16"/>
                <w:szCs w:val="16"/>
                <w:color w:val="auto"/>
              </w:rPr>
              <w:t xml:space="preserve"> Street Associates, LLC</w:t>
            </w:r>
          </w:p>
        </w:tc>
        <w:tc>
          <w:tcPr>
            <w:tcW w:w="1920" w:type="dxa"/>
            <w:vAlign w:val="bottom"/>
          </w:tcPr>
          <w:p>
            <w:pPr>
              <w:jc w:val="center"/>
              <w:ind w:left="882"/>
              <w:spacing w:after="0"/>
              <w:rPr>
                <w:sz w:val="20"/>
                <w:szCs w:val="20"/>
                <w:color w:val="auto"/>
              </w:rPr>
            </w:pPr>
            <w:r>
              <w:rPr>
                <w:rFonts w:ascii="Arial" w:cs="Arial" w:eastAsia="Arial" w:hAnsi="Arial"/>
                <w:sz w:val="16"/>
                <w:szCs w:val="16"/>
                <w:color w:val="auto"/>
                <w:w w:val="88"/>
              </w:rPr>
              <w:t>25.0%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Mt. Gravatt</w:t>
            </w:r>
          </w:p>
        </w:tc>
        <w:tc>
          <w:tcPr>
            <w:tcW w:w="1920" w:type="dxa"/>
            <w:vAlign w:val="bottom"/>
            <w:tcBorders>
              <w:bottom w:val="single" w:sz="8" w:color="auto"/>
            </w:tcBorders>
          </w:tcPr>
          <w:p>
            <w:pPr>
              <w:jc w:val="center"/>
              <w:ind w:left="882"/>
              <w:spacing w:after="0"/>
              <w:rPr>
                <w:sz w:val="20"/>
                <w:szCs w:val="20"/>
                <w:color w:val="auto"/>
              </w:rPr>
            </w:pPr>
            <w:r>
              <w:rPr>
                <w:rFonts w:ascii="Arial" w:cs="Arial" w:eastAsia="Arial" w:hAnsi="Arial"/>
                <w:sz w:val="16"/>
                <w:szCs w:val="16"/>
                <w:color w:val="auto"/>
                <w:w w:val="88"/>
              </w:rPr>
              <w:t>33.3%</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5,164</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6,094</w:t>
            </w:r>
          </w:p>
        </w:tc>
      </w:tr>
      <w:tr>
        <w:trPr>
          <w:trHeight w:val="184"/>
        </w:trPr>
        <w:tc>
          <w:tcPr>
            <w:tcW w:w="37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investments</w:t>
            </w:r>
          </w:p>
        </w:tc>
        <w:tc>
          <w:tcPr>
            <w:tcW w:w="1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6,735</w:t>
            </w:r>
          </w:p>
        </w:tc>
        <w:tc>
          <w:tcPr>
            <w:tcW w:w="64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7,715</w:t>
            </w:r>
          </w:p>
        </w:tc>
      </w:tr>
      <w:tr>
        <w:trPr>
          <w:trHeight w:val="187"/>
        </w:trPr>
        <w:tc>
          <w:tcPr>
            <w:tcW w:w="9180" w:type="dxa"/>
            <w:vAlign w:val="bottom"/>
            <w:gridSpan w:val="7"/>
          </w:tcPr>
          <w:p>
            <w:pPr>
              <w:ind w:left="560"/>
              <w:spacing w:after="0"/>
              <w:rPr>
                <w:sz w:val="20"/>
                <w:szCs w:val="20"/>
                <w:color w:val="auto"/>
              </w:rPr>
            </w:pPr>
            <w:r>
              <w:rPr>
                <w:rFonts w:ascii="Arial" w:cs="Arial" w:eastAsia="Arial" w:hAnsi="Arial"/>
                <w:sz w:val="16"/>
                <w:szCs w:val="16"/>
                <w:color w:val="auto"/>
                <w:w w:val="90"/>
              </w:rPr>
              <w:t>For the years ended December 31, 2013, 2012, and 2011, we recorded our earnings (loss) from our unconsolidated joint ventures and</w:t>
            </w:r>
          </w:p>
        </w:tc>
      </w:tr>
      <w:tr>
        <w:trPr>
          <w:trHeight w:val="200"/>
        </w:trPr>
        <w:tc>
          <w:tcPr>
            <w:tcW w:w="3740" w:type="dxa"/>
            <w:vAlign w:val="bottom"/>
          </w:tcPr>
          <w:p>
            <w:pPr>
              <w:spacing w:after="0"/>
              <w:rPr>
                <w:sz w:val="20"/>
                <w:szCs w:val="20"/>
                <w:color w:val="auto"/>
              </w:rPr>
            </w:pPr>
            <w:r>
              <w:rPr>
                <w:rFonts w:ascii="Arial" w:cs="Arial" w:eastAsia="Arial" w:hAnsi="Arial"/>
                <w:sz w:val="16"/>
                <w:szCs w:val="16"/>
                <w:color w:val="auto"/>
              </w:rPr>
              <w:t>entities as follows (dollars in thousands):</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207"/>
        </w:trPr>
        <w:tc>
          <w:tcPr>
            <w:tcW w:w="4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2011</w:t>
            </w:r>
          </w:p>
        </w:tc>
      </w:tr>
      <w:tr>
        <w:trPr>
          <w:trHeight w:val="200"/>
        </w:trPr>
        <w:tc>
          <w:tcPr>
            <w:tcW w:w="4480" w:type="dxa"/>
            <w:vAlign w:val="bottom"/>
          </w:tcPr>
          <w:p>
            <w:pPr>
              <w:spacing w:after="0"/>
              <w:rPr>
                <w:sz w:val="20"/>
                <w:szCs w:val="20"/>
                <w:color w:val="auto"/>
              </w:rPr>
            </w:pPr>
            <w:r>
              <w:rPr>
                <w:rFonts w:ascii="Arial" w:cs="Arial" w:eastAsia="Arial" w:hAnsi="Arial"/>
                <w:sz w:val="16"/>
                <w:szCs w:val="16"/>
                <w:color w:val="auto"/>
              </w:rPr>
              <w:t>Rialto Distribution</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159</w:t>
            </w:r>
          </w:p>
        </w:tc>
        <w:tc>
          <w:tcPr>
            <w:tcW w:w="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199</w:t>
            </w:r>
          </w:p>
        </w:tc>
        <w:tc>
          <w:tcPr>
            <w:tcW w:w="4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1"/>
        </w:trPr>
        <w:tc>
          <w:tcPr>
            <w:tcW w:w="4480" w:type="dxa"/>
            <w:vAlign w:val="bottom"/>
          </w:tcPr>
          <w:p>
            <w:pPr>
              <w:spacing w:after="0"/>
              <w:rPr>
                <w:sz w:val="20"/>
                <w:szCs w:val="20"/>
                <w:color w:val="auto"/>
              </w:rPr>
            </w:pPr>
            <w:r>
              <w:rPr>
                <w:rFonts w:ascii="Arial" w:cs="Arial" w:eastAsia="Arial" w:hAnsi="Arial"/>
                <w:sz w:val="16"/>
                <w:szCs w:val="16"/>
                <w:color w:val="auto"/>
              </w:rPr>
              <w:t>Rialto Cinemas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221</w:t>
            </w:r>
          </w:p>
        </w:tc>
        <w:tc>
          <w:tcPr>
            <w:tcW w:w="3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209</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1"/>
        </w:trPr>
        <w:tc>
          <w:tcPr>
            <w:tcW w:w="4480" w:type="dxa"/>
            <w:vAlign w:val="bottom"/>
          </w:tcPr>
          <w:p>
            <w:pPr>
              <w:spacing w:after="0"/>
              <w:rPr>
                <w:sz w:val="20"/>
                <w:szCs w:val="20"/>
                <w:color w:val="auto"/>
              </w:rPr>
            </w:pPr>
            <w:r>
              <w:rPr>
                <w:rFonts w:ascii="Arial" w:cs="Arial" w:eastAsia="Arial" w:hAnsi="Arial"/>
                <w:sz w:val="16"/>
                <w:szCs w:val="16"/>
                <w:color w:val="auto"/>
              </w:rPr>
              <w:t>205-209 East 57</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Street Associates, LLC</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2"/>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Mt. Gravatt</w:t>
            </w: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990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1,186</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r>
      <w:tr>
        <w:trPr>
          <w:trHeight w:val="192"/>
        </w:trPr>
        <w:tc>
          <w:tcPr>
            <w:tcW w:w="4480" w:type="dxa"/>
            <w:vAlign w:val="bottom"/>
          </w:tcPr>
          <w:p>
            <w:pPr>
              <w:spacing w:after="0"/>
              <w:rPr>
                <w:sz w:val="20"/>
                <w:szCs w:val="20"/>
                <w:color w:val="auto"/>
              </w:rPr>
            </w:pPr>
            <w:r>
              <w:rPr>
                <w:rFonts w:ascii="Arial" w:cs="Arial" w:eastAsia="Arial" w:hAnsi="Arial"/>
                <w:sz w:val="16"/>
                <w:szCs w:val="16"/>
                <w:color w:val="auto"/>
              </w:rPr>
              <w:t>Total investor share of earnings</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1,369</w:t>
            </w:r>
          </w:p>
        </w:tc>
        <w:tc>
          <w:tcPr>
            <w:tcW w:w="32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1,621</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1,382</w:t>
            </w:r>
          </w:p>
        </w:tc>
      </w:tr>
      <w:tr>
        <w:trPr>
          <w:trHeight w:val="211"/>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Rialto Cinemas impairment recorded at investor level</w:t>
            </w: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r>
      <w:tr>
        <w:trPr>
          <w:trHeight w:val="192"/>
        </w:trPr>
        <w:tc>
          <w:tcPr>
            <w:tcW w:w="4480" w:type="dxa"/>
            <w:vAlign w:val="bottom"/>
          </w:tcPr>
          <w:p>
            <w:pPr>
              <w:spacing w:after="0"/>
              <w:rPr>
                <w:sz w:val="20"/>
                <w:szCs w:val="20"/>
                <w:color w:val="auto"/>
              </w:rPr>
            </w:pPr>
            <w:r>
              <w:rPr>
                <w:rFonts w:ascii="Arial" w:cs="Arial" w:eastAsia="Arial" w:hAnsi="Arial"/>
                <w:sz w:val="16"/>
                <w:szCs w:val="16"/>
                <w:color w:val="auto"/>
              </w:rPr>
              <w:t>Total equity earnings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1,369</w:t>
            </w:r>
          </w:p>
        </w:tc>
        <w:tc>
          <w:tcPr>
            <w:tcW w:w="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1,621</w:t>
            </w:r>
          </w:p>
        </w:tc>
        <w:tc>
          <w:tcPr>
            <w:tcW w:w="4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83247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32475" cy="146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Rialto Distribution</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Due to significant losses in years past, we determined that the goodwill associated with Rialto Distribution’s investment in the film distribution business was fully impaired. As a result of these losses, as of January 1, 2010, we treat our interest as a cost method interest in an unconsolidated joint venture. For the years ended December 31, 2013, 2012, and 2011 we received $159,000 (NZ$195,000), $199,000 (NZ$245,000), and $383,000 (NZ$500,000), respectively, in distributions from our interest in Rialto Distribution which we recorded as earnings at the time of receipt.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Rialto Cinemas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7" w:name="page78"/>
    <w:bookmarkEnd w:id="77"/>
    <w:p>
      <w:pPr>
        <w:jc w:val="both"/>
        <w:ind w:firstLine="564"/>
        <w:spacing w:after="0" w:line="315" w:lineRule="auto"/>
        <w:rPr>
          <w:sz w:val="20"/>
          <w:szCs w:val="20"/>
          <w:color w:val="auto"/>
        </w:rPr>
      </w:pPr>
      <w:r>
        <w:rPr>
          <w:rFonts w:ascii="Arial" w:cs="Arial" w:eastAsia="Arial" w:hAnsi="Arial"/>
          <w:sz w:val="13"/>
          <w:szCs w:val="13"/>
          <w:color w:val="auto"/>
        </w:rPr>
        <w:t xml:space="preserve">We own an undivided 50% interest in the assets and liabilities of the Rialto Entertainment joint venture and treat our interest as an equity method interest in an unconsolidated joint venture. Subsequent to the February 22, 2011 earthquake in Christchurch, the joint venture obtained a termination agreement with the landlord associated with the Christchurch cinema lease (see Note 26 – </w:t>
      </w:r>
      <w:r>
        <w:rPr>
          <w:rFonts w:ascii="Arial" w:cs="Arial" w:eastAsia="Arial" w:hAnsi="Arial"/>
          <w:sz w:val="13"/>
          <w:szCs w:val="13"/>
          <w:i w:val="1"/>
          <w:iCs w:val="1"/>
          <w:color w:val="auto"/>
        </w:rPr>
        <w:t>Casualty Loss</w:t>
      </w:r>
      <w:r>
        <w:rPr>
          <w:rFonts w:ascii="Arial" w:cs="Arial" w:eastAsia="Arial" w:hAnsi="Arial"/>
          <w:sz w:val="13"/>
          <w:szCs w:val="13"/>
          <w:color w:val="auto"/>
        </w:rPr>
        <w:t>). As of December 31, 2013, following the closure of three cinemas with 15 screens, the joint venture owned two cinemas with 13 screens in the New Zealand cities of Auckland and Dunedin. As part of our investment impairment analysis for 2011, we determined that the value of our investment was impaired. For this reason, we recorded an impairment charge to our investment in Rialto Cinemas of $2.9 million (NZ$3.8 million) during December 31, 2011 and included it in our equity loss from unconsolidated joint ventures and entities for the year ended December 31, 2011.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205-209 East 57th Street Associates, LLC</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We own a non-managing 25% membership interest in 205-209 East 57th Street Associates, LLC a limited liability company formed to redevelop our former cinema site at 205 East 57th Street in Manhattan.</w:t>
      </w:r>
    </w:p>
    <w:p>
      <w:pPr>
        <w:spacing w:after="0" w:line="12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During the fourth quarter of 2010, the last residential condominium was sold for $900,000 from which we recorded earnings of $64,000 and received distributions totaling $293,000. During 2012, as a consequence of a purchaser’s dispute, a condominium which was previously sold was repurchased, renovated, and resold for a small gain resulting in additional earnings to us of $27,000. We do not anticipate any further income or expense from this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Mt. Gravatt</w:t>
      </w:r>
    </w:p>
    <w:p>
      <w:pPr>
        <w:spacing w:after="0" w:line="157"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We own an undivided 33.3% interest in Mt. Gravatt, an unincorporated joint venture that owns and operates a 16-screen multiplex cinema in Australia. The condensed balance sheets and statements of operations of Mt. Gravatt are as follows (dollars in thousands):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Mt. Gravatt Condensed Balance Sheet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6"/>
              </w:rPr>
              <w:t>December 31,</w:t>
            </w:r>
          </w:p>
        </w:tc>
        <w:tc>
          <w:tcPr>
            <w:tcW w:w="720" w:type="dxa"/>
            <w:vAlign w:val="bottom"/>
            <w:tcBorders>
              <w:bottom w:val="single" w:sz="8" w:color="auto"/>
            </w:tcBorders>
          </w:tcPr>
          <w:p>
            <w:pPr>
              <w:spacing w:after="0"/>
              <w:rPr>
                <w:sz w:val="17"/>
                <w:szCs w:val="17"/>
                <w:color w:val="auto"/>
              </w:rPr>
            </w:pPr>
          </w:p>
        </w:tc>
      </w:tr>
      <w:tr>
        <w:trPr>
          <w:trHeight w:val="184"/>
        </w:trPr>
        <w:tc>
          <w:tcPr>
            <w:tcW w:w="5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b w:val="1"/>
                <w:bCs w:val="1"/>
                <w:color w:val="auto"/>
              </w:rPr>
              <w:t>2012</w:t>
            </w:r>
          </w:p>
        </w:tc>
      </w:tr>
      <w:tr>
        <w:trPr>
          <w:trHeight w:val="175"/>
        </w:trPr>
        <w:tc>
          <w:tcPr>
            <w:tcW w:w="5400" w:type="dxa"/>
            <w:vAlign w:val="bottom"/>
          </w:tcPr>
          <w:p>
            <w:pPr>
              <w:spacing w:after="0" w:line="175" w:lineRule="exact"/>
              <w:rPr>
                <w:sz w:val="20"/>
                <w:szCs w:val="20"/>
                <w:color w:val="auto"/>
              </w:rPr>
            </w:pPr>
            <w:r>
              <w:rPr>
                <w:rFonts w:ascii="Arial" w:cs="Arial" w:eastAsia="Arial" w:hAnsi="Arial"/>
                <w:sz w:val="16"/>
                <w:szCs w:val="16"/>
                <w:color w:val="auto"/>
              </w:rPr>
              <w:t>Current assets</w:t>
            </w:r>
          </w:p>
        </w:tc>
        <w:tc>
          <w:tcPr>
            <w:tcW w:w="2080" w:type="dxa"/>
            <w:vAlign w:val="bottom"/>
            <w:gridSpan w:val="2"/>
          </w:tcPr>
          <w:p>
            <w:pPr>
              <w:jc w:val="right"/>
              <w:ind w:right="702"/>
              <w:spacing w:after="0" w:line="175"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887</w:t>
            </w:r>
          </w:p>
        </w:tc>
        <w:tc>
          <w:tcPr>
            <w:tcW w:w="46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1,318</w:t>
            </w:r>
          </w:p>
        </w:tc>
      </w:tr>
      <w:tr>
        <w:trPr>
          <w:trHeight w:val="188"/>
        </w:trPr>
        <w:tc>
          <w:tcPr>
            <w:tcW w:w="5400" w:type="dxa"/>
            <w:vAlign w:val="bottom"/>
          </w:tcPr>
          <w:p>
            <w:pPr>
              <w:spacing w:after="0"/>
              <w:rPr>
                <w:sz w:val="20"/>
                <w:szCs w:val="20"/>
                <w:color w:val="auto"/>
              </w:rPr>
            </w:pPr>
            <w:r>
              <w:rPr>
                <w:rFonts w:ascii="Arial" w:cs="Arial" w:eastAsia="Arial" w:hAnsi="Arial"/>
                <w:sz w:val="16"/>
                <w:szCs w:val="16"/>
                <w:color w:val="auto"/>
              </w:rPr>
              <w:t>Noncurrent assets</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3,288</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4,078</w:t>
            </w:r>
          </w:p>
        </w:tc>
      </w:tr>
      <w:tr>
        <w:trPr>
          <w:trHeight w:val="188"/>
        </w:trPr>
        <w:tc>
          <w:tcPr>
            <w:tcW w:w="5400" w:type="dxa"/>
            <w:vAlign w:val="bottom"/>
          </w:tcPr>
          <w:p>
            <w:pPr>
              <w:spacing w:after="0"/>
              <w:rPr>
                <w:sz w:val="20"/>
                <w:szCs w:val="20"/>
                <w:color w:val="auto"/>
              </w:rPr>
            </w:pPr>
            <w:r>
              <w:rPr>
                <w:rFonts w:ascii="Arial" w:cs="Arial" w:eastAsia="Arial" w:hAnsi="Arial"/>
                <w:sz w:val="16"/>
                <w:szCs w:val="16"/>
                <w:color w:val="auto"/>
              </w:rPr>
              <w:t>Current liabilities</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751</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188"/>
        </w:trPr>
        <w:tc>
          <w:tcPr>
            <w:tcW w:w="54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96"/>
        </w:trPr>
        <w:tc>
          <w:tcPr>
            <w:tcW w:w="5400" w:type="dxa"/>
            <w:vAlign w:val="bottom"/>
          </w:tcPr>
          <w:p>
            <w:pPr>
              <w:spacing w:after="0"/>
              <w:rPr>
                <w:sz w:val="20"/>
                <w:szCs w:val="20"/>
                <w:color w:val="auto"/>
              </w:rPr>
            </w:pPr>
            <w:r>
              <w:rPr>
                <w:rFonts w:ascii="Arial" w:cs="Arial" w:eastAsia="Arial" w:hAnsi="Arial"/>
                <w:sz w:val="16"/>
                <w:szCs w:val="16"/>
                <w:color w:val="auto"/>
              </w:rPr>
              <w:t>Members’ equity</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3,394</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4,242</w:t>
            </w:r>
          </w:p>
        </w:tc>
      </w:tr>
      <w:tr>
        <w:trPr>
          <w:trHeight w:val="204"/>
        </w:trPr>
        <w:tc>
          <w:tcPr>
            <w:tcW w:w="5400" w:type="dxa"/>
            <w:vAlign w:val="bottom"/>
          </w:tcPr>
          <w:p>
            <w:pPr>
              <w:spacing w:after="0"/>
              <w:rPr>
                <w:sz w:val="20"/>
                <w:szCs w:val="20"/>
                <w:color w:val="auto"/>
              </w:rPr>
            </w:pPr>
            <w:r>
              <w:rPr>
                <w:rFonts w:ascii="Arial" w:cs="Arial" w:eastAsia="Arial" w:hAnsi="Arial"/>
                <w:sz w:val="16"/>
                <w:szCs w:val="16"/>
                <w:b w:val="1"/>
                <w:bCs w:val="1"/>
                <w:color w:val="auto"/>
              </w:rPr>
              <w:t>Mt. Gravatt Condensed Statements of Operations Information</w:t>
            </w: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2"/>
              </w:rPr>
              <w:t>December 31,</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84"/>
        </w:trPr>
        <w:tc>
          <w:tcPr>
            <w:tcW w:w="3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2"/>
              <w:spacing w:after="0" w:line="181" w:lineRule="exact"/>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b w:val="1"/>
                <w:bCs w:val="1"/>
                <w:color w:val="auto"/>
              </w:rPr>
              <w:t>2011</w:t>
            </w:r>
          </w:p>
        </w:tc>
      </w:tr>
      <w:tr>
        <w:trPr>
          <w:trHeight w:val="175"/>
        </w:trPr>
        <w:tc>
          <w:tcPr>
            <w:tcW w:w="3100" w:type="dxa"/>
            <w:vAlign w:val="bottom"/>
          </w:tcPr>
          <w:p>
            <w:pPr>
              <w:spacing w:after="0" w:line="175" w:lineRule="exact"/>
              <w:rPr>
                <w:sz w:val="20"/>
                <w:szCs w:val="20"/>
                <w:color w:val="auto"/>
              </w:rPr>
            </w:pPr>
            <w:r>
              <w:rPr>
                <w:rFonts w:ascii="Arial" w:cs="Arial" w:eastAsia="Arial" w:hAnsi="Arial"/>
                <w:sz w:val="16"/>
                <w:szCs w:val="16"/>
                <w:color w:val="auto"/>
              </w:rPr>
              <w:t>Total revenue</w:t>
            </w:r>
          </w:p>
        </w:tc>
        <w:tc>
          <w:tcPr>
            <w:tcW w:w="248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12,949</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15,236</w:t>
            </w:r>
          </w:p>
        </w:tc>
        <w:tc>
          <w:tcPr>
            <w:tcW w:w="3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14,097</w:t>
            </w: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auto"/>
              </w:rPr>
              <w:t>Net income</w:t>
            </w: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2,923</w:t>
            </w:r>
          </w:p>
        </w:tc>
        <w:tc>
          <w:tcPr>
            <w:tcW w:w="28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3,513</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Malulani Investments, Limited</w:t>
      </w:r>
    </w:p>
    <w:p>
      <w:pPr>
        <w:spacing w:after="0" w:line="168" w:lineRule="exact"/>
        <w:rPr>
          <w:sz w:val="20"/>
          <w:szCs w:val="20"/>
          <w:color w:val="auto"/>
        </w:rPr>
      </w:pPr>
    </w:p>
    <w:p>
      <w:pPr>
        <w:jc w:val="both"/>
        <w:ind w:firstLine="564"/>
        <w:spacing w:after="0" w:line="312" w:lineRule="auto"/>
        <w:rPr>
          <w:sz w:val="20"/>
          <w:szCs w:val="20"/>
          <w:color w:val="auto"/>
        </w:rPr>
      </w:pPr>
      <w:r>
        <w:rPr>
          <w:rFonts w:ascii="Arial" w:cs="Arial" w:eastAsia="Arial" w:hAnsi="Arial"/>
          <w:sz w:val="13"/>
          <w:szCs w:val="13"/>
          <w:color w:val="auto"/>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$6.8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 During 2011, we received $191,000 in interest on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78" w:name="page79"/>
    <w:bookmarkEnd w:id="78"/>
    <w:p>
      <w:pPr>
        <w:jc w:val="both"/>
        <w:spacing w:after="0" w:line="381" w:lineRule="auto"/>
        <w:rPr>
          <w:sz w:val="20"/>
          <w:szCs w:val="20"/>
          <w:color w:val="auto"/>
        </w:rPr>
      </w:pPr>
      <w:r>
        <w:rPr>
          <w:rFonts w:ascii="Arial" w:cs="Arial" w:eastAsia="Arial" w:hAnsi="Arial"/>
          <w:sz w:val="13"/>
          <w:szCs w:val="13"/>
          <w:color w:val="auto"/>
        </w:rPr>
        <w:t>promissory note, and, on June 14, 2011, we received $6.8 million of principal and interest owed on this note. We believe that further amounts are owed under the note and we have begun litigation to collect such amounts. Any further collections will be recognized when received.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Combined Condensed Financial Information</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combined condensed financial information for all of the above unconsolidated joint ventures and entities accounted for under the equity method is as follows; therefore, these financials only exclude Rialto Distribution (dollars in thousands):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Balance Sheet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6"/>
              </w:rPr>
              <w:t>December 31,</w:t>
            </w:r>
          </w:p>
        </w:tc>
        <w:tc>
          <w:tcPr>
            <w:tcW w:w="720" w:type="dxa"/>
            <w:vAlign w:val="bottom"/>
            <w:tcBorders>
              <w:bottom w:val="single" w:sz="8" w:color="auto"/>
            </w:tcBorders>
          </w:tcPr>
          <w:p>
            <w:pPr>
              <w:spacing w:after="0"/>
              <w:rPr>
                <w:sz w:val="17"/>
                <w:szCs w:val="17"/>
                <w:color w:val="auto"/>
              </w:rPr>
            </w:pPr>
          </w:p>
        </w:tc>
      </w:tr>
      <w:tr>
        <w:trPr>
          <w:trHeight w:val="184"/>
        </w:trPr>
        <w:tc>
          <w:tcPr>
            <w:tcW w:w="4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b w:val="1"/>
                <w:bCs w:val="1"/>
                <w:color w:val="auto"/>
              </w:rPr>
              <w:t>2012</w:t>
            </w:r>
          </w:p>
        </w:tc>
      </w:tr>
      <w:tr>
        <w:trPr>
          <w:trHeight w:val="175"/>
        </w:trPr>
        <w:tc>
          <w:tcPr>
            <w:tcW w:w="4980" w:type="dxa"/>
            <w:vAlign w:val="bottom"/>
          </w:tcPr>
          <w:p>
            <w:pPr>
              <w:spacing w:after="0" w:line="175" w:lineRule="exact"/>
              <w:rPr>
                <w:sz w:val="20"/>
                <w:szCs w:val="20"/>
                <w:color w:val="auto"/>
              </w:rPr>
            </w:pPr>
            <w:r>
              <w:rPr>
                <w:rFonts w:ascii="Arial" w:cs="Arial" w:eastAsia="Arial" w:hAnsi="Arial"/>
                <w:sz w:val="16"/>
                <w:szCs w:val="16"/>
                <w:color w:val="auto"/>
              </w:rPr>
              <w:t>Current assets</w:t>
            </w:r>
          </w:p>
        </w:tc>
        <w:tc>
          <w:tcPr>
            <w:tcW w:w="2500" w:type="dxa"/>
            <w:vAlign w:val="bottom"/>
            <w:gridSpan w:val="2"/>
          </w:tcPr>
          <w:p>
            <w:pPr>
              <w:jc w:val="right"/>
              <w:ind w:right="702"/>
              <w:spacing w:after="0" w:line="175"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42"/>
              <w:spacing w:after="0" w:line="175" w:lineRule="exact"/>
              <w:rPr>
                <w:sz w:val="20"/>
                <w:szCs w:val="20"/>
                <w:color w:val="auto"/>
              </w:rPr>
            </w:pPr>
            <w:r>
              <w:rPr>
                <w:rFonts w:ascii="Arial" w:cs="Arial" w:eastAsia="Arial" w:hAnsi="Arial"/>
                <w:sz w:val="16"/>
                <w:szCs w:val="16"/>
                <w:color w:val="auto"/>
                <w:w w:val="94"/>
              </w:rPr>
              <w:t>3,255</w:t>
            </w:r>
          </w:p>
        </w:tc>
        <w:tc>
          <w:tcPr>
            <w:tcW w:w="46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3,488</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Noncurrent assets</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5,934</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6,621</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Current liabilities</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2,516</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2,197</w:t>
            </w: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670</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751</w:t>
            </w:r>
          </w:p>
        </w:tc>
      </w:tr>
      <w:tr>
        <w:trPr>
          <w:trHeight w:val="200"/>
        </w:trPr>
        <w:tc>
          <w:tcPr>
            <w:tcW w:w="4980" w:type="dxa"/>
            <w:vAlign w:val="bottom"/>
          </w:tcPr>
          <w:p>
            <w:pPr>
              <w:spacing w:after="0"/>
              <w:rPr>
                <w:sz w:val="20"/>
                <w:szCs w:val="20"/>
                <w:color w:val="auto"/>
              </w:rPr>
            </w:pPr>
            <w:r>
              <w:rPr>
                <w:rFonts w:ascii="Arial" w:cs="Arial" w:eastAsia="Arial" w:hAnsi="Arial"/>
                <w:sz w:val="16"/>
                <w:szCs w:val="16"/>
                <w:color w:val="auto"/>
              </w:rPr>
              <w:t>Members’ equity</w:t>
            </w: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w w:val="94"/>
              </w:rPr>
              <w:t>6,002</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7,161</w:t>
            </w:r>
          </w:p>
        </w:tc>
      </w:tr>
      <w:tr>
        <w:trPr>
          <w:trHeight w:val="258"/>
        </w:trPr>
        <w:tc>
          <w:tcPr>
            <w:tcW w:w="4980" w:type="dxa"/>
            <w:vAlign w:val="bottom"/>
          </w:tcPr>
          <w:p>
            <w:pPr>
              <w:spacing w:after="0"/>
              <w:rPr>
                <w:sz w:val="20"/>
                <w:szCs w:val="20"/>
                <w:color w:val="auto"/>
              </w:rPr>
            </w:pPr>
            <w:r>
              <w:rPr>
                <w:rFonts w:ascii="Arial" w:cs="Arial" w:eastAsia="Arial" w:hAnsi="Arial"/>
                <w:sz w:val="16"/>
                <w:szCs w:val="16"/>
                <w:b w:val="1"/>
                <w:bCs w:val="1"/>
                <w:color w:val="auto"/>
              </w:rPr>
              <w:t>Condensed Statements of Operations Information</w:t>
            </w:r>
          </w:p>
        </w:tc>
        <w:tc>
          <w:tcPr>
            <w:tcW w:w="1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2"/>
              </w:rPr>
              <w:t>December 31,</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84"/>
        </w:trPr>
        <w:tc>
          <w:tcPr>
            <w:tcW w:w="3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2"/>
              <w:spacing w:after="0" w:line="181" w:lineRule="exact"/>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b w:val="1"/>
                <w:bCs w:val="1"/>
                <w:color w:val="auto"/>
              </w:rPr>
              <w:t>2011</w:t>
            </w:r>
          </w:p>
        </w:tc>
      </w:tr>
      <w:tr>
        <w:trPr>
          <w:trHeight w:val="175"/>
        </w:trPr>
        <w:tc>
          <w:tcPr>
            <w:tcW w:w="3100" w:type="dxa"/>
            <w:vAlign w:val="bottom"/>
          </w:tcPr>
          <w:p>
            <w:pPr>
              <w:spacing w:after="0" w:line="175" w:lineRule="exact"/>
              <w:rPr>
                <w:sz w:val="20"/>
                <w:szCs w:val="20"/>
                <w:color w:val="auto"/>
              </w:rPr>
            </w:pPr>
            <w:r>
              <w:rPr>
                <w:rFonts w:ascii="Arial" w:cs="Arial" w:eastAsia="Arial" w:hAnsi="Arial"/>
                <w:sz w:val="16"/>
                <w:szCs w:val="16"/>
                <w:color w:val="auto"/>
              </w:rPr>
              <w:t>Total revenue</w:t>
            </w:r>
          </w:p>
        </w:tc>
        <w:tc>
          <w:tcPr>
            <w:tcW w:w="248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23,070</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26,138</w:t>
            </w:r>
          </w:p>
        </w:tc>
        <w:tc>
          <w:tcPr>
            <w:tcW w:w="3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28,017</w:t>
            </w: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auto"/>
              </w:rPr>
              <w:t>Net income</w:t>
            </w: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3,598</w:t>
            </w:r>
          </w:p>
        </w:tc>
        <w:tc>
          <w:tcPr>
            <w:tcW w:w="28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4,590</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4,021</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12 - Notes Payable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Notes payable are summarized as follows (dollars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6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Name of Note Payable or Security</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w w:val="90"/>
              </w:rPr>
              <w:t>December 31, 2013</w:t>
            </w: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7"/>
              </w:rPr>
              <w:t>December 31, 2012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Maturity Date</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December 31, 2013</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December 31, 2012</w:t>
            </w:r>
          </w:p>
        </w:tc>
      </w:tr>
      <w:tr>
        <w:trPr>
          <w:trHeight w:val="177"/>
        </w:trPr>
        <w:tc>
          <w:tcPr>
            <w:tcW w:w="2660" w:type="dxa"/>
            <w:vAlign w:val="bottom"/>
          </w:tcPr>
          <w:p>
            <w:pPr>
              <w:spacing w:after="0"/>
              <w:rPr>
                <w:sz w:val="20"/>
                <w:szCs w:val="20"/>
                <w:color w:val="auto"/>
              </w:rPr>
            </w:pPr>
            <w:r>
              <w:rPr>
                <w:rFonts w:ascii="Arial" w:cs="Arial" w:eastAsia="Arial" w:hAnsi="Arial"/>
                <w:sz w:val="13"/>
                <w:szCs w:val="13"/>
                <w:color w:val="auto"/>
              </w:rPr>
              <w:t>Trust Preferred Securities</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4.24%</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4.31%</w:t>
            </w: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April 30, 2027</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27,914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27,913</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Australian NAB Corporate Term Loan</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5.09%</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5.82%</w:t>
            </w:r>
          </w:p>
        </w:tc>
        <w:tc>
          <w:tcPr>
            <w:tcW w:w="1260" w:type="dxa"/>
            <w:vAlign w:val="bottom"/>
          </w:tcPr>
          <w:p>
            <w:pPr>
              <w:jc w:val="center"/>
              <w:spacing w:after="0"/>
              <w:rPr>
                <w:sz w:val="20"/>
                <w:szCs w:val="20"/>
                <w:color w:val="auto"/>
              </w:rPr>
            </w:pPr>
            <w:r>
              <w:rPr>
                <w:rFonts w:ascii="Arial" w:cs="Arial" w:eastAsia="Arial" w:hAnsi="Arial"/>
                <w:sz w:val="13"/>
                <w:szCs w:val="13"/>
                <w:color w:val="auto"/>
                <w:w w:val="84"/>
              </w:rPr>
              <w:t>June 30, 2014</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56,699</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75,349</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Australian NAB Corporate Revolver</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5.09%</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5.82%</w:t>
            </w:r>
          </w:p>
        </w:tc>
        <w:tc>
          <w:tcPr>
            <w:tcW w:w="1260" w:type="dxa"/>
            <w:vAlign w:val="bottom"/>
          </w:tcPr>
          <w:p>
            <w:pPr>
              <w:jc w:val="center"/>
              <w:spacing w:after="0"/>
              <w:rPr>
                <w:sz w:val="20"/>
                <w:szCs w:val="20"/>
                <w:color w:val="auto"/>
              </w:rPr>
            </w:pPr>
            <w:r>
              <w:rPr>
                <w:rFonts w:ascii="Arial" w:cs="Arial" w:eastAsia="Arial" w:hAnsi="Arial"/>
                <w:sz w:val="13"/>
                <w:szCs w:val="13"/>
                <w:color w:val="auto"/>
                <w:w w:val="84"/>
              </w:rPr>
              <w:t>June 30, 2014</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Australian Shopping Center Loans</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November 1, 2014</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89</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208</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New Zealand Corporate Credit Facility</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4.80%</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4.70%</w:t>
            </w: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March 31, 2015</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23,041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23,148</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Bank of America Revolver</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2.67%</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3.26%</w:t>
            </w: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October 31, 2017</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31,500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30,000</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Bank of America Line of Credit</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3.17%</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3.21%</w:t>
            </w: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October 31, 2017</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2,007</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Cinema 1, 2, 3 Term Loan</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5.21%</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5.24%</w:t>
            </w:r>
          </w:p>
        </w:tc>
        <w:tc>
          <w:tcPr>
            <w:tcW w:w="1260" w:type="dxa"/>
            <w:vAlign w:val="bottom"/>
          </w:tcPr>
          <w:p>
            <w:pPr>
              <w:jc w:val="center"/>
              <w:spacing w:after="0"/>
              <w:rPr>
                <w:sz w:val="20"/>
                <w:szCs w:val="20"/>
                <w:color w:val="auto"/>
              </w:rPr>
            </w:pPr>
            <w:r>
              <w:rPr>
                <w:rFonts w:ascii="Arial" w:cs="Arial" w:eastAsia="Arial" w:hAnsi="Arial"/>
                <w:sz w:val="13"/>
                <w:szCs w:val="13"/>
                <w:color w:val="auto"/>
                <w:w w:val="84"/>
              </w:rPr>
              <w:t>June 27, 2014</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15,000</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Liberty Theaters Term Loan</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6.20%</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April 1, 2013</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6,429</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Minetta &amp; Orpheum Theatres Loan</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86"/>
              </w:rPr>
              <w:t>2.91%</w:t>
            </w:r>
          </w:p>
        </w:tc>
        <w:tc>
          <w:tcPr>
            <w:tcW w:w="12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85"/>
              </w:rPr>
              <w:t>June 1, 2018</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7,500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Nationwide Loan 1</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8.50%</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February 21, 2013</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593</w:t>
            </w:r>
          </w:p>
        </w:tc>
      </w:tr>
      <w:tr>
        <w:trPr>
          <w:trHeight w:val="176"/>
        </w:trPr>
        <w:tc>
          <w:tcPr>
            <w:tcW w:w="2660" w:type="dxa"/>
            <w:vAlign w:val="bottom"/>
          </w:tcPr>
          <w:p>
            <w:pPr>
              <w:spacing w:after="0"/>
              <w:rPr>
                <w:sz w:val="20"/>
                <w:szCs w:val="20"/>
                <w:color w:val="auto"/>
              </w:rPr>
            </w:pPr>
            <w:r>
              <w:rPr>
                <w:rFonts w:ascii="Arial" w:cs="Arial" w:eastAsia="Arial" w:hAnsi="Arial"/>
                <w:sz w:val="13"/>
                <w:szCs w:val="13"/>
                <w:color w:val="auto"/>
              </w:rPr>
              <w:t>US Sutton Hill Capital Note – Related Party</w:t>
            </w:r>
          </w:p>
        </w:tc>
        <w:tc>
          <w:tcPr>
            <w:tcW w:w="1380" w:type="dxa"/>
            <w:vAlign w:val="bottom"/>
          </w:tcPr>
          <w:p>
            <w:pPr>
              <w:jc w:val="center"/>
              <w:ind w:left="197"/>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w w:val="86"/>
              </w:rPr>
              <w:t>8.25%</w:t>
            </w:r>
          </w:p>
        </w:tc>
        <w:tc>
          <w:tcPr>
            <w:tcW w:w="1260" w:type="dxa"/>
            <w:vAlign w:val="bottom"/>
          </w:tcPr>
          <w:p>
            <w:pPr>
              <w:jc w:val="center"/>
              <w:spacing w:after="0"/>
              <w:rPr>
                <w:sz w:val="20"/>
                <w:szCs w:val="20"/>
                <w:color w:val="auto"/>
              </w:rPr>
            </w:pPr>
            <w:r>
              <w:rPr>
                <w:rFonts w:ascii="Arial" w:cs="Arial" w:eastAsia="Arial" w:hAnsi="Arial"/>
                <w:sz w:val="13"/>
                <w:szCs w:val="13"/>
                <w:color w:val="auto"/>
                <w:w w:val="84"/>
              </w:rPr>
              <w:t>June 18, 2013</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9,000</w:t>
            </w:r>
          </w:p>
        </w:tc>
      </w:tr>
      <w:tr>
        <w:trPr>
          <w:trHeight w:val="164"/>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Union Square Theatre Term Loan</w:t>
            </w:r>
          </w:p>
        </w:tc>
        <w:tc>
          <w:tcPr>
            <w:tcW w:w="138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color w:val="auto"/>
                <w:w w:val="86"/>
              </w:rPr>
              <w:t>5.92%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5.92%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May 1, 2015</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6,717</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6,950</w:t>
            </w:r>
          </w:p>
        </w:tc>
      </w:tr>
      <w:tr>
        <w:trPr>
          <w:trHeight w:val="148"/>
        </w:trPr>
        <w:tc>
          <w:tcPr>
            <w:tcW w:w="26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Total</w:t>
            </w:r>
          </w:p>
        </w:tc>
        <w:tc>
          <w:tcPr>
            <w:tcW w:w="1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168,460</w:t>
            </w:r>
          </w:p>
        </w:tc>
        <w:tc>
          <w:tcPr>
            <w:tcW w:w="1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196,597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 Preferred Securities</w:t>
      </w:r>
    </w:p>
    <w:p>
      <w:pPr>
        <w:spacing w:after="0" w:line="157"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 Effective May 1, 2012, the interest rate on our Trust Preferred Securities changed from a fixed rate of 9.22%, which was in effect for five years, to 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79" w:name="page80"/>
    <w:bookmarkEnd w:id="79"/>
    <w:p>
      <w:pPr>
        <w:jc w:val="both"/>
        <w:spacing w:after="0" w:line="311" w:lineRule="auto"/>
        <w:rPr>
          <w:sz w:val="20"/>
          <w:szCs w:val="20"/>
          <w:color w:val="auto"/>
        </w:rPr>
      </w:pPr>
      <w:r>
        <w:rPr>
          <w:rFonts w:ascii="Arial" w:cs="Arial" w:eastAsia="Arial" w:hAnsi="Arial"/>
          <w:sz w:val="13"/>
          <w:szCs w:val="13"/>
          <w:color w:val="auto"/>
        </w:rPr>
        <w:t xml:space="preserve">variable rate of three month LIBOR plus 4.00%, which will reset each quarter through the end of the loan unless we exercise our right to refix the rate at the current market rate at that time. Effective October 28, 2013, we entered into a fixed interest rate swap of $27.9 million at 1.20% plus the 4.00% margin, expiring on October 31, 2017, see Note 13 – </w:t>
      </w:r>
      <w:r>
        <w:rPr>
          <w:rFonts w:ascii="Arial" w:cs="Arial" w:eastAsia="Arial" w:hAnsi="Arial"/>
          <w:sz w:val="13"/>
          <w:szCs w:val="13"/>
          <w:i w:val="1"/>
          <w:iCs w:val="1"/>
          <w:color w:val="auto"/>
        </w:rPr>
        <w:t>Derivative Instruments</w:t>
      </w:r>
      <w:r>
        <w:rPr>
          <w:rFonts w:ascii="Arial" w:cs="Arial" w:eastAsia="Arial" w:hAnsi="Arial"/>
          <w:sz w:val="13"/>
          <w:szCs w:val="13"/>
          <w:color w:val="auto"/>
        </w:rPr>
        <w:t>.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contractual obligation to pay $270,000 in December 2014.</w:t>
      </w:r>
    </w:p>
    <w:p>
      <w:pPr>
        <w:spacing w:after="0" w:line="300"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3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During the years ended December 31, 2013, 2012, and 2011, we paid $1.2 million, $1.9 million, and $2.5 million, respectively, in preferred dividends to the unrelated investors that are included in interest expense. At December 31, 2013 and 2012, we had preferred dividends payable of $191,000 and $198,000, respectively. Interest payments for this loan are required every three months.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Australia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NAB Australian Corporate Term Loan</w:t>
      </w:r>
    </w:p>
    <w:p>
      <w:pPr>
        <w:spacing w:after="0" w:line="157"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On June 24, 2011, we replaced our Australian Corporate Credit Facility of $115.8 million (AUS$110.0 million) with BOS International (“BOSI”) with a new credit facility from National Australia Bank (“NAB”) of $110.5 million (AUS$105.0 million). NAB provided us term debt of $94.7 million (AUS$90.0 million) and $9.5 million (AUS$9.0 million) in line of credit which we used combined with our cash of $1.6 million (AUS$1.5 million) to pay off our $105.8 million (AUS$100.5 million) of outstanding BOSI debt.</w:t>
      </w:r>
    </w:p>
    <w:p>
      <w:pPr>
        <w:spacing w:after="0" w:line="117" w:lineRule="exact"/>
        <w:rPr>
          <w:sz w:val="20"/>
          <w:szCs w:val="20"/>
          <w:color w:val="auto"/>
        </w:rPr>
      </w:pPr>
    </w:p>
    <w:p>
      <w:pPr>
        <w:jc w:val="both"/>
        <w:ind w:firstLine="564"/>
        <w:spacing w:after="0" w:line="309" w:lineRule="auto"/>
        <w:rPr>
          <w:sz w:val="20"/>
          <w:szCs w:val="20"/>
          <w:color w:val="auto"/>
        </w:rPr>
      </w:pPr>
      <w:r>
        <w:rPr>
          <w:rFonts w:ascii="Arial" w:cs="Arial" w:eastAsia="Arial" w:hAnsi="Arial"/>
          <w:sz w:val="13"/>
          <w:szCs w:val="13"/>
          <w:color w:val="auto"/>
        </w:rPr>
        <w:t>The NAB three-tiered credit facility (the “NAB Credit Facility”) has a term of three years, due and payable June 30, 2014, and comprised of a term loan with a December 31, 2013 balance of $56.7 million (AUS$63.5 million); a $4.5 million (AUS$5.0 million) revolving facility for which we do not have a balance at December 31, 2013; and a $8.9 million (AUS$10.0 million) guarantee facility. During 2013, to support a guarantee on the Australian digital projection conversion, we transferred $4.5 million (AUS$5.0 million) of our revolving facility to the guarantee facility. This transfer will remain in place until we refinance the NAB Credit Facility during 2014. This loan to Reading Entertainment Australia commenced on June 24, 2011 with an interest rate of between 2.90% and 2.15% above the BBSY bid rate. This credit facility is secured by substantially all of our cinema assets in Australia and is only guaranteed by several of our wholly owned Australian subsidiaries. The NAB Credit Facility requires annual principal payments of between $6.3 million (AUS$7.0 million) and $8.0 million (AUS$9.0 million) which we anticipate will be paid from Reading Entertainment Australia operating cash flows. The covenants of the NAB Credit Facility include a fixed charge coverage ratio, a debt service cover ratio, an operating leverage ratio, a loan to value ratio, and other financial covenants. Additionally, the NAB Credit Facility allows us to transfer only $3.6 million (AUS$4.0 million) per year outside of Australia. In December 2012, as part of the sale of our Indooroopilly property, we paid down $6.3 million (AUS$6.0 million) on our NAB term loan.</w:t>
      </w:r>
    </w:p>
    <w:p>
      <w:pPr>
        <w:spacing w:after="0" w:line="30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In conjunction with this NAB Credit Facility, we entered into a five-year interest swap agreement which swaps over 100% of our $56.7 million (AUS$63.5 million) variable rate term loan (decreasing in line with scheduled principal repayments) based on BBSY, for a 5.50% fixed rate. For further information regarding our swap agreements, see Note 13 – </w:t>
      </w:r>
      <w:r>
        <w:rPr>
          <w:rFonts w:ascii="Arial" w:cs="Arial" w:eastAsia="Arial" w:hAnsi="Arial"/>
          <w:sz w:val="16"/>
          <w:szCs w:val="16"/>
          <w:i w:val="1"/>
          <w:iCs w:val="1"/>
          <w:color w:val="auto"/>
        </w:rPr>
        <w:t>Derivative Instruments</w:t>
      </w: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0" w:name="page81"/>
    <w:bookmarkEnd w:id="80"/>
    <w:p>
      <w:pPr>
        <w:jc w:val="both"/>
        <w:ind w:firstLine="564"/>
        <w:spacing w:after="0" w:line="251" w:lineRule="auto"/>
        <w:rPr>
          <w:sz w:val="20"/>
          <w:szCs w:val="20"/>
          <w:color w:val="auto"/>
        </w:rPr>
      </w:pPr>
      <w:r>
        <w:rPr>
          <w:rFonts w:ascii="Arial" w:cs="Arial" w:eastAsia="Arial" w:hAnsi="Arial"/>
          <w:sz w:val="16"/>
          <w:szCs w:val="16"/>
          <w:color w:val="auto"/>
        </w:rPr>
        <w:t>As indicated above, this NAB Credit Facility matures on June 30, 2014. Accordingly, the outstanding balance of this debt of $56.7 million (AUS$63.5 million) is classified as current on our December 31, 2013 balance sheet. While no assurances can be given that we will be successful, we are currently in the process of renewing this loan and anticipate that the refinancing will be completed at the latest by May 31, 2014.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Australian Shopping Center Loans</w:t>
      </w:r>
    </w:p>
    <w:p>
      <w:pPr>
        <w:spacing w:after="0" w:line="157"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 July 2004, as part of the acquisition of the Anderson Cinema Circuit, we assumed the three loans on the Epping, Rhodes, and West Lakes properties. The total amount assumed on the transaction date was $1.5 million (AUS$2.1 million) and the loans carry no interest as long as we make timely principal payments of approximately $89,000 (AUS$100,000) per year. Early repayment is possible without penalty. The only recourse on default of these loans is the security on the properties.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New Zealand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Zealand Corporate Credit Facility</w:t>
      </w:r>
    </w:p>
    <w:p>
      <w:pPr>
        <w:spacing w:after="0" w:line="157"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On February 8, 2012, we received an approved amendment from Westpac renewing our existing $36.9 million (NZ$45.0 million) New Zealand credit facility with a 3-year credit facility. The renewed facility called for a decrease in the overall facility by $4.1 million ($5.0 million) to $32.8 million (NZ$40.0 million), an increase in the facility margin of 0.55% to 2.00%, and the line of credit charge increase from 0.30% to 0.40%. The facility is secured by substantially all of our New Zealand assets, but has not been guaranteed by any entity other than several of our New Zealand subsidiaries. The facility includes various affirmative and negative financial covenants designed to protect the bank’s security regarding capital expenditures and the repatriation of funds out of New Zealand. Also included in the restrictive covenants of the facility is the restriction of transferring funds from subsidiary to parent.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 of America Revolver</w:t>
      </w:r>
    </w:p>
    <w:p>
      <w:pPr>
        <w:spacing w:after="0" w:line="157" w:lineRule="exact"/>
        <w:rPr>
          <w:sz w:val="20"/>
          <w:szCs w:val="20"/>
          <w:color w:val="auto"/>
        </w:rPr>
      </w:pPr>
    </w:p>
    <w:p>
      <w:pPr>
        <w:jc w:val="both"/>
        <w:ind w:firstLine="564"/>
        <w:spacing w:after="0" w:line="266" w:lineRule="auto"/>
        <w:rPr>
          <w:sz w:val="20"/>
          <w:szCs w:val="20"/>
          <w:color w:val="auto"/>
        </w:rPr>
      </w:pPr>
      <w:r>
        <w:rPr>
          <w:rFonts w:ascii="Arial" w:cs="Arial" w:eastAsia="Arial" w:hAnsi="Arial"/>
          <w:sz w:val="15"/>
          <w:szCs w:val="15"/>
          <w:color w:val="auto"/>
        </w:rPr>
        <w:t xml:space="preserve">On October 31, 2012, we replaced our GE Capital Term Loan of $27.7 million with a new credit facility from Bank of America (the “BofA Revolver”) of $30.0 million with an interest rate of between 2.50% and 3.00% above LIBOR and an expiration date of October 31, 2017. Although the new credit facility does not require a fixed interest swap agreement, we have continued to use the existing fixed interest rate swap of $29.1 million until its term date of December 31, 2013. Effective December 31, 2013, we replaced this swap with a $31.5 million fixed interest rate swap, see Note 13 – </w:t>
      </w:r>
      <w:r>
        <w:rPr>
          <w:rFonts w:ascii="Arial" w:cs="Arial" w:eastAsia="Arial" w:hAnsi="Arial"/>
          <w:sz w:val="15"/>
          <w:szCs w:val="15"/>
          <w:i w:val="1"/>
          <w:iCs w:val="1"/>
          <w:color w:val="auto"/>
        </w:rPr>
        <w:t>Derivative Instruments</w:t>
      </w:r>
      <w:r>
        <w:rPr>
          <w:rFonts w:ascii="Arial" w:cs="Arial" w:eastAsia="Arial" w:hAnsi="Arial"/>
          <w:sz w:val="15"/>
          <w:szCs w:val="15"/>
          <w:color w:val="auto"/>
        </w:rPr>
        <w:t>. The BofA Revolver requires borrowing limit reductions of $3.0 million per year with a balloon payment of $18.0 million at the expiration date. The BofA Revolver contains other customary terms and conditions, including representations and warranties, affirmative and negative covenants, events of default and indemnity provisions. The most restrictive covenant of the facility requires that we must maintain a fixed charge coverage ratio at a certain level.</w:t>
      </w:r>
    </w:p>
    <w:p>
      <w:pPr>
        <w:spacing w:after="0" w:line="12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March 25, 2013, Bank of America extended the borrowing limit on our BofA Revolver from $30.0 million to $35.0 million and we borrowed $5.0 million on this revolver. On April 1, 2013, we used $2.3 million of the revolver proceeds to partially repay our US Liberty Theaters Term Loan.</w:t>
      </w:r>
    </w:p>
    <w:p>
      <w:pPr>
        <w:spacing w:after="0" w:line="14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As part of the negotiations of the BofA Revolver, we entered into a master operating equipment lease financing agreement with Banc of America Leasing &amp; Capital, LLC to finance the acquisition of up to $15.5 million in digital projection equipment for our U.S. cinema operations. See Note 17 – </w:t>
      </w:r>
      <w:r>
        <w:rPr>
          <w:rFonts w:ascii="Arial" w:cs="Arial" w:eastAsia="Arial" w:hAnsi="Arial"/>
          <w:sz w:val="16"/>
          <w:szCs w:val="16"/>
          <w:i w:val="1"/>
          <w:iCs w:val="1"/>
          <w:color w:val="auto"/>
        </w:rPr>
        <w:t>Lease Agreements</w:t>
      </w:r>
      <w:r>
        <w:rPr>
          <w:rFonts w:ascii="Arial" w:cs="Arial" w:eastAsia="Arial" w:hAnsi="Arial"/>
          <w:sz w:val="16"/>
          <w:szCs w:val="16"/>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 of America Line of Credit</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On October 31, 2012, Bank of America renewed and increased our existing $3.0 million line of credit to $5.0 million. The LOC carries an interest rate equal to BBA LIBOR floating plus a 3.50% margin and an unused line fee of 0.03%. The agreement is in effect till October 31, 2017 and is potentially renewable at that date. The undrawn balance of this LOC is $5.0 million at December 31, 2013.</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i w:val="1"/>
          <w:iCs w:val="1"/>
          <w:color w:val="auto"/>
        </w:rPr>
        <w:t>Cinemas 1, 2, 3 Term Loan</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On June 28, 2012, Sutton Hill Properties LLC (“SHP”), one of our consolidated subsidiaries, paid off its Eurohypo AG, New York Branch loan with a new $15.0 million term loan (the “Sovereign Bank Loan”) from Sovereign Bank, N.A. The Sovereign Bank Loan had a one-year term ending on June 27, 2013, with a one-year extension option to June 27, 2014 subject to an extension fee equal to 1.00% of the ending principal balance and a compliance requirement with certain special covenants. We exercised this option in June 2013. As the extensions mature on June 27, 2014, we have classified the $15.0 million as a current liability. While no assurances can be given that we will be successful, we are currently in the process of renegotiating this loan. The terms of the loan require interest only payments at LIBOR plus a 5.00% margin to be calculated and paid monthly. This loan is secured by SHP’s interest in the Cinemas 1, 2, &amp; 3 land and building. Covenants include maintaining a loan to value ratio of at least 50% of fair market value and an 11% debt yield (with a numerator of the cash available for debt service and a denominator of the outstanding principal balance of the loan). The Sovereign Bank Loan is further secured by a guaranty provided by Reading International, Inc. and by its noncontrolling interest member, Sutton Hill Capital, LLC.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Minetta and Orpheum Theatres Loan</w:t>
      </w:r>
    </w:p>
    <w:p>
      <w:pPr>
        <w:spacing w:after="0" w:line="157"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 xml:space="preserve">On May 29, 2013, we refinanced our Liberty Theaters loan with a $7.5 million loan securitized by our Minetta and Orpheum theatres, thus releasing the Royal George from the securitization and leaving it unencumbered. This new loan has a maturity date of June 1, 2018, and an interest rate of LIBOR plus a 2.75% margin with a LIBOR rate cap of 4.00% plus the 2.75% margin. See Note 13 – </w:t>
      </w:r>
      <w:r>
        <w:rPr>
          <w:rFonts w:ascii="Arial" w:cs="Arial" w:eastAsia="Arial" w:hAnsi="Arial"/>
          <w:sz w:val="13"/>
          <w:szCs w:val="13"/>
          <w:i w:val="1"/>
          <w:iCs w:val="1"/>
          <w:color w:val="auto"/>
        </w:rPr>
        <w:t>Derivative Instruments</w:t>
      </w:r>
      <w:r>
        <w:rPr>
          <w:rFonts w:ascii="Arial" w:cs="Arial" w:eastAsia="Arial" w:hAnsi="Arial"/>
          <w:sz w:val="13"/>
          <w:szCs w:val="13"/>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Nationwide Loan 1</w:t>
      </w:r>
    </w:p>
    <w:p>
      <w:pPr>
        <w:spacing w:after="0" w:line="157"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On February 22, 2008, our subsidiary entered into a five-year promissory note (the “Nationwide Note 1”) with Nationwide Theatres Corp of $21.0 million associated with the acquisition of 15 motion picture theaters and theater-related assets from Pacific Theatres Exhibition Corp. The Nationwide Note 1 was subject to certain purchase price related adjustments. Through December 31, 2010, these adjustments resulted in a net reduction in principal of $20.4 million comprised of a reduction in the amount of $6.3 million in 2008, a further reduction of $226,000 during the first quarter of 2009, an additional advance of $3.0 million in 2009 (such advance was used to pay down a portion of the GE Capital Term Loan discussed above), a $4.4 million reduction during the first quarter of 2010 in which Nationwide Theaters Corp. and Reading agreed to reduce the seller’s note, and finally a $12.5 million reduction in September 2010.</w:t>
      </w:r>
    </w:p>
    <w:p>
      <w:pPr>
        <w:spacing w:after="0" w:line="125"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The Nationwide Note 1 had an interest (i) as to $4.5 million of principal at the annual rates of 7.50% for the first three years and 8.50% thereafter and (ii) as to $13.0 million of principal at the annual rates of 6.50% through July 31, 2009 and 8.50% thereafter. Accrued interest was due and payable on February 21, 2011 and thereafter on the last day of each calendar quarter, commencing on June 30, 2011. Pursuant to the Nationwide Note 1 agreement, we paid off the $593,000 balance of this loan on February 21, 2013.</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Sutton Hill Capital Note</w:t>
      </w:r>
    </w:p>
    <w:p>
      <w:pPr>
        <w:spacing w:after="0" w:line="15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On June 18, 2013, we repaid the SHC Note 2 for $9.0 million. As the debtor on this note was Sutton Hill Properties, LLC, in which we have a 75% interest, the note was, in effect, paid $6.75 million by us and $2.25 million by our co-investor.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Union Square Theatre Term Loan</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April 30, 2010, we refinanced the loan secured by our Union Square property with another lender. The new loan for $7.5 million has a five-year term with a fixed interest rate of 5.92% per annum and an amortization payment schedule of 20 years with a balloon payment of approximately $6.4 million at the end of the loan term.</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Summary of Notes Payable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aggregate future principal loan payments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2" w:name="page83"/>
    <w:bookmarkEnd w:id="82"/>
    <w:p>
      <w:pPr>
        <w:ind w:left="72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p>
    <w:tbl>
      <w:tblPr>
        <w:tblLayout w:type="fixed"/>
        <w:tblInd w:w="720" w:type="dxa"/>
        <w:tblCellMar>
          <w:top w:w="0" w:type="dxa"/>
          <w:left w:w="0" w:type="dxa"/>
          <w:bottom w:w="0" w:type="dxa"/>
          <w:right w:w="0" w:type="dxa"/>
        </w:tblCellMar>
      </w:tblPr>
      <w:tr>
        <w:trPr>
          <w:trHeight w:val="180"/>
        </w:trPr>
        <w:tc>
          <w:tcPr>
            <w:tcW w:w="4480" w:type="dxa"/>
            <w:vAlign w:val="bottom"/>
            <w:tcBorders>
              <w:top w:val="single" w:sz="8" w:color="auto"/>
            </w:tcBorders>
          </w:tcPr>
          <w:p>
            <w:pPr>
              <w:ind w:left="100"/>
              <w:spacing w:after="0" w:line="180" w:lineRule="exact"/>
              <w:rPr>
                <w:sz w:val="20"/>
                <w:szCs w:val="20"/>
                <w:color w:val="auto"/>
              </w:rPr>
            </w:pPr>
            <w:r>
              <w:rPr>
                <w:rFonts w:ascii="Arial" w:cs="Arial" w:eastAsia="Arial" w:hAnsi="Arial"/>
                <w:sz w:val="16"/>
                <w:szCs w:val="16"/>
                <w:color w:val="auto"/>
              </w:rPr>
              <w:t>2014</w:t>
            </w:r>
          </w:p>
        </w:tc>
        <w:tc>
          <w:tcPr>
            <w:tcW w:w="2400" w:type="dxa"/>
            <w:vAlign w:val="bottom"/>
            <w:tcBorders>
              <w:top w:val="single" w:sz="8" w:color="auto"/>
            </w:tcBorders>
          </w:tcPr>
          <w:p>
            <w:pPr>
              <w:jc w:val="right"/>
              <w:ind w:right="242"/>
              <w:spacing w:after="0" w:line="180"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75,538</w:t>
            </w:r>
          </w:p>
        </w:tc>
      </w:tr>
      <w:tr>
        <w:trPr>
          <w:trHeight w:val="188"/>
        </w:trPr>
        <w:tc>
          <w:tcPr>
            <w:tcW w:w="4480" w:type="dxa"/>
            <w:vAlign w:val="bottom"/>
          </w:tcPr>
          <w:p>
            <w:pPr>
              <w:ind w:left="100"/>
              <w:spacing w:after="0"/>
              <w:rPr>
                <w:sz w:val="20"/>
                <w:szCs w:val="20"/>
                <w:color w:val="auto"/>
              </w:rPr>
            </w:pPr>
            <w:r>
              <w:rPr>
                <w:rFonts w:ascii="Arial" w:cs="Arial" w:eastAsia="Arial" w:hAnsi="Arial"/>
                <w:sz w:val="16"/>
                <w:szCs w:val="16"/>
                <w:color w:val="auto"/>
              </w:rPr>
              <w:t>2015</w:t>
            </w:r>
          </w:p>
        </w:tc>
        <w:tc>
          <w:tcPr>
            <w:tcW w:w="2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33,009</w:t>
            </w:r>
          </w:p>
        </w:tc>
      </w:tr>
      <w:tr>
        <w:trPr>
          <w:trHeight w:val="188"/>
        </w:trPr>
        <w:tc>
          <w:tcPr>
            <w:tcW w:w="4480" w:type="dxa"/>
            <w:vAlign w:val="bottom"/>
          </w:tcPr>
          <w:p>
            <w:pPr>
              <w:ind w:left="100"/>
              <w:spacing w:after="0"/>
              <w:rPr>
                <w:sz w:val="20"/>
                <w:szCs w:val="20"/>
                <w:color w:val="auto"/>
              </w:rPr>
            </w:pPr>
            <w:r>
              <w:rPr>
                <w:rFonts w:ascii="Arial" w:cs="Arial" w:eastAsia="Arial" w:hAnsi="Arial"/>
                <w:sz w:val="16"/>
                <w:szCs w:val="16"/>
                <w:color w:val="auto"/>
              </w:rPr>
              <w:t>2016</w:t>
            </w:r>
          </w:p>
        </w:tc>
        <w:tc>
          <w:tcPr>
            <w:tcW w:w="2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188"/>
        </w:trPr>
        <w:tc>
          <w:tcPr>
            <w:tcW w:w="4480" w:type="dxa"/>
            <w:vAlign w:val="bottom"/>
          </w:tcPr>
          <w:p>
            <w:pPr>
              <w:ind w:left="100"/>
              <w:spacing w:after="0"/>
              <w:rPr>
                <w:sz w:val="20"/>
                <w:szCs w:val="20"/>
                <w:color w:val="auto"/>
              </w:rPr>
            </w:pPr>
            <w:r>
              <w:rPr>
                <w:rFonts w:ascii="Arial" w:cs="Arial" w:eastAsia="Arial" w:hAnsi="Arial"/>
                <w:sz w:val="16"/>
                <w:szCs w:val="16"/>
                <w:color w:val="auto"/>
              </w:rPr>
              <w:t>2017</w:t>
            </w:r>
          </w:p>
        </w:tc>
        <w:tc>
          <w:tcPr>
            <w:tcW w:w="2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21,000</w:t>
            </w:r>
          </w:p>
        </w:tc>
      </w:tr>
      <w:tr>
        <w:trPr>
          <w:trHeight w:val="188"/>
        </w:trPr>
        <w:tc>
          <w:tcPr>
            <w:tcW w:w="4480" w:type="dxa"/>
            <w:vAlign w:val="bottom"/>
          </w:tcPr>
          <w:p>
            <w:pPr>
              <w:ind w:left="100"/>
              <w:spacing w:after="0"/>
              <w:rPr>
                <w:sz w:val="20"/>
                <w:szCs w:val="20"/>
                <w:color w:val="auto"/>
              </w:rPr>
            </w:pPr>
            <w:r>
              <w:rPr>
                <w:rFonts w:ascii="Arial" w:cs="Arial" w:eastAsia="Arial" w:hAnsi="Arial"/>
                <w:sz w:val="16"/>
                <w:szCs w:val="16"/>
                <w:color w:val="auto"/>
              </w:rPr>
              <w:t>2018</w:t>
            </w:r>
          </w:p>
        </w:tc>
        <w:tc>
          <w:tcPr>
            <w:tcW w:w="2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00"/>
        </w:trPr>
        <w:tc>
          <w:tcPr>
            <w:tcW w:w="4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Thereafter</w:t>
            </w:r>
          </w:p>
        </w:tc>
        <w:tc>
          <w:tcPr>
            <w:tcW w:w="2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27,913</w:t>
            </w:r>
          </w:p>
        </w:tc>
      </w:tr>
      <w:tr>
        <w:trPr>
          <w:trHeight w:val="184"/>
        </w:trPr>
        <w:tc>
          <w:tcPr>
            <w:tcW w:w="4480" w:type="dxa"/>
            <w:vAlign w:val="bottom"/>
            <w:tcBorders>
              <w:bottom w:val="single" w:sz="8" w:color="auto"/>
            </w:tcBorders>
          </w:tcPr>
          <w:p>
            <w:pPr>
              <w:ind w:left="200"/>
              <w:spacing w:after="0" w:line="181" w:lineRule="exact"/>
              <w:rPr>
                <w:sz w:val="20"/>
                <w:szCs w:val="20"/>
                <w:color w:val="auto"/>
              </w:rPr>
            </w:pPr>
            <w:r>
              <w:rPr>
                <w:rFonts w:ascii="Arial" w:cs="Arial" w:eastAsia="Arial" w:hAnsi="Arial"/>
                <w:sz w:val="16"/>
                <w:szCs w:val="16"/>
                <w:color w:val="auto"/>
              </w:rPr>
              <w:t>Total future principal loan payments</w:t>
            </w:r>
          </w:p>
        </w:tc>
        <w:tc>
          <w:tcPr>
            <w:tcW w:w="240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168,460</w:t>
            </w:r>
          </w:p>
        </w:tc>
      </w:tr>
    </w:tbl>
    <w:p>
      <w:pPr>
        <w:spacing w:after="0" w:line="175"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Since approximately $79.8 million of our total debt of $168.5 million at December 31, 2013 consisted of debt denominated in Australian and New Zealand dollars, the U.S dollar amounts of these repayments will fluctuate in accordance with the relative values of these currencies.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13 – Derivative Instruments</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variable rate debt to a fixed rate over the term of the interest rate swap.</w:t>
      </w:r>
    </w:p>
    <w:p>
      <w:pPr>
        <w:spacing w:after="0" w:line="135"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For our Australian borrowings, we are presently required to swap no less than 75% of our drawdowns under our Australian Corporate Credit Facility into fixed interest rate obligations. In conjunction with this NAB Credit Facility, we entered into a five-year interest swap agreement, which swaps more than 100% of our variable rate term loan based on BBSY for a 5.50% fixed rate loan which steps down commensurate with the payments of the loan balance. At the time of entering into this NAB swap, our existing BOSI swap was “in-the-money” by $160,000. In lieu of a cash payment for the in-the-money BOSI swap, we negotiated a slightly lower fixed swap rate by 0.05% for our new NAB fixed rate swap.</w:t>
      </w:r>
    </w:p>
    <w:p>
      <w:pPr>
        <w:spacing w:after="0" w:line="14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Although our Bank of America Revolver does not require a fixed interest swap agreement, effective December 31, 2013, we entered into an approximate three-year $31.5 million fixed interest rate swap that has a balance reduction schedule which matches the contraction amortization of the Bank of America Revolver.</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Effective October 28, 2013, we entered into a three-year $27.9 million fixed interest rate swap for our Trust Preferred Securities.</w:t>
      </w:r>
    </w:p>
    <w:p>
      <w:pPr>
        <w:spacing w:after="0" w:line="168"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 xml:space="preserve">As a result of these swap and loan agreements, we pay a total fixed interest rate of 7.90% (5.50% swap contract rate plus a 2.40% margin under the loan) for our NAB Loan, a total fixed interest rate of 3.65% ( 1.15% swap contract rate plus a 2.50% margin under the loan) for our BofA Loan, and a total fixed interest rate of 5.20% ( 1.20% swap contract rate plus a 4.00% margin under the loan) for our Trust Preferred Securities instead of the obligatorily disclosed loan rates of 5.09%, 2.67%, and 4.24%, respectively, as indicated in Note 12 – </w:t>
      </w:r>
      <w:r>
        <w:rPr>
          <w:rFonts w:ascii="Arial" w:cs="Arial" w:eastAsia="Arial" w:hAnsi="Arial"/>
          <w:sz w:val="13"/>
          <w:szCs w:val="13"/>
          <w:i w:val="1"/>
          <w:iCs w:val="1"/>
          <w:color w:val="auto"/>
        </w:rPr>
        <w:t>Notes Payable</w:t>
      </w:r>
      <w:r>
        <w:rPr>
          <w:rFonts w:ascii="Arial" w:cs="Arial" w:eastAsia="Arial" w:hAnsi="Arial"/>
          <w:sz w:val="13"/>
          <w:szCs w:val="13"/>
          <w:color w:val="auto"/>
        </w:rPr>
        <w:t>.</w:t>
      </w:r>
    </w:p>
    <w:p>
      <w:pPr>
        <w:spacing w:after="0" w:line="9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Finally, as part of our new US Minetta and Orpheum Theatres Loan, we entered into a five-year LIBOR rate cap of 4.00% with a loan margin of 2.75% (see Note 12 – </w:t>
      </w:r>
      <w:r>
        <w:rPr>
          <w:rFonts w:ascii="Arial" w:cs="Arial" w:eastAsia="Arial" w:hAnsi="Arial"/>
          <w:sz w:val="16"/>
          <w:szCs w:val="16"/>
          <w:i w:val="1"/>
          <w:iCs w:val="1"/>
          <w:color w:val="auto"/>
        </w:rPr>
        <w:t>Notes Payable</w:t>
      </w:r>
      <w:r>
        <w:rPr>
          <w:rFonts w:ascii="Arial" w:cs="Arial" w:eastAsia="Arial" w:hAnsi="Arial"/>
          <w:sz w:val="16"/>
          <w:szCs w:val="16"/>
          <w:color w:val="auto"/>
        </w:rPr>
        <w: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terms of our interest rate swap derivative instruments at December 31, 2013:</w:t>
      </w:r>
    </w:p>
    <w:p>
      <w:pPr>
        <w:spacing w:after="0" w:line="200" w:lineRule="exact"/>
        <w:rPr>
          <w:sz w:val="20"/>
          <w:szCs w:val="20"/>
          <w:color w:val="auto"/>
        </w:rPr>
      </w:pP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7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Type of Instrument</w:t>
            </w: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w w:val="88"/>
              </w:rPr>
              <w:t>Notional Amount</w:t>
            </w:r>
          </w:p>
        </w:tc>
        <w:tc>
          <w:tcPr>
            <w:tcW w:w="1860" w:type="dxa"/>
            <w:vAlign w:val="bottom"/>
            <w:gridSpan w:val="3"/>
          </w:tcPr>
          <w:p>
            <w:pPr>
              <w:jc w:val="center"/>
              <w:ind w:left="322"/>
              <w:spacing w:after="0"/>
              <w:rPr>
                <w:sz w:val="20"/>
                <w:szCs w:val="20"/>
                <w:color w:val="auto"/>
              </w:rPr>
            </w:pPr>
            <w:r>
              <w:rPr>
                <w:rFonts w:ascii="Arial" w:cs="Arial" w:eastAsia="Arial" w:hAnsi="Arial"/>
                <w:sz w:val="16"/>
                <w:szCs w:val="16"/>
                <w:b w:val="1"/>
                <w:bCs w:val="1"/>
                <w:color w:val="auto"/>
                <w:w w:val="89"/>
              </w:rPr>
              <w:t>Pay Fixed Rate</w:t>
            </w: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Receive Variable Rate</w:t>
            </w:r>
          </w:p>
        </w:tc>
        <w:tc>
          <w:tcPr>
            <w:tcW w:w="1420" w:type="dxa"/>
            <w:vAlign w:val="bottom"/>
            <w:gridSpan w:val="3"/>
          </w:tcPr>
          <w:p>
            <w:pPr>
              <w:jc w:val="center"/>
              <w:ind w:left="262"/>
              <w:spacing w:after="0"/>
              <w:rPr>
                <w:sz w:val="20"/>
                <w:szCs w:val="20"/>
                <w:color w:val="auto"/>
              </w:rPr>
            </w:pPr>
            <w:r>
              <w:rPr>
                <w:rFonts w:ascii="Arial" w:cs="Arial" w:eastAsia="Arial" w:hAnsi="Arial"/>
                <w:sz w:val="16"/>
                <w:szCs w:val="16"/>
                <w:b w:val="1"/>
                <w:bCs w:val="1"/>
                <w:color w:val="auto"/>
                <w:w w:val="94"/>
              </w:rPr>
              <w:t>Maturity Date</w:t>
            </w:r>
          </w:p>
        </w:tc>
      </w:tr>
      <w:tr>
        <w:trPr>
          <w:trHeight w:val="191"/>
        </w:trPr>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Interest rate swap</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7"/>
              </w:rPr>
              <w:t>$62,057,000</w:t>
            </w:r>
          </w:p>
        </w:tc>
        <w:tc>
          <w:tcPr>
            <w:tcW w:w="62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5.500%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2.690%</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June 30, 2016</w:t>
            </w:r>
          </w:p>
        </w:tc>
        <w:tc>
          <w:tcPr>
            <w:tcW w:w="60" w:type="dxa"/>
            <w:vAlign w:val="bottom"/>
          </w:tcPr>
          <w:p>
            <w:pPr>
              <w:spacing w:after="0"/>
              <w:rPr>
                <w:sz w:val="16"/>
                <w:szCs w:val="16"/>
                <w:color w:val="auto"/>
              </w:rPr>
            </w:pPr>
          </w:p>
        </w:tc>
      </w:tr>
      <w:tr>
        <w:trPr>
          <w:trHeight w:val="188"/>
        </w:trPr>
        <w:tc>
          <w:tcPr>
            <w:tcW w:w="170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Interest rate swap</w:t>
            </w:r>
          </w:p>
        </w:tc>
        <w:tc>
          <w:tcPr>
            <w:tcW w:w="1560" w:type="dxa"/>
            <w:vAlign w:val="bottom"/>
            <w:gridSpan w:val="2"/>
          </w:tcPr>
          <w:p>
            <w:pPr>
              <w:jc w:val="center"/>
              <w:ind w:left="302"/>
              <w:spacing w:after="0"/>
              <w:rPr>
                <w:sz w:val="20"/>
                <w:szCs w:val="20"/>
                <w:color w:val="auto"/>
              </w:rPr>
            </w:pPr>
            <w:r>
              <w:rPr>
                <w:rFonts w:ascii="Arial" w:cs="Arial" w:eastAsia="Arial" w:hAnsi="Arial"/>
                <w:sz w:val="16"/>
                <w:szCs w:val="16"/>
                <w:color w:val="auto"/>
                <w:w w:val="87"/>
              </w:rPr>
              <w:t>$31,500,000</w:t>
            </w:r>
          </w:p>
        </w:tc>
        <w:tc>
          <w:tcPr>
            <w:tcW w:w="1640" w:type="dxa"/>
            <w:vAlign w:val="bottom"/>
            <w:gridSpan w:val="2"/>
          </w:tcPr>
          <w:p>
            <w:pPr>
              <w:jc w:val="center"/>
              <w:ind w:left="522"/>
              <w:spacing w:after="0"/>
              <w:rPr>
                <w:sz w:val="20"/>
                <w:szCs w:val="20"/>
                <w:color w:val="auto"/>
              </w:rPr>
            </w:pPr>
            <w:r>
              <w:rPr>
                <w:rFonts w:ascii="Arial" w:cs="Arial" w:eastAsia="Arial" w:hAnsi="Arial"/>
                <w:sz w:val="16"/>
                <w:szCs w:val="16"/>
                <w:color w:val="auto"/>
                <w:w w:val="88"/>
              </w:rPr>
              <w:t>1.150%</w:t>
            </w:r>
          </w:p>
        </w:tc>
        <w:tc>
          <w:tcPr>
            <w:tcW w:w="220" w:type="dxa"/>
            <w:vAlign w:val="bottom"/>
          </w:tcPr>
          <w:p>
            <w:pPr>
              <w:spacing w:after="0"/>
              <w:rPr>
                <w:sz w:val="16"/>
                <w:szCs w:val="16"/>
                <w:color w:val="auto"/>
              </w:rPr>
            </w:pPr>
          </w:p>
        </w:tc>
        <w:tc>
          <w:tcPr>
            <w:tcW w:w="1680" w:type="dxa"/>
            <w:vAlign w:val="bottom"/>
            <w:gridSpan w:val="2"/>
          </w:tcPr>
          <w:p>
            <w:pPr>
              <w:jc w:val="center"/>
              <w:ind w:left="122"/>
              <w:spacing w:after="0"/>
              <w:rPr>
                <w:sz w:val="20"/>
                <w:szCs w:val="20"/>
                <w:color w:val="auto"/>
              </w:rPr>
            </w:pPr>
            <w:r>
              <w:rPr>
                <w:rFonts w:ascii="Arial" w:cs="Arial" w:eastAsia="Arial" w:hAnsi="Arial"/>
                <w:sz w:val="16"/>
                <w:szCs w:val="16"/>
                <w:color w:val="auto"/>
                <w:w w:val="88"/>
              </w:rPr>
              <w:t>0.169%</w:t>
            </w:r>
          </w:p>
        </w:tc>
        <w:tc>
          <w:tcPr>
            <w:tcW w:w="320" w:type="dxa"/>
            <w:vAlign w:val="bottom"/>
          </w:tcPr>
          <w:p>
            <w:pPr>
              <w:spacing w:after="0"/>
              <w:rPr>
                <w:sz w:val="16"/>
                <w:szCs w:val="16"/>
                <w:color w:val="auto"/>
              </w:rPr>
            </w:pPr>
          </w:p>
        </w:tc>
        <w:tc>
          <w:tcPr>
            <w:tcW w:w="1420" w:type="dxa"/>
            <w:vAlign w:val="bottom"/>
            <w:gridSpan w:val="3"/>
          </w:tcPr>
          <w:p>
            <w:pPr>
              <w:jc w:val="center"/>
              <w:ind w:left="262"/>
              <w:spacing w:after="0"/>
              <w:rPr>
                <w:sz w:val="20"/>
                <w:szCs w:val="20"/>
                <w:color w:val="auto"/>
              </w:rPr>
            </w:pPr>
            <w:r>
              <w:rPr>
                <w:rFonts w:ascii="Arial" w:cs="Arial" w:eastAsia="Arial" w:hAnsi="Arial"/>
                <w:sz w:val="16"/>
                <w:szCs w:val="16"/>
                <w:color w:val="auto"/>
                <w:w w:val="87"/>
              </w:rPr>
              <w:t>October 31, 2017</w:t>
            </w:r>
          </w:p>
        </w:tc>
      </w:tr>
      <w:tr>
        <w:trPr>
          <w:trHeight w:val="188"/>
        </w:trPr>
        <w:tc>
          <w:tcPr>
            <w:tcW w:w="170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Interest rate swap</w:t>
            </w:r>
          </w:p>
        </w:tc>
        <w:tc>
          <w:tcPr>
            <w:tcW w:w="1560" w:type="dxa"/>
            <w:vAlign w:val="bottom"/>
            <w:gridSpan w:val="2"/>
          </w:tcPr>
          <w:p>
            <w:pPr>
              <w:jc w:val="center"/>
              <w:ind w:left="302"/>
              <w:spacing w:after="0"/>
              <w:rPr>
                <w:sz w:val="20"/>
                <w:szCs w:val="20"/>
                <w:color w:val="auto"/>
              </w:rPr>
            </w:pPr>
            <w:r>
              <w:rPr>
                <w:rFonts w:ascii="Arial" w:cs="Arial" w:eastAsia="Arial" w:hAnsi="Arial"/>
                <w:sz w:val="16"/>
                <w:szCs w:val="16"/>
                <w:color w:val="auto"/>
                <w:w w:val="87"/>
              </w:rPr>
              <w:t>$27,913,000</w:t>
            </w:r>
          </w:p>
        </w:tc>
        <w:tc>
          <w:tcPr>
            <w:tcW w:w="1640" w:type="dxa"/>
            <w:vAlign w:val="bottom"/>
            <w:gridSpan w:val="2"/>
          </w:tcPr>
          <w:p>
            <w:pPr>
              <w:jc w:val="center"/>
              <w:ind w:left="522"/>
              <w:spacing w:after="0"/>
              <w:rPr>
                <w:sz w:val="20"/>
                <w:szCs w:val="20"/>
                <w:color w:val="auto"/>
              </w:rPr>
            </w:pPr>
            <w:r>
              <w:rPr>
                <w:rFonts w:ascii="Arial" w:cs="Arial" w:eastAsia="Arial" w:hAnsi="Arial"/>
                <w:sz w:val="16"/>
                <w:szCs w:val="16"/>
                <w:color w:val="auto"/>
                <w:w w:val="88"/>
              </w:rPr>
              <w:t>1.200%</w:t>
            </w:r>
          </w:p>
        </w:tc>
        <w:tc>
          <w:tcPr>
            <w:tcW w:w="220" w:type="dxa"/>
            <w:vAlign w:val="bottom"/>
          </w:tcPr>
          <w:p>
            <w:pPr>
              <w:spacing w:after="0"/>
              <w:rPr>
                <w:sz w:val="16"/>
                <w:szCs w:val="16"/>
                <w:color w:val="auto"/>
              </w:rPr>
            </w:pPr>
          </w:p>
        </w:tc>
        <w:tc>
          <w:tcPr>
            <w:tcW w:w="1680" w:type="dxa"/>
            <w:vAlign w:val="bottom"/>
            <w:gridSpan w:val="2"/>
          </w:tcPr>
          <w:p>
            <w:pPr>
              <w:jc w:val="center"/>
              <w:ind w:left="122"/>
              <w:spacing w:after="0"/>
              <w:rPr>
                <w:sz w:val="20"/>
                <w:szCs w:val="20"/>
                <w:color w:val="auto"/>
              </w:rPr>
            </w:pPr>
            <w:r>
              <w:rPr>
                <w:rFonts w:ascii="Arial" w:cs="Arial" w:eastAsia="Arial" w:hAnsi="Arial"/>
                <w:sz w:val="16"/>
                <w:szCs w:val="16"/>
                <w:color w:val="auto"/>
                <w:w w:val="88"/>
              </w:rPr>
              <w:t>0.236%</w:t>
            </w:r>
          </w:p>
        </w:tc>
        <w:tc>
          <w:tcPr>
            <w:tcW w:w="320" w:type="dxa"/>
            <w:vAlign w:val="bottom"/>
          </w:tcPr>
          <w:p>
            <w:pPr>
              <w:spacing w:after="0"/>
              <w:rPr>
                <w:sz w:val="16"/>
                <w:szCs w:val="16"/>
                <w:color w:val="auto"/>
              </w:rPr>
            </w:pPr>
          </w:p>
        </w:tc>
        <w:tc>
          <w:tcPr>
            <w:tcW w:w="1420" w:type="dxa"/>
            <w:vAlign w:val="bottom"/>
            <w:gridSpan w:val="3"/>
          </w:tcPr>
          <w:p>
            <w:pPr>
              <w:jc w:val="center"/>
              <w:ind w:left="262"/>
              <w:spacing w:after="0"/>
              <w:rPr>
                <w:sz w:val="20"/>
                <w:szCs w:val="20"/>
                <w:color w:val="auto"/>
              </w:rPr>
            </w:pPr>
            <w:r>
              <w:rPr>
                <w:rFonts w:ascii="Arial" w:cs="Arial" w:eastAsia="Arial" w:hAnsi="Arial"/>
                <w:sz w:val="16"/>
                <w:szCs w:val="16"/>
                <w:color w:val="auto"/>
                <w:w w:val="87"/>
              </w:rPr>
              <w:t>October 31, 2017</w:t>
            </w:r>
          </w:p>
        </w:tc>
      </w:tr>
      <w:tr>
        <w:trPr>
          <w:trHeight w:val="200"/>
        </w:trPr>
        <w:tc>
          <w:tcPr>
            <w:tcW w:w="1700" w:type="dxa"/>
            <w:vAlign w:val="bottom"/>
            <w:gridSpan w:val="2"/>
          </w:tcPr>
          <w:p>
            <w:pPr>
              <w:jc w:val="center"/>
              <w:ind w:right="420"/>
              <w:spacing w:after="0"/>
              <w:rPr>
                <w:sz w:val="20"/>
                <w:szCs w:val="20"/>
                <w:color w:val="auto"/>
              </w:rPr>
            </w:pPr>
            <w:r>
              <w:rPr>
                <w:rFonts w:ascii="Arial" w:cs="Arial" w:eastAsia="Arial" w:hAnsi="Arial"/>
                <w:sz w:val="16"/>
                <w:szCs w:val="16"/>
                <w:color w:val="auto"/>
                <w:w w:val="86"/>
              </w:rPr>
              <w:t>Interest rate cap</w:t>
            </w:r>
          </w:p>
        </w:tc>
        <w:tc>
          <w:tcPr>
            <w:tcW w:w="1560" w:type="dxa"/>
            <w:vAlign w:val="bottom"/>
            <w:gridSpan w:val="2"/>
          </w:tcPr>
          <w:p>
            <w:pPr>
              <w:jc w:val="center"/>
              <w:ind w:left="302"/>
              <w:spacing w:after="0"/>
              <w:rPr>
                <w:sz w:val="20"/>
                <w:szCs w:val="20"/>
                <w:color w:val="auto"/>
              </w:rPr>
            </w:pPr>
            <w:r>
              <w:rPr>
                <w:rFonts w:ascii="Arial" w:cs="Arial" w:eastAsia="Arial" w:hAnsi="Arial"/>
                <w:sz w:val="16"/>
                <w:szCs w:val="16"/>
                <w:color w:val="auto"/>
                <w:w w:val="87"/>
              </w:rPr>
              <w:t>$7,500,000</w:t>
            </w:r>
          </w:p>
        </w:tc>
        <w:tc>
          <w:tcPr>
            <w:tcW w:w="1640" w:type="dxa"/>
            <w:vAlign w:val="bottom"/>
            <w:gridSpan w:val="2"/>
          </w:tcPr>
          <w:p>
            <w:pPr>
              <w:jc w:val="center"/>
              <w:ind w:left="522"/>
              <w:spacing w:after="0"/>
              <w:rPr>
                <w:sz w:val="20"/>
                <w:szCs w:val="20"/>
                <w:color w:val="auto"/>
              </w:rPr>
            </w:pPr>
            <w:r>
              <w:rPr>
                <w:rFonts w:ascii="Arial" w:cs="Arial" w:eastAsia="Arial" w:hAnsi="Arial"/>
                <w:sz w:val="16"/>
                <w:szCs w:val="16"/>
                <w:color w:val="auto"/>
                <w:w w:val="88"/>
              </w:rPr>
              <w:t>4.000%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color w:val="auto"/>
                <w:w w:val="80"/>
              </w:rPr>
              <w:t>n/a</w:t>
            </w:r>
          </w:p>
        </w:tc>
        <w:tc>
          <w:tcPr>
            <w:tcW w:w="400" w:type="dxa"/>
            <w:vAlign w:val="bottom"/>
          </w:tcPr>
          <w:p>
            <w:pPr>
              <w:spacing w:after="0"/>
              <w:rPr>
                <w:sz w:val="17"/>
                <w:szCs w:val="17"/>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6"/>
                <w:szCs w:val="16"/>
                <w:color w:val="auto"/>
                <w:w w:val="86"/>
              </w:rPr>
              <w:t>June 1, 2018</w:t>
            </w:r>
          </w:p>
        </w:tc>
      </w:tr>
    </w:tbl>
    <w:p>
      <w:pPr>
        <w:spacing w:after="0" w:line="176"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 xml:space="preserve">In accordance with FASB ASC 815-20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marked our interest swap instruments to market on the consolidated balance sheet resulting in a $2.0 million decrease to interest expense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83" w:name="page84"/>
    <w:bookmarkEnd w:id="83"/>
    <w:p>
      <w:pPr>
        <w:jc w:val="both"/>
        <w:ind w:right="20"/>
        <w:spacing w:after="0" w:line="251" w:lineRule="auto"/>
        <w:rPr>
          <w:sz w:val="20"/>
          <w:szCs w:val="20"/>
          <w:color w:val="auto"/>
        </w:rPr>
      </w:pPr>
      <w:r>
        <w:rPr>
          <w:rFonts w:ascii="Arial" w:cs="Arial" w:eastAsia="Arial" w:hAnsi="Arial"/>
          <w:sz w:val="16"/>
          <w:szCs w:val="16"/>
          <w:color w:val="auto"/>
        </w:rPr>
        <w:t>during 2013, a $1.1 million increase to interest expense during 2012, and a $5.0 increase to interest expense during 2011. At December 31, 2013 and 2012, we recorded the fair market value of our interest rate swaps of $3.3 million and $5.9 million, respectively, as other long-term liabilities. In accordance with FASB ASC 815-20, we have not designated any of our current interest rate swap positions as financial reporting hedges.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14 - Income Taxes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Income (loss) before income tax expense includes the following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5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2"/>
              <w:spacing w:after="0" w:line="181" w:lineRule="exact"/>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2"/>
              <w:spacing w:after="0" w:line="181" w:lineRule="exact"/>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5"/>
                <w:szCs w:val="15"/>
                <w:color w:val="auto"/>
              </w:rPr>
            </w:pPr>
          </w:p>
        </w:tc>
      </w:tr>
      <w:tr>
        <w:trPr>
          <w:trHeight w:val="175"/>
        </w:trPr>
        <w:tc>
          <w:tcPr>
            <w:tcW w:w="5760" w:type="dxa"/>
            <w:vAlign w:val="bottom"/>
          </w:tcPr>
          <w:p>
            <w:pPr>
              <w:spacing w:after="0" w:line="175" w:lineRule="exact"/>
              <w:rPr>
                <w:sz w:val="20"/>
                <w:szCs w:val="20"/>
                <w:color w:val="auto"/>
              </w:rPr>
            </w:pPr>
            <w:r>
              <w:rPr>
                <w:rFonts w:ascii="Arial" w:cs="Arial" w:eastAsia="Arial" w:hAnsi="Arial"/>
                <w:sz w:val="16"/>
                <w:szCs w:val="16"/>
                <w:color w:val="auto"/>
              </w:rPr>
              <w:t>United States</w:t>
            </w:r>
          </w:p>
        </w:tc>
        <w:tc>
          <w:tcPr>
            <w:tcW w:w="32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line="175" w:lineRule="exact"/>
              <w:rPr>
                <w:sz w:val="20"/>
                <w:szCs w:val="20"/>
                <w:color w:val="auto"/>
              </w:rPr>
            </w:pPr>
            <w:r>
              <w:rPr>
                <w:rFonts w:ascii="Arial" w:cs="Arial" w:eastAsia="Arial" w:hAnsi="Arial"/>
                <w:sz w:val="16"/>
                <w:szCs w:val="16"/>
                <w:color w:val="auto"/>
              </w:rPr>
              <w:t>8,745</w:t>
            </w:r>
          </w:p>
        </w:tc>
        <w:tc>
          <w:tcPr>
            <w:tcW w:w="3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62"/>
              <w:spacing w:after="0" w:line="175" w:lineRule="exact"/>
              <w:rPr>
                <w:sz w:val="20"/>
                <w:szCs w:val="20"/>
                <w:color w:val="auto"/>
              </w:rPr>
            </w:pPr>
            <w:r>
              <w:rPr>
                <w:rFonts w:ascii="Arial" w:cs="Arial" w:eastAsia="Arial" w:hAnsi="Arial"/>
                <w:sz w:val="16"/>
                <w:szCs w:val="16"/>
                <w:color w:val="auto"/>
              </w:rPr>
              <w:t>836</w:t>
            </w:r>
          </w:p>
        </w:tc>
        <w:tc>
          <w:tcPr>
            <w:tcW w:w="42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(1,391)</w:t>
            </w:r>
          </w:p>
        </w:tc>
        <w:tc>
          <w:tcPr>
            <w:tcW w:w="20" w:type="dxa"/>
            <w:vAlign w:val="bottom"/>
          </w:tcPr>
          <w:p>
            <w:pPr>
              <w:spacing w:after="0"/>
              <w:rPr>
                <w:sz w:val="15"/>
                <w:szCs w:val="15"/>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6"/>
                <w:szCs w:val="16"/>
                <w:color w:val="auto"/>
              </w:rPr>
              <w:t>Foreign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3,973</w:t>
            </w:r>
          </w:p>
        </w:tc>
        <w:tc>
          <w:tcPr>
            <w:tcW w:w="32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1,446</w:t>
            </w:r>
          </w:p>
        </w:tc>
        <w:tc>
          <w:tcPr>
            <w:tcW w:w="4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(379)</w:t>
            </w:r>
          </w:p>
        </w:tc>
      </w:tr>
      <w:tr>
        <w:trPr>
          <w:trHeight w:val="171"/>
        </w:trPr>
        <w:tc>
          <w:tcPr>
            <w:tcW w:w="576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b w:val="1"/>
                <w:bCs w:val="1"/>
                <w:color w:val="auto"/>
                <w:w w:val="88"/>
              </w:rPr>
              <w:t>Income (loss) before income tax expense and equity earnings of unconsolidated joint</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6"/>
                <w:szCs w:val="16"/>
                <w:b w:val="1"/>
                <w:bCs w:val="1"/>
                <w:color w:val="auto"/>
              </w:rPr>
              <w:t>ventures and entities</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12,718</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2,282</w:t>
            </w:r>
          </w:p>
        </w:tc>
        <w:tc>
          <w:tcPr>
            <w:tcW w:w="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(1,770)</w:t>
            </w:r>
          </w:p>
        </w:tc>
      </w:tr>
      <w:tr>
        <w:trPr>
          <w:trHeight w:val="235"/>
        </w:trPr>
        <w:tc>
          <w:tcPr>
            <w:tcW w:w="5760" w:type="dxa"/>
            <w:vAlign w:val="bottom"/>
          </w:tcPr>
          <w:p>
            <w:pPr>
              <w:spacing w:after="0"/>
              <w:rPr>
                <w:sz w:val="20"/>
                <w:szCs w:val="20"/>
                <w:color w:val="auto"/>
              </w:rPr>
            </w:pPr>
            <w:r>
              <w:rPr>
                <w:rFonts w:ascii="Arial" w:cs="Arial" w:eastAsia="Arial" w:hAnsi="Arial"/>
                <w:sz w:val="16"/>
                <w:szCs w:val="16"/>
                <w:i w:val="1"/>
                <w:iCs w:val="1"/>
                <w:color w:val="auto"/>
              </w:rPr>
              <w:t>Net (income) expense attributable to noncontrolling interests</w:t>
            </w: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8"/>
        </w:trPr>
        <w:tc>
          <w:tcPr>
            <w:tcW w:w="576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6"/>
                <w:szCs w:val="16"/>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578</w:t>
            </w:r>
          </w:p>
        </w:tc>
        <w:tc>
          <w:tcPr>
            <w:tcW w:w="4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(604)</w:t>
            </w:r>
          </w:p>
        </w:tc>
      </w:tr>
      <w:tr>
        <w:trPr>
          <w:trHeight w:val="188"/>
        </w:trPr>
        <w:tc>
          <w:tcPr>
            <w:tcW w:w="5760" w:type="dxa"/>
            <w:vAlign w:val="bottom"/>
          </w:tcPr>
          <w:p>
            <w:pPr>
              <w:ind w:left="100"/>
              <w:spacing w:after="0"/>
              <w:rPr>
                <w:sz w:val="20"/>
                <w:szCs w:val="20"/>
                <w:color w:val="auto"/>
              </w:rPr>
            </w:pPr>
            <w:r>
              <w:rPr>
                <w:rFonts w:ascii="Arial" w:cs="Arial" w:eastAsia="Arial" w:hAnsi="Arial"/>
                <w:sz w:val="16"/>
                <w:szCs w:val="16"/>
                <w:color w:val="auto"/>
              </w:rPr>
              <w:t>Foreign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320" w:type="dxa"/>
            <w:vAlign w:val="bottom"/>
          </w:tcPr>
          <w:p>
            <w:pPr>
              <w:spacing w:after="0"/>
              <w:rPr>
                <w:sz w:val="16"/>
                <w:szCs w:val="16"/>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(86)</w:t>
            </w:r>
          </w:p>
        </w:tc>
        <w:tc>
          <w:tcPr>
            <w:tcW w:w="4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(336)</w:t>
            </w:r>
          </w:p>
        </w:tc>
      </w:tr>
      <w:tr>
        <w:trPr>
          <w:trHeight w:val="188"/>
        </w:trPr>
        <w:tc>
          <w:tcPr>
            <w:tcW w:w="5760" w:type="dxa"/>
            <w:vAlign w:val="bottom"/>
          </w:tcPr>
          <w:p>
            <w:pPr>
              <w:spacing w:after="0"/>
              <w:rPr>
                <w:sz w:val="20"/>
                <w:szCs w:val="20"/>
                <w:color w:val="auto"/>
              </w:rPr>
            </w:pPr>
            <w:r>
              <w:rPr>
                <w:rFonts w:ascii="Arial" w:cs="Arial" w:eastAsia="Arial" w:hAnsi="Arial"/>
                <w:sz w:val="16"/>
                <w:szCs w:val="16"/>
                <w:i w:val="1"/>
                <w:iCs w:val="1"/>
                <w:color w:val="auto"/>
              </w:rPr>
              <w:t>Equity earnings and gain on sale of unconsolidated subsidiary</w:t>
            </w: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6"/>
                <w:szCs w:val="16"/>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Arial" w:cs="Arial" w:eastAsia="Arial" w:hAnsi="Arial"/>
                <w:sz w:val="16"/>
                <w:szCs w:val="16"/>
                <w:color w:val="auto"/>
              </w:rPr>
              <w:t>Foreign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1,370</w:t>
            </w:r>
          </w:p>
        </w:tc>
        <w:tc>
          <w:tcPr>
            <w:tcW w:w="320" w:type="dxa"/>
            <w:vAlign w:val="bottom"/>
          </w:tcPr>
          <w:p>
            <w:pPr>
              <w:spacing w:after="0"/>
              <w:rPr>
                <w:sz w:val="16"/>
                <w:szCs w:val="16"/>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1,594</w:t>
            </w:r>
          </w:p>
        </w:tc>
        <w:tc>
          <w:tcPr>
            <w:tcW w:w="4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(1,585)</w:t>
            </w:r>
          </w:p>
        </w:tc>
      </w:tr>
      <w:tr>
        <w:trPr>
          <w:trHeight w:val="188"/>
        </w:trPr>
        <w:tc>
          <w:tcPr>
            <w:tcW w:w="5760" w:type="dxa"/>
            <w:vAlign w:val="bottom"/>
          </w:tcPr>
          <w:p>
            <w:pPr>
              <w:spacing w:after="0"/>
              <w:rPr>
                <w:sz w:val="20"/>
                <w:szCs w:val="20"/>
                <w:color w:val="auto"/>
              </w:rPr>
            </w:pPr>
            <w:r>
              <w:rPr>
                <w:rFonts w:ascii="Arial" w:cs="Arial" w:eastAsia="Arial" w:hAnsi="Arial"/>
                <w:sz w:val="16"/>
                <w:szCs w:val="16"/>
                <w:i w:val="1"/>
                <w:iCs w:val="1"/>
                <w:color w:val="auto"/>
              </w:rPr>
              <w:t>Gain on sale of discontinued operation: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200"/>
        </w:trPr>
        <w:tc>
          <w:tcPr>
            <w:tcW w:w="5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Foreign</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(405)</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w:t>
            </w:r>
          </w:p>
        </w:tc>
        <w:tc>
          <w:tcPr>
            <w:tcW w:w="20" w:type="dxa"/>
            <w:vAlign w:val="bottom"/>
          </w:tcPr>
          <w:p>
            <w:pPr>
              <w:spacing w:after="0"/>
              <w:rPr>
                <w:sz w:val="17"/>
                <w:szCs w:val="17"/>
                <w:color w:val="auto"/>
              </w:rPr>
            </w:pPr>
          </w:p>
        </w:tc>
      </w:tr>
      <w:tr>
        <w:trPr>
          <w:trHeight w:val="184"/>
        </w:trPr>
        <w:tc>
          <w:tcPr>
            <w:tcW w:w="57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Income (loss) before income tax expense</w:t>
            </w:r>
          </w:p>
        </w:tc>
        <w:tc>
          <w:tcPr>
            <w:tcW w:w="320" w:type="dxa"/>
            <w:vAlign w:val="bottom"/>
            <w:tcBorders>
              <w:bottom w:val="single" w:sz="8" w:color="auto"/>
            </w:tcBorders>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13,983</w:t>
            </w:r>
          </w:p>
        </w:tc>
        <w:tc>
          <w:tcPr>
            <w:tcW w:w="3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3,990</w:t>
            </w:r>
          </w:p>
        </w:tc>
        <w:tc>
          <w:tcPr>
            <w:tcW w:w="4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(2,374)</w:t>
            </w:r>
          </w:p>
        </w:tc>
        <w:tc>
          <w:tcPr>
            <w:tcW w:w="20" w:type="dxa"/>
            <w:vAlign w:val="bottom"/>
            <w:tcBorders>
              <w:bottom w:val="single" w:sz="8" w:color="auto"/>
            </w:tcBorders>
          </w:tcPr>
          <w:p>
            <w:pPr>
              <w:spacing w:after="0"/>
              <w:rPr>
                <w:sz w:val="16"/>
                <w:szCs w:val="16"/>
                <w:color w:val="auto"/>
              </w:rPr>
            </w:pPr>
          </w:p>
        </w:tc>
      </w:tr>
    </w:tbl>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components of the provision for income taxes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6"/>
                <w:szCs w:val="16"/>
                <w:b w:val="1"/>
                <w:bCs w:val="1"/>
                <w:color w:val="auto"/>
                <w:w w:val="87"/>
              </w:rPr>
              <w:t>Year Ended December 31,</w:t>
            </w:r>
          </w:p>
        </w:tc>
        <w:tc>
          <w:tcPr>
            <w:tcW w:w="880" w:type="dxa"/>
            <w:vAlign w:val="bottom"/>
            <w:tcBorders>
              <w:bottom w:val="single" w:sz="8" w:color="auto"/>
            </w:tcBorders>
          </w:tcPr>
          <w:p>
            <w:pPr>
              <w:spacing w:after="0"/>
              <w:rPr>
                <w:sz w:val="17"/>
                <w:szCs w:val="17"/>
                <w:color w:val="auto"/>
              </w:rPr>
            </w:pPr>
          </w:p>
        </w:tc>
      </w:tr>
      <w:tr>
        <w:trPr>
          <w:trHeight w:val="184"/>
        </w:trPr>
        <w:tc>
          <w:tcPr>
            <w:tcW w:w="3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line="181" w:lineRule="exact"/>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b w:val="1"/>
                <w:bCs w:val="1"/>
                <w:color w:val="auto"/>
              </w:rPr>
              <w:t>2011</w:t>
            </w:r>
          </w:p>
        </w:tc>
      </w:tr>
      <w:tr>
        <w:trPr>
          <w:trHeight w:val="175"/>
        </w:trPr>
        <w:tc>
          <w:tcPr>
            <w:tcW w:w="3880" w:type="dxa"/>
            <w:vAlign w:val="bottom"/>
          </w:tcPr>
          <w:p>
            <w:pPr>
              <w:spacing w:after="0" w:line="175" w:lineRule="exact"/>
              <w:rPr>
                <w:sz w:val="20"/>
                <w:szCs w:val="20"/>
                <w:color w:val="auto"/>
              </w:rPr>
            </w:pPr>
            <w:r>
              <w:rPr>
                <w:rFonts w:ascii="Arial" w:cs="Arial" w:eastAsia="Arial" w:hAnsi="Arial"/>
                <w:sz w:val="16"/>
                <w:szCs w:val="16"/>
                <w:b w:val="1"/>
                <w:bCs w:val="1"/>
                <w:color w:val="auto"/>
              </w:rPr>
              <w:t>Current income tax expense</w:t>
            </w:r>
          </w:p>
        </w:tc>
        <w:tc>
          <w:tcPr>
            <w:tcW w:w="1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3880" w:type="dxa"/>
            <w:vAlign w:val="bottom"/>
          </w:tcPr>
          <w:p>
            <w:pPr>
              <w:ind w:left="100"/>
              <w:spacing w:after="0"/>
              <w:rPr>
                <w:sz w:val="20"/>
                <w:szCs w:val="20"/>
                <w:color w:val="auto"/>
              </w:rPr>
            </w:pPr>
            <w:r>
              <w:rPr>
                <w:rFonts w:ascii="Arial" w:cs="Arial" w:eastAsia="Arial" w:hAnsi="Arial"/>
                <w:sz w:val="16"/>
                <w:szCs w:val="16"/>
                <w:color w:val="auto"/>
              </w:rPr>
              <w:t>Federal</w:t>
            </w:r>
          </w:p>
        </w:tc>
        <w:tc>
          <w:tcPr>
            <w:tcW w:w="2140" w:type="dxa"/>
            <w:vAlign w:val="bottom"/>
            <w:gridSpan w:val="2"/>
          </w:tcPr>
          <w:p>
            <w:pPr>
              <w:jc w:val="right"/>
              <w:ind w:right="6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1,121</w:t>
            </w:r>
          </w:p>
        </w:tc>
        <w:tc>
          <w:tcPr>
            <w:tcW w:w="5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964</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1,332</w:t>
            </w:r>
          </w:p>
        </w:tc>
      </w:tr>
      <w:tr>
        <w:trPr>
          <w:trHeight w:val="188"/>
        </w:trPr>
        <w:tc>
          <w:tcPr>
            <w:tcW w:w="3880" w:type="dxa"/>
            <w:vAlign w:val="bottom"/>
          </w:tcPr>
          <w:p>
            <w:pPr>
              <w:ind w:left="100"/>
              <w:spacing w:after="0"/>
              <w:rPr>
                <w:sz w:val="20"/>
                <w:szCs w:val="20"/>
                <w:color w:val="auto"/>
              </w:rPr>
            </w:pPr>
            <w:r>
              <w:rPr>
                <w:rFonts w:ascii="Arial" w:cs="Arial" w:eastAsia="Arial" w:hAnsi="Arial"/>
                <w:sz w:val="16"/>
                <w:szCs w:val="16"/>
                <w:color w:val="auto"/>
              </w:rPr>
              <w:t>State</w:t>
            </w: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432</w:t>
            </w:r>
          </w:p>
        </w:tc>
        <w:tc>
          <w:tcPr>
            <w:tcW w:w="52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584</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00"/>
        </w:trPr>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1,283</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1,370</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180"/>
        </w:trPr>
        <w:tc>
          <w:tcPr>
            <w:tcW w:w="3880" w:type="dxa"/>
            <w:vAlign w:val="bottom"/>
            <w:tcBorders>
              <w:bottom w:val="single" w:sz="8" w:color="auto"/>
            </w:tcBorders>
          </w:tcPr>
          <w:p>
            <w:pPr>
              <w:ind w:left="180"/>
              <w:spacing w:after="0" w:line="181" w:lineRule="exact"/>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4"/>
              </w:rPr>
              <w:t>2,836</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2,918</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2,930</w:t>
            </w:r>
          </w:p>
        </w:tc>
      </w:tr>
      <w:tr>
        <w:trPr>
          <w:trHeight w:val="167"/>
        </w:trPr>
        <w:tc>
          <w:tcPr>
            <w:tcW w:w="3880" w:type="dxa"/>
            <w:vAlign w:val="bottom"/>
          </w:tcPr>
          <w:p>
            <w:pPr>
              <w:spacing w:after="0" w:line="167" w:lineRule="exact"/>
              <w:rPr>
                <w:sz w:val="20"/>
                <w:szCs w:val="20"/>
                <w:color w:val="auto"/>
              </w:rPr>
            </w:pPr>
            <w:r>
              <w:rPr>
                <w:rFonts w:ascii="Arial" w:cs="Arial" w:eastAsia="Arial" w:hAnsi="Arial"/>
                <w:sz w:val="16"/>
                <w:szCs w:val="16"/>
                <w:b w:val="1"/>
                <w:bCs w:val="1"/>
                <w:color w:val="auto"/>
              </w:rPr>
              <w:t>Deferred income tax expense (benefit)</w:t>
            </w: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3880" w:type="dxa"/>
            <w:vAlign w:val="bottom"/>
          </w:tcPr>
          <w:p>
            <w:pPr>
              <w:ind w:left="100"/>
              <w:spacing w:after="0"/>
              <w:rPr>
                <w:sz w:val="20"/>
                <w:szCs w:val="20"/>
                <w:color w:val="auto"/>
              </w:rPr>
            </w:pPr>
            <w:r>
              <w:rPr>
                <w:rFonts w:ascii="Arial" w:cs="Arial" w:eastAsia="Arial" w:hAnsi="Arial"/>
                <w:sz w:val="16"/>
                <w:szCs w:val="16"/>
                <w:color w:val="auto"/>
              </w:rPr>
              <w:t>Federal</w:t>
            </w: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880" w:type="dxa"/>
            <w:vAlign w:val="bottom"/>
          </w:tcPr>
          <w:p>
            <w:pPr>
              <w:ind w:left="100"/>
              <w:spacing w:after="0"/>
              <w:rPr>
                <w:sz w:val="20"/>
                <w:szCs w:val="20"/>
                <w:color w:val="auto"/>
              </w:rPr>
            </w:pPr>
            <w:r>
              <w:rPr>
                <w:rFonts w:ascii="Arial" w:cs="Arial" w:eastAsia="Arial" w:hAnsi="Arial"/>
                <w:sz w:val="16"/>
                <w:szCs w:val="16"/>
                <w:color w:val="auto"/>
              </w:rPr>
              <w:t>State</w:t>
            </w: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2,106</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1,986</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(15,260)</w:t>
            </w:r>
          </w:p>
        </w:tc>
      </w:tr>
      <w:tr>
        <w:trPr>
          <w:trHeight w:val="180"/>
        </w:trPr>
        <w:tc>
          <w:tcPr>
            <w:tcW w:w="3880" w:type="dxa"/>
            <w:vAlign w:val="bottom"/>
            <w:tcBorders>
              <w:bottom w:val="single" w:sz="8" w:color="auto"/>
            </w:tcBorders>
          </w:tcPr>
          <w:p>
            <w:pPr>
              <w:ind w:left="180"/>
              <w:spacing w:after="0" w:line="181" w:lineRule="exact"/>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4"/>
              </w:rPr>
              <w:t>2,106</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1,986</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(15,260)</w:t>
            </w:r>
          </w:p>
        </w:tc>
      </w:tr>
      <w:tr>
        <w:trPr>
          <w:trHeight w:val="195"/>
        </w:trPr>
        <w:tc>
          <w:tcPr>
            <w:tcW w:w="3880" w:type="dxa"/>
            <w:vAlign w:val="bottom"/>
          </w:tcPr>
          <w:p>
            <w:pPr>
              <w:spacing w:after="0"/>
              <w:rPr>
                <w:sz w:val="20"/>
                <w:szCs w:val="20"/>
                <w:color w:val="auto"/>
              </w:rPr>
            </w:pPr>
            <w:r>
              <w:rPr>
                <w:rFonts w:ascii="Arial" w:cs="Arial" w:eastAsia="Arial" w:hAnsi="Arial"/>
                <w:sz w:val="16"/>
                <w:szCs w:val="16"/>
                <w:b w:val="1"/>
                <w:bCs w:val="1"/>
                <w:color w:val="auto"/>
              </w:rPr>
              <w:t>Total income tax expense (benefit)</w:t>
            </w:r>
          </w:p>
        </w:tc>
        <w:tc>
          <w:tcPr>
            <w:tcW w:w="2140" w:type="dxa"/>
            <w:vAlign w:val="bottom"/>
            <w:gridSpan w:val="2"/>
          </w:tcPr>
          <w:p>
            <w:pPr>
              <w:jc w:val="right"/>
              <w:ind w:right="6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4,942</w:t>
            </w:r>
          </w:p>
        </w:tc>
        <w:tc>
          <w:tcPr>
            <w:tcW w:w="5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4,904</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583247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32475" cy="14605"/>
                    </a:xfrm>
                    <a:prstGeom prst="rect">
                      <a:avLst/>
                    </a:prstGeom>
                    <a:noFill/>
                  </pic:spPr>
                </pic:pic>
              </a:graphicData>
            </a:graphic>
          </wp:anchor>
        </w:drawing>
      </w:r>
    </w:p>
    <w:p>
      <w:pPr>
        <w:jc w:val="both"/>
        <w:ind w:right="20" w:firstLine="564"/>
        <w:spacing w:after="0" w:line="255" w:lineRule="auto"/>
        <w:rPr>
          <w:sz w:val="20"/>
          <w:szCs w:val="20"/>
          <w:color w:val="auto"/>
        </w:rPr>
      </w:pPr>
      <w:r>
        <w:rPr>
          <w:rFonts w:ascii="Arial" w:cs="Arial" w:eastAsia="Arial" w:hAnsi="Arial"/>
          <w:sz w:val="16"/>
          <w:szCs w:val="16"/>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Components of Deferred Tax Assets</w:t>
            </w:r>
          </w:p>
        </w:tc>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80" w:type="dxa"/>
            <w:vAlign w:val="bottom"/>
            <w:tcBorders>
              <w:bottom w:val="single" w:sz="8" w:color="auto"/>
            </w:tcBorders>
            <w:vMerge w:val="continue"/>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line="181" w:lineRule="exact"/>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Deferred Tax Assets:</w:t>
            </w:r>
          </w:p>
        </w:tc>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100"/>
              <w:spacing w:after="0"/>
              <w:rPr>
                <w:sz w:val="20"/>
                <w:szCs w:val="20"/>
                <w:color w:val="auto"/>
              </w:rPr>
            </w:pPr>
            <w:r>
              <w:rPr>
                <w:rFonts w:ascii="Arial" w:cs="Arial" w:eastAsia="Arial" w:hAnsi="Arial"/>
                <w:sz w:val="16"/>
                <w:szCs w:val="16"/>
                <w:color w:val="auto"/>
              </w:rPr>
              <w:t>Net operating loss carry-forwards</w:t>
            </w:r>
          </w:p>
        </w:tc>
        <w:tc>
          <w:tcPr>
            <w:tcW w:w="3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21,228</w:t>
            </w:r>
          </w:p>
        </w:tc>
        <w:tc>
          <w:tcPr>
            <w:tcW w:w="56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31,040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100"/>
              <w:spacing w:after="0"/>
              <w:rPr>
                <w:sz w:val="20"/>
                <w:szCs w:val="20"/>
                <w:color w:val="auto"/>
              </w:rPr>
            </w:pPr>
            <w:r>
              <w:rPr>
                <w:rFonts w:ascii="Arial" w:cs="Arial" w:eastAsia="Arial" w:hAnsi="Arial"/>
                <w:sz w:val="16"/>
                <w:szCs w:val="16"/>
                <w:color w:val="auto"/>
              </w:rPr>
              <w:t>Impairment reserves</w:t>
            </w: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2,915</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100"/>
              <w:spacing w:after="0"/>
              <w:rPr>
                <w:sz w:val="20"/>
                <w:szCs w:val="20"/>
                <w:color w:val="auto"/>
              </w:rPr>
            </w:pPr>
            <w:r>
              <w:rPr>
                <w:rFonts w:ascii="Arial" w:cs="Arial" w:eastAsia="Arial" w:hAnsi="Arial"/>
                <w:sz w:val="16"/>
                <w:szCs w:val="16"/>
                <w:color w:val="auto"/>
              </w:rPr>
              <w:t>Alternative minimum tax credit carry-forwards</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3,291</w:t>
            </w: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8"/>
        </w:trPr>
        <w:tc>
          <w:tcPr>
            <w:tcW w:w="3780" w:type="dxa"/>
            <w:vAlign w:val="bottom"/>
          </w:tcPr>
          <w:p>
            <w:pPr>
              <w:spacing w:after="0"/>
              <w:rPr>
                <w:sz w:val="24"/>
                <w:szCs w:val="24"/>
                <w:color w:val="auto"/>
              </w:rPr>
            </w:pPr>
          </w:p>
        </w:tc>
        <w:tc>
          <w:tcPr>
            <w:tcW w:w="2780" w:type="dxa"/>
            <w:vAlign w:val="bottom"/>
          </w:tcPr>
          <w:p>
            <w:pPr>
              <w:jc w:val="right"/>
              <w:ind w:right="1802"/>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80" w:type="dxa"/>
            <w:vAlign w:val="bottom"/>
            <w:tcBorders>
              <w:bottom w:val="single" w:sz="8" w:color="9A9A9A"/>
            </w:tcBorders>
          </w:tcPr>
          <w:p>
            <w:pPr>
              <w:spacing w:after="0"/>
              <w:rPr>
                <w:sz w:val="11"/>
                <w:szCs w:val="11"/>
                <w:color w:val="auto"/>
              </w:rPr>
            </w:pPr>
          </w:p>
        </w:tc>
        <w:tc>
          <w:tcPr>
            <w:tcW w:w="27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8" w:right="1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8"/>
        </w:trPr>
        <w:tc>
          <w:tcPr>
            <w:tcW w:w="4780" w:type="dxa"/>
            <w:vAlign w:val="bottom"/>
          </w:tcPr>
          <w:p>
            <w:pPr>
              <w:ind w:left="100"/>
              <w:spacing w:after="0"/>
              <w:rPr>
                <w:sz w:val="20"/>
                <w:szCs w:val="20"/>
                <w:color w:val="auto"/>
              </w:rPr>
            </w:pPr>
            <w:r>
              <w:rPr>
                <w:rFonts w:ascii="Arial" w:cs="Arial" w:eastAsia="Arial" w:hAnsi="Arial"/>
                <w:sz w:val="16"/>
                <w:szCs w:val="16"/>
                <w:color w:val="auto"/>
              </w:rPr>
              <w:t>Compensation and employee benefits</w:t>
            </w:r>
          </w:p>
        </w:tc>
        <w:tc>
          <w:tcPr>
            <w:tcW w:w="210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3,867</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3,242</w:t>
            </w:r>
          </w:p>
        </w:tc>
      </w:tr>
      <w:tr>
        <w:trPr>
          <w:trHeight w:val="188"/>
        </w:trPr>
        <w:tc>
          <w:tcPr>
            <w:tcW w:w="4780" w:type="dxa"/>
            <w:vAlign w:val="bottom"/>
          </w:tcPr>
          <w:p>
            <w:pPr>
              <w:ind w:left="100"/>
              <w:spacing w:after="0"/>
              <w:rPr>
                <w:sz w:val="20"/>
                <w:szCs w:val="20"/>
                <w:color w:val="auto"/>
              </w:rPr>
            </w:pPr>
            <w:r>
              <w:rPr>
                <w:rFonts w:ascii="Arial" w:cs="Arial" w:eastAsia="Arial" w:hAnsi="Arial"/>
                <w:sz w:val="16"/>
                <w:szCs w:val="16"/>
                <w:color w:val="auto"/>
              </w:rPr>
              <w:t>Deferred revenue and expense</w:t>
            </w:r>
          </w:p>
        </w:tc>
        <w:tc>
          <w:tcPr>
            <w:tcW w:w="210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2,398</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2,688</w:t>
            </w:r>
          </w:p>
        </w:tc>
      </w:tr>
      <w:tr>
        <w:trPr>
          <w:trHeight w:val="188"/>
        </w:trPr>
        <w:tc>
          <w:tcPr>
            <w:tcW w:w="4780" w:type="dxa"/>
            <w:vAlign w:val="bottom"/>
          </w:tcPr>
          <w:p>
            <w:pPr>
              <w:ind w:left="100"/>
              <w:spacing w:after="0"/>
              <w:rPr>
                <w:sz w:val="20"/>
                <w:szCs w:val="20"/>
                <w:color w:val="auto"/>
              </w:rPr>
            </w:pPr>
            <w:r>
              <w:rPr>
                <w:rFonts w:ascii="Arial" w:cs="Arial" w:eastAsia="Arial" w:hAnsi="Arial"/>
                <w:sz w:val="16"/>
                <w:szCs w:val="16"/>
                <w:color w:val="auto"/>
              </w:rPr>
              <w:t>Land, tangible assets, and option real properties</w:t>
            </w:r>
          </w:p>
        </w:tc>
        <w:tc>
          <w:tcPr>
            <w:tcW w:w="210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5,477</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200"/>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2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3,685</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w:t>
            </w:r>
          </w:p>
        </w:tc>
      </w:tr>
      <w:tr>
        <w:trPr>
          <w:trHeight w:val="168"/>
        </w:trPr>
        <w:tc>
          <w:tcPr>
            <w:tcW w:w="4780" w:type="dxa"/>
            <w:vAlign w:val="bottom"/>
          </w:tcPr>
          <w:p>
            <w:pPr>
              <w:spacing w:after="0" w:line="168" w:lineRule="exact"/>
              <w:rPr>
                <w:sz w:val="20"/>
                <w:szCs w:val="20"/>
                <w:color w:val="auto"/>
              </w:rPr>
            </w:pPr>
            <w:r>
              <w:rPr>
                <w:rFonts w:ascii="Arial" w:cs="Arial" w:eastAsia="Arial" w:hAnsi="Arial"/>
                <w:sz w:val="16"/>
                <w:szCs w:val="16"/>
                <w:color w:val="auto"/>
              </w:rPr>
              <w:t>Total Deferred Tax Assets</w:t>
            </w:r>
          </w:p>
        </w:tc>
        <w:tc>
          <w:tcPr>
            <w:tcW w:w="2100" w:type="dxa"/>
            <w:vAlign w:val="bottom"/>
          </w:tcPr>
          <w:p>
            <w:pPr>
              <w:spacing w:after="0"/>
              <w:rPr>
                <w:sz w:val="14"/>
                <w:szCs w:val="14"/>
                <w:color w:val="auto"/>
              </w:rPr>
            </w:pPr>
          </w:p>
        </w:tc>
        <w:tc>
          <w:tcPr>
            <w:tcW w:w="960" w:type="dxa"/>
            <w:vAlign w:val="bottom"/>
          </w:tcPr>
          <w:p>
            <w:pPr>
              <w:jc w:val="right"/>
              <w:ind w:right="62"/>
              <w:spacing w:after="0" w:line="168" w:lineRule="exact"/>
              <w:rPr>
                <w:sz w:val="20"/>
                <w:szCs w:val="20"/>
                <w:color w:val="auto"/>
              </w:rPr>
            </w:pPr>
            <w:r>
              <w:rPr>
                <w:rFonts w:ascii="Arial" w:cs="Arial" w:eastAsia="Arial" w:hAnsi="Arial"/>
                <w:sz w:val="16"/>
                <w:szCs w:val="16"/>
                <w:color w:val="auto"/>
              </w:rPr>
              <w:t>42,861</w:t>
            </w:r>
          </w:p>
        </w:tc>
        <w:tc>
          <w:tcPr>
            <w:tcW w:w="5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50,551</w:t>
            </w:r>
          </w:p>
        </w:tc>
      </w:tr>
      <w:tr>
        <w:trPr>
          <w:trHeight w:val="200"/>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Valuation allowance</w:t>
            </w:r>
          </w:p>
        </w:tc>
        <w:tc>
          <w:tcPr>
            <w:tcW w:w="2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(34,022)</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(37,903)</w:t>
            </w:r>
          </w:p>
        </w:tc>
      </w:tr>
      <w:tr>
        <w:trPr>
          <w:trHeight w:val="184"/>
        </w:trPr>
        <w:tc>
          <w:tcPr>
            <w:tcW w:w="47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Net deferred tax asset</w:t>
            </w:r>
          </w:p>
        </w:tc>
        <w:tc>
          <w:tcPr>
            <w:tcW w:w="210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8,839</w:t>
            </w:r>
          </w:p>
        </w:tc>
        <w:tc>
          <w:tcPr>
            <w:tcW w:w="50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12,648</w:t>
            </w:r>
          </w:p>
        </w:tc>
      </w:tr>
    </w:tbl>
    <w:p>
      <w:pPr>
        <w:spacing w:after="0" w:line="175" w:lineRule="exact"/>
        <w:rPr>
          <w:sz w:val="20"/>
          <w:szCs w:val="20"/>
          <w:color w:val="auto"/>
        </w:rPr>
      </w:pPr>
    </w:p>
    <w:p>
      <w:pPr>
        <w:jc w:val="both"/>
        <w:ind w:right="20" w:firstLine="564"/>
        <w:spacing w:after="0" w:line="310" w:lineRule="auto"/>
        <w:rPr>
          <w:sz w:val="20"/>
          <w:szCs w:val="20"/>
          <w:color w:val="auto"/>
        </w:rPr>
      </w:pPr>
      <w:r>
        <w:rPr>
          <w:rFonts w:ascii="Arial" w:cs="Arial" w:eastAsia="Arial" w:hAnsi="Arial"/>
          <w:sz w:val="13"/>
          <w:szCs w:val="13"/>
          <w:color w:val="auto"/>
        </w:rPr>
        <w:t xml:space="preserve">In accordance with FASB ASC 740-10 –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(“ASC 740-10”), 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ASC 740-10 presumes that a valuation allowance is required when there is substantial negative evidence about realization of deferred tax assets, such as a pattern of losses in recent years, coupled with facts that suggest such losses may continue. Because of such negative evidence available for the U.S., Puerto Rico, and New Zealand, as of December 31, 2013, we recorded a valuation allowance of $34.0 million. After consideration of a number of factors for the Reading Australia group, including its recent history of financial income, its expected future earnings, the increase in market value of its real estate assets, and having executed a credit facility of over $100.0 million to resolve potential liquidity issues, the Company determined as of July 1, 2011 that it was more likely than not that deferred tax assets in Reading Australia group will be realized. Accordingly, we reversed the full valuation allowance in Australia, resulting in a net deferred tax asset of $14.4 million as of December 31, 2011, with approximately $3.4 million classified as current and $11.0 million as non-current.</w:t>
      </w:r>
    </w:p>
    <w:p>
      <w:pPr>
        <w:spacing w:after="0" w:line="30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As of December 31, 2013, we had U.S. net operating loss carry-forwards of $15.2 million, of which $8.7 million expire between 2025 and 2030, while $6.5 million expire between 2030 and 2035.</w:t>
      </w:r>
    </w:p>
    <w:p>
      <w:pPr>
        <w:spacing w:after="0" w:line="122"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In addition to the above net operating loss carry-forwards having expiration dates, we have the following carry-forwards that have no expiration date at December 31, 2013:</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approximately $3.3 million in U.S. alternative minimum tax credit carry-forwards;</w:t>
      </w:r>
    </w:p>
    <w:p>
      <w:pPr>
        <w:spacing w:after="0" w:line="16" w:lineRule="exact"/>
        <w:rPr>
          <w:sz w:val="20"/>
          <w:szCs w:val="20"/>
          <w:color w:val="auto"/>
        </w:rPr>
      </w:pPr>
    </w:p>
    <w:p>
      <w:pPr>
        <w:ind w:left="340" w:right="20" w:hanging="46"/>
        <w:spacing w:after="0" w:line="245" w:lineRule="auto"/>
        <w:rPr>
          <w:sz w:val="20"/>
          <w:szCs w:val="20"/>
          <w:color w:val="auto"/>
        </w:rPr>
      </w:pPr>
      <w:r>
        <w:rPr>
          <w:rFonts w:ascii="Arial" w:cs="Arial" w:eastAsia="Arial" w:hAnsi="Arial"/>
          <w:sz w:val="16"/>
          <w:szCs w:val="16"/>
          <w:color w:val="auto"/>
        </w:rPr>
        <w:t>·approximately $26.0 million in Australian ordinary and capital loss carry-forwards, including accrued but unpaid interest on loans from its US parent company; and</w:t>
      </w:r>
    </w:p>
    <w:p>
      <w:pPr>
        <w:ind w:left="280"/>
        <w:spacing w:after="0"/>
        <w:rPr>
          <w:sz w:val="20"/>
          <w:szCs w:val="20"/>
          <w:color w:val="auto"/>
        </w:rPr>
      </w:pPr>
      <w:r>
        <w:rPr>
          <w:rFonts w:ascii="Arial" w:cs="Arial" w:eastAsia="Arial" w:hAnsi="Arial"/>
          <w:sz w:val="16"/>
          <w:szCs w:val="16"/>
          <w:color w:val="auto"/>
        </w:rPr>
        <w:t>· approximately $11.8 million in New Zealand loss carry-forwards.</w:t>
      </w:r>
    </w:p>
    <w:p>
      <w:pPr>
        <w:spacing w:after="0" w:line="157" w:lineRule="exact"/>
        <w:rPr>
          <w:sz w:val="20"/>
          <w:szCs w:val="20"/>
          <w:color w:val="auto"/>
        </w:rPr>
      </w:pPr>
    </w:p>
    <w:p>
      <w:pPr>
        <w:jc w:val="both"/>
        <w:ind w:right="20" w:firstLine="564"/>
        <w:spacing w:after="0" w:line="251" w:lineRule="auto"/>
        <w:rPr>
          <w:sz w:val="20"/>
          <w:szCs w:val="20"/>
          <w:color w:val="auto"/>
        </w:rPr>
      </w:pPr>
      <w:r>
        <w:rPr>
          <w:rFonts w:ascii="Arial" w:cs="Arial" w:eastAsia="Arial" w:hAnsi="Arial"/>
          <w:sz w:val="16"/>
          <w:szCs w:val="16"/>
          <w:color w:val="auto"/>
        </w:rPr>
        <w:t>We disposed of our Puerto Rico operations during 2005 and plan no further investment in Puerto Rico for the foreseeable future. We have approximately $14.1 million in Puerto Rico loss carry-forwards expiring no later than 2018. No material future tax benefits from Puerto Rico loss carry-forwards can be recognized by the Company unless it re-enters the Puerto Rico market for which the Company has no current plans.</w:t>
      </w:r>
    </w:p>
    <w:p>
      <w:pPr>
        <w:spacing w:after="0" w:line="135" w:lineRule="exact"/>
        <w:rPr>
          <w:sz w:val="20"/>
          <w:szCs w:val="20"/>
          <w:color w:val="auto"/>
        </w:rPr>
      </w:pPr>
    </w:p>
    <w:p>
      <w:pPr>
        <w:jc w:val="both"/>
        <w:ind w:right="20" w:firstLine="564"/>
        <w:spacing w:after="0" w:line="255" w:lineRule="auto"/>
        <w:rPr>
          <w:sz w:val="20"/>
          <w:szCs w:val="20"/>
          <w:color w:val="auto"/>
        </w:rPr>
      </w:pPr>
      <w:r>
        <w:rPr>
          <w:rFonts w:ascii="Arial" w:cs="Arial" w:eastAsia="Arial" w:hAnsi="Arial"/>
          <w:sz w:val="16"/>
          <w:szCs w:val="16"/>
          <w:color w:val="auto"/>
        </w:rPr>
        <w:t>We expect no other substantial limitations on the future use of U.S. or foreign loss carry-forwards except as may occur for certain losses occurring in New Zealand related to the Landplan operations, which may only be used to offset income and gains from those particular activities, and cannot be shared with their respective consolidated group.</w:t>
      </w:r>
    </w:p>
    <w:p>
      <w:pPr>
        <w:spacing w:after="0" w:line="130" w:lineRule="exact"/>
        <w:rPr>
          <w:sz w:val="20"/>
          <w:szCs w:val="20"/>
          <w:color w:val="auto"/>
        </w:rPr>
      </w:pPr>
    </w:p>
    <w:p>
      <w:pPr>
        <w:jc w:val="both"/>
        <w:ind w:right="20" w:firstLine="564"/>
        <w:spacing w:after="0" w:line="280" w:lineRule="auto"/>
        <w:rPr>
          <w:sz w:val="20"/>
          <w:szCs w:val="20"/>
          <w:color w:val="auto"/>
        </w:rPr>
      </w:pPr>
      <w:r>
        <w:rPr>
          <w:rFonts w:ascii="Arial" w:cs="Arial" w:eastAsia="Arial" w:hAnsi="Arial"/>
          <w:sz w:val="15"/>
          <w:szCs w:val="15"/>
          <w:color w:val="auto"/>
        </w:rPr>
        <w:t>U.S. income taxes have not been recognized on the temporary differences between book value and tax basis of investment in foreign subsidiaries. These differences become taxable upon a sale of the subsidiary or upon distribution of assets from the subsidiary to U.S. shareholders. We expect neither of these events will occur in the foreseeable future for any of our foreign subsidiaries.</w:t>
      </w:r>
    </w:p>
    <w:p>
      <w:pPr>
        <w:spacing w:after="0" w:line="125"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The provision for income taxes is different from amounts computed by applying U.S. statutory rates to consolidated losses before taxes. The significant reason for these differences follows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Year Ended December 31,</w:t>
            </w: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3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line="181" w:lineRule="exact"/>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5"/>
                <w:szCs w:val="15"/>
                <w:color w:val="auto"/>
              </w:rPr>
            </w:pP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color w:val="auto"/>
              </w:rPr>
              <w:t>Expected tax provision (benefit)</w:t>
            </w:r>
          </w:p>
        </w:tc>
        <w:tc>
          <w:tcPr>
            <w:tcW w:w="14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4,894</w:t>
            </w:r>
          </w:p>
        </w:tc>
        <w:tc>
          <w:tcPr>
            <w:tcW w:w="52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1,397</w:t>
            </w:r>
          </w:p>
        </w:tc>
        <w:tc>
          <w:tcPr>
            <w:tcW w:w="42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(831)</w:t>
            </w:r>
          </w:p>
        </w:tc>
        <w:tc>
          <w:tcPr>
            <w:tcW w:w="20" w:type="dxa"/>
            <w:vAlign w:val="bottom"/>
          </w:tcPr>
          <w:p>
            <w:pPr>
              <w:spacing w:after="0"/>
              <w:rPr>
                <w:sz w:val="15"/>
                <w:szCs w:val="15"/>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i w:val="1"/>
                <w:iCs w:val="1"/>
                <w:color w:val="auto"/>
              </w:rPr>
              <w:t>Increase (decrease) in tax expense resulting from:</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16"/>
        </w:trPr>
        <w:tc>
          <w:tcPr>
            <w:tcW w:w="3820" w:type="dxa"/>
            <w:vAlign w:val="bottom"/>
          </w:tcPr>
          <w:p>
            <w:pPr>
              <w:spacing w:after="0"/>
              <w:rPr>
                <w:sz w:val="24"/>
                <w:szCs w:val="24"/>
                <w:color w:val="auto"/>
              </w:rPr>
            </w:pPr>
          </w:p>
        </w:tc>
        <w:tc>
          <w:tcPr>
            <w:tcW w:w="1260" w:type="dxa"/>
            <w:vAlign w:val="bottom"/>
          </w:tcPr>
          <w:p>
            <w:pPr>
              <w:jc w:val="right"/>
              <w:ind w:right="322"/>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82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8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8" w:right="1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Change in valuation allowance</w:t>
            </w:r>
          </w:p>
        </w:tc>
        <w:tc>
          <w:tcPr>
            <w:tcW w:w="138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(3,882)</w:t>
            </w:r>
          </w:p>
        </w:tc>
        <w:tc>
          <w:tcPr>
            <w:tcW w:w="5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(558)</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(15,260)</w:t>
            </w:r>
          </w:p>
        </w:tc>
      </w:t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Expired foreign loss carry-forward</w:t>
            </w:r>
          </w:p>
        </w:tc>
        <w:tc>
          <w:tcPr>
            <w:tcW w:w="1380" w:type="dxa"/>
            <w:vAlign w:val="bottom"/>
          </w:tcPr>
          <w:p>
            <w:pPr>
              <w:spacing w:after="0"/>
              <w:rPr>
                <w:sz w:val="16"/>
                <w:szCs w:val="16"/>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Foreign tax provision</w:t>
            </w:r>
          </w:p>
        </w:tc>
        <w:tc>
          <w:tcPr>
            <w:tcW w:w="1380" w:type="dxa"/>
            <w:vAlign w:val="bottom"/>
          </w:tcPr>
          <w:p>
            <w:pPr>
              <w:spacing w:after="0"/>
              <w:rPr>
                <w:sz w:val="16"/>
                <w:szCs w:val="16"/>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3,389</w:t>
            </w:r>
          </w:p>
        </w:tc>
        <w:tc>
          <w:tcPr>
            <w:tcW w:w="58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3,356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Tax effect of foreign tax rates on current income</w:t>
            </w:r>
          </w:p>
        </w:tc>
        <w:tc>
          <w:tcPr>
            <w:tcW w:w="138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(294)</w:t>
            </w:r>
          </w:p>
        </w:tc>
        <w:tc>
          <w:tcPr>
            <w:tcW w:w="5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(126)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State and local tax provision</w:t>
            </w:r>
          </w:p>
        </w:tc>
        <w:tc>
          <w:tcPr>
            <w:tcW w:w="1380" w:type="dxa"/>
            <w:vAlign w:val="bottom"/>
          </w:tcPr>
          <w:p>
            <w:pPr>
              <w:spacing w:after="0"/>
              <w:rPr>
                <w:sz w:val="16"/>
                <w:szCs w:val="16"/>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296</w:t>
            </w:r>
          </w:p>
        </w:tc>
        <w:tc>
          <w:tcPr>
            <w:tcW w:w="58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408</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Tax/Audit Litigation Settlement</w:t>
            </w:r>
          </w:p>
        </w:tc>
        <w:tc>
          <w:tcPr>
            <w:tcW w:w="1380" w:type="dxa"/>
            <w:vAlign w:val="bottom"/>
          </w:tcPr>
          <w:p>
            <w:pPr>
              <w:spacing w:after="0"/>
              <w:rPr>
                <w:sz w:val="16"/>
                <w:szCs w:val="16"/>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1,140</w:t>
            </w:r>
          </w:p>
        </w:tc>
        <w:tc>
          <w:tcPr>
            <w:tcW w:w="58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1,140</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188"/>
        </w:trPr>
        <w:tc>
          <w:tcPr>
            <w:tcW w:w="4060" w:type="dxa"/>
            <w:vAlign w:val="bottom"/>
          </w:tcPr>
          <w:p>
            <w:pPr>
              <w:ind w:left="100"/>
              <w:spacing w:after="0"/>
              <w:rPr>
                <w:sz w:val="20"/>
                <w:szCs w:val="20"/>
                <w:color w:val="auto"/>
              </w:rPr>
            </w:pPr>
            <w:r>
              <w:rPr>
                <w:rFonts w:ascii="Arial" w:cs="Arial" w:eastAsia="Arial" w:hAnsi="Arial"/>
                <w:sz w:val="16"/>
                <w:szCs w:val="16"/>
                <w:color w:val="auto"/>
              </w:rPr>
              <w:t>Effect of tax rate change</w:t>
            </w:r>
          </w:p>
        </w:tc>
        <w:tc>
          <w:tcPr>
            <w:tcW w:w="1380" w:type="dxa"/>
            <w:vAlign w:val="bottom"/>
          </w:tcPr>
          <w:p>
            <w:pPr>
              <w:spacing w:after="0"/>
              <w:rPr>
                <w:sz w:val="16"/>
                <w:szCs w:val="16"/>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items</w:t>
            </w:r>
          </w:p>
        </w:tc>
        <w:tc>
          <w:tcPr>
            <w:tcW w:w="1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(601)</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(713)</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184"/>
        </w:trPr>
        <w:tc>
          <w:tcPr>
            <w:tcW w:w="40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Actual tax provision (benefit)</w:t>
            </w:r>
          </w:p>
        </w:tc>
        <w:tc>
          <w:tcPr>
            <w:tcW w:w="138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4,942</w:t>
            </w:r>
          </w:p>
        </w:tc>
        <w:tc>
          <w:tcPr>
            <w:tcW w:w="580" w:type="dxa"/>
            <w:vAlign w:val="bottom"/>
            <w:tcBorders>
              <w:bottom w:val="single" w:sz="8" w:color="auto"/>
            </w:tcBorders>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4,904</w:t>
            </w:r>
          </w:p>
        </w:tc>
        <w:tc>
          <w:tcPr>
            <w:tcW w:w="52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(12,330)</w:t>
            </w:r>
          </w:p>
        </w:tc>
      </w:tr>
    </w:tbl>
    <w:p>
      <w:pPr>
        <w:spacing w:after="0" w:line="164"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Pursuant to ASC 740-10, a provision should be made for the tax effect of earnings of foreign subsidiaries that are not permanently invested outside the United States. Our intent is that earnings of our foreign subsidiaries are not permanently invested outside the United States. Current earnings were available for distribution in the Reading Australia consolidated group of subsidiaries as of December 31, 2013. There is no withholding tax on dividends paid by an Australian company to its 80% or more U.S. public company shareholder, thus we have not provided foreign withholding taxes for these current retained earnings. We believe the U.S. tax impact of a dividend from our Australian subsidiary, net of loss carry forward and potential foreign tax credits, would not have a material effect on the tax provision as of December 31 2013.</w:t>
      </w:r>
    </w:p>
    <w:p>
      <w:pPr>
        <w:spacing w:after="0" w:line="137" w:lineRule="exact"/>
        <w:rPr>
          <w:sz w:val="20"/>
          <w:szCs w:val="20"/>
          <w:color w:val="auto"/>
        </w:rPr>
      </w:pPr>
    </w:p>
    <w:p>
      <w:pPr>
        <w:jc w:val="both"/>
        <w:ind w:firstLine="564"/>
        <w:spacing w:after="0" w:line="315" w:lineRule="auto"/>
        <w:rPr>
          <w:sz w:val="20"/>
          <w:szCs w:val="20"/>
          <w:color w:val="auto"/>
        </w:rPr>
      </w:pPr>
      <w:r>
        <w:rPr>
          <w:rFonts w:ascii="Arial" w:cs="Arial" w:eastAsia="Arial" w:hAnsi="Arial"/>
          <w:sz w:val="13"/>
          <w:szCs w:val="13"/>
          <w:color w:val="auto"/>
        </w:rPr>
        <w:t xml:space="preserve">We have accrued $20.8 million in income tax liabilities as of December 31, 2013, of which $8.3 million has been classified as current taxes payable and $12.5 million have been classified as non-current tax liabilities. As part of current taxes payable, we have accrued $3.5 million in connection with federal and state liabilities arising from the “Tax/Audit Litigation” matter which has now been settled (see Note 19 –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As part of noncurrent tax liabilities, we have accrued an additional $11.5 million related to the “Tax</w:t>
      </w:r>
      <w:r>
        <w:rPr>
          <w:rFonts w:ascii="Arial" w:cs="Arial" w:eastAsia="Arial" w:hAnsi="Arial"/>
          <w:sz w:val="13"/>
          <w:szCs w:val="13"/>
          <w:i w:val="1"/>
          <w:iCs w:val="1"/>
          <w:color w:val="auto"/>
        </w:rPr>
        <w:t xml:space="preserve"> </w:t>
      </w:r>
      <w:r>
        <w:rPr>
          <w:rFonts w:ascii="Arial" w:cs="Arial" w:eastAsia="Arial" w:hAnsi="Arial"/>
          <w:sz w:val="13"/>
          <w:szCs w:val="13"/>
          <w:color w:val="auto"/>
        </w:rPr>
        <w:t>Audit/Litigation” matter. Amounts assessed by the IRS and expected to be assessed by state income tax agencies in connection with the “Tax Audit/Litigation” matter are no longer recorded under the cumulative probability approach prescribed by FASB ASC 740-10-25 but are recorded as a fixed and determinable liability. We believe the $20.8 million in tax liabilities represents an adequate provision for our income tax exposures.</w:t>
      </w:r>
    </w:p>
    <w:p>
      <w:pPr>
        <w:spacing w:after="0" w:line="9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 is a summary of the activity related to unrecognized tax benefits, excluding interest and penalties, for the years ending December 31, 2013, December 31, 2012, and December 31, 2011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Year Ended</w:t>
            </w:r>
          </w:p>
        </w:tc>
        <w:tc>
          <w:tcPr>
            <w:tcW w:w="280" w:type="dxa"/>
            <w:vAlign w:val="bottom"/>
          </w:tcPr>
          <w:p>
            <w:pPr>
              <w:spacing w:after="0"/>
              <w:rPr>
                <w:sz w:val="16"/>
                <w:szCs w:val="16"/>
                <w:color w:val="auto"/>
              </w:rPr>
            </w:pPr>
          </w:p>
        </w:tc>
        <w:tc>
          <w:tcPr>
            <w:tcW w:w="1300" w:type="dxa"/>
            <w:vAlign w:val="bottom"/>
          </w:tcPr>
          <w:p>
            <w:pPr>
              <w:jc w:val="center"/>
              <w:ind w:right="122"/>
              <w:spacing w:after="0"/>
              <w:rPr>
                <w:sz w:val="20"/>
                <w:szCs w:val="20"/>
                <w:color w:val="auto"/>
              </w:rPr>
            </w:pPr>
            <w:r>
              <w:rPr>
                <w:rFonts w:ascii="Arial" w:cs="Arial" w:eastAsia="Arial" w:hAnsi="Arial"/>
                <w:sz w:val="16"/>
                <w:szCs w:val="16"/>
                <w:b w:val="1"/>
                <w:bCs w:val="1"/>
                <w:color w:val="auto"/>
                <w:w w:val="88"/>
              </w:rPr>
              <w:t>Year Ended</w:t>
            </w:r>
          </w:p>
        </w:tc>
        <w:tc>
          <w:tcPr>
            <w:tcW w:w="320" w:type="dxa"/>
            <w:vAlign w:val="bottom"/>
          </w:tcPr>
          <w:p>
            <w:pPr>
              <w:spacing w:after="0"/>
              <w:rPr>
                <w:sz w:val="16"/>
                <w:szCs w:val="16"/>
                <w:color w:val="auto"/>
              </w:rPr>
            </w:pPr>
          </w:p>
        </w:tc>
        <w:tc>
          <w:tcPr>
            <w:tcW w:w="1220" w:type="dxa"/>
            <w:vAlign w:val="bottom"/>
          </w:tcPr>
          <w:p>
            <w:pPr>
              <w:jc w:val="center"/>
              <w:ind w:right="22"/>
              <w:spacing w:after="0"/>
              <w:rPr>
                <w:sz w:val="20"/>
                <w:szCs w:val="20"/>
                <w:color w:val="auto"/>
              </w:rPr>
            </w:pPr>
            <w:r>
              <w:rPr>
                <w:rFonts w:ascii="Arial" w:cs="Arial" w:eastAsia="Arial" w:hAnsi="Arial"/>
                <w:sz w:val="16"/>
                <w:szCs w:val="16"/>
                <w:b w:val="1"/>
                <w:bCs w:val="1"/>
                <w:color w:val="auto"/>
                <w:w w:val="90"/>
              </w:rPr>
              <w:t>Year Ended</w:t>
            </w:r>
          </w:p>
        </w:tc>
      </w:tr>
      <w:tr>
        <w:trPr>
          <w:trHeight w:val="188"/>
        </w:trPr>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December 31,</w:t>
            </w:r>
          </w:p>
        </w:tc>
        <w:tc>
          <w:tcPr>
            <w:tcW w:w="280" w:type="dxa"/>
            <w:vAlign w:val="bottom"/>
          </w:tcPr>
          <w:p>
            <w:pPr>
              <w:spacing w:after="0"/>
              <w:rPr>
                <w:sz w:val="16"/>
                <w:szCs w:val="16"/>
                <w:color w:val="auto"/>
              </w:rPr>
            </w:pPr>
          </w:p>
        </w:tc>
        <w:tc>
          <w:tcPr>
            <w:tcW w:w="1300" w:type="dxa"/>
            <w:vAlign w:val="bottom"/>
          </w:tcPr>
          <w:p>
            <w:pPr>
              <w:jc w:val="center"/>
              <w:ind w:right="102"/>
              <w:spacing w:after="0"/>
              <w:rPr>
                <w:sz w:val="20"/>
                <w:szCs w:val="20"/>
                <w:color w:val="auto"/>
              </w:rPr>
            </w:pPr>
            <w:r>
              <w:rPr>
                <w:rFonts w:ascii="Arial" w:cs="Arial" w:eastAsia="Arial" w:hAnsi="Arial"/>
                <w:sz w:val="16"/>
                <w:szCs w:val="16"/>
                <w:b w:val="1"/>
                <w:bCs w:val="1"/>
                <w:color w:val="auto"/>
                <w:w w:val="88"/>
              </w:rPr>
              <w:t>December 31,</w:t>
            </w:r>
          </w:p>
        </w:tc>
        <w:tc>
          <w:tcPr>
            <w:tcW w:w="320" w:type="dxa"/>
            <w:vAlign w:val="bottom"/>
          </w:tcPr>
          <w:p>
            <w:pPr>
              <w:spacing w:after="0"/>
              <w:rPr>
                <w:sz w:val="16"/>
                <w:szCs w:val="16"/>
                <w:color w:val="auto"/>
              </w:rPr>
            </w:pPr>
          </w:p>
        </w:tc>
        <w:tc>
          <w:tcPr>
            <w:tcW w:w="1220" w:type="dxa"/>
            <w:vAlign w:val="bottom"/>
          </w:tcPr>
          <w:p>
            <w:pPr>
              <w:jc w:val="center"/>
              <w:ind w:right="22"/>
              <w:spacing w:after="0"/>
              <w:rPr>
                <w:sz w:val="20"/>
                <w:szCs w:val="20"/>
                <w:color w:val="auto"/>
              </w:rPr>
            </w:pPr>
            <w:r>
              <w:rPr>
                <w:rFonts w:ascii="Arial" w:cs="Arial" w:eastAsia="Arial" w:hAnsi="Arial"/>
                <w:sz w:val="16"/>
                <w:szCs w:val="16"/>
                <w:b w:val="1"/>
                <w:bCs w:val="1"/>
                <w:color w:val="auto"/>
                <w:w w:val="88"/>
              </w:rPr>
              <w:t>December 31,</w:t>
            </w:r>
          </w:p>
        </w:tc>
      </w:tr>
      <w:tr>
        <w:trPr>
          <w:trHeight w:val="208"/>
        </w:trPr>
        <w:tc>
          <w:tcPr>
            <w:tcW w:w="3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4"/>
              </w:rPr>
              <w:t>2013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2012</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4"/>
              </w:rPr>
              <w:t>2011</w:t>
            </w:r>
          </w:p>
        </w:tc>
      </w:tr>
      <w:tr>
        <w:trPr>
          <w:trHeight w:val="175"/>
        </w:trPr>
        <w:tc>
          <w:tcPr>
            <w:tcW w:w="3940" w:type="dxa"/>
            <w:vAlign w:val="bottom"/>
          </w:tcPr>
          <w:p>
            <w:pPr>
              <w:spacing w:after="0" w:line="175" w:lineRule="exact"/>
              <w:rPr>
                <w:sz w:val="20"/>
                <w:szCs w:val="20"/>
                <w:color w:val="auto"/>
              </w:rPr>
            </w:pPr>
            <w:r>
              <w:rPr>
                <w:rFonts w:ascii="Arial" w:cs="Arial" w:eastAsia="Arial" w:hAnsi="Arial"/>
                <w:sz w:val="16"/>
                <w:szCs w:val="16"/>
                <w:color w:val="auto"/>
              </w:rPr>
              <w:t>Unrecognized tax benefits – gross beginning balance</w:t>
            </w:r>
          </w:p>
        </w:tc>
        <w:tc>
          <w:tcPr>
            <w:tcW w:w="800" w:type="dxa"/>
            <w:vAlign w:val="bottom"/>
          </w:tcPr>
          <w:p>
            <w:pPr>
              <w:jc w:val="right"/>
              <w:ind w:right="42"/>
              <w:spacing w:after="0" w:line="175"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2,171</w:t>
            </w:r>
          </w:p>
        </w:tc>
        <w:tc>
          <w:tcPr>
            <w:tcW w:w="2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1,974</w:t>
            </w:r>
          </w:p>
        </w:tc>
        <w:tc>
          <w:tcPr>
            <w:tcW w:w="3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5" w:lineRule="exact"/>
              <w:rPr>
                <w:sz w:val="20"/>
                <w:szCs w:val="20"/>
                <w:color w:val="auto"/>
              </w:rPr>
            </w:pPr>
            <w:r>
              <w:rPr>
                <w:rFonts w:ascii="Arial" w:cs="Arial" w:eastAsia="Arial" w:hAnsi="Arial"/>
                <w:sz w:val="16"/>
                <w:szCs w:val="16"/>
                <w:color w:val="auto"/>
              </w:rPr>
              <w:t>8,058</w:t>
            </w:r>
          </w:p>
        </w:tc>
      </w:tr>
      <w:tr>
        <w:trPr>
          <w:trHeight w:val="188"/>
        </w:trPr>
        <w:tc>
          <w:tcPr>
            <w:tcW w:w="3940" w:type="dxa"/>
            <w:vAlign w:val="bottom"/>
          </w:tcPr>
          <w:p>
            <w:pPr>
              <w:spacing w:after="0"/>
              <w:rPr>
                <w:sz w:val="20"/>
                <w:szCs w:val="20"/>
                <w:color w:val="auto"/>
              </w:rPr>
            </w:pPr>
            <w:r>
              <w:rPr>
                <w:rFonts w:ascii="Arial" w:cs="Arial" w:eastAsia="Arial" w:hAnsi="Arial"/>
                <w:sz w:val="16"/>
                <w:szCs w:val="16"/>
                <w:color w:val="auto"/>
              </w:rPr>
              <w:t>Gross increases – prior period tax provisions</w:t>
            </w:r>
          </w:p>
        </w:tc>
        <w:tc>
          <w:tcPr>
            <w:tcW w:w="80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6"/>
                <w:szCs w:val="16"/>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197</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3940" w:type="dxa"/>
            <w:vAlign w:val="bottom"/>
          </w:tcPr>
          <w:p>
            <w:pPr>
              <w:spacing w:after="0"/>
              <w:rPr>
                <w:sz w:val="20"/>
                <w:szCs w:val="20"/>
                <w:color w:val="auto"/>
              </w:rPr>
            </w:pPr>
            <w:r>
              <w:rPr>
                <w:rFonts w:ascii="Arial" w:cs="Arial" w:eastAsia="Arial" w:hAnsi="Arial"/>
                <w:sz w:val="16"/>
                <w:szCs w:val="16"/>
                <w:color w:val="auto"/>
              </w:rPr>
              <w:t>Gross increases – current period tax positions</w:t>
            </w:r>
          </w:p>
        </w:tc>
        <w:tc>
          <w:tcPr>
            <w:tcW w:w="80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188"/>
        </w:trPr>
        <w:tc>
          <w:tcPr>
            <w:tcW w:w="3940" w:type="dxa"/>
            <w:vAlign w:val="bottom"/>
          </w:tcPr>
          <w:p>
            <w:pPr>
              <w:spacing w:after="0"/>
              <w:rPr>
                <w:sz w:val="20"/>
                <w:szCs w:val="20"/>
                <w:color w:val="auto"/>
              </w:rPr>
            </w:pPr>
            <w:r>
              <w:rPr>
                <w:rFonts w:ascii="Arial" w:cs="Arial" w:eastAsia="Arial" w:hAnsi="Arial"/>
                <w:sz w:val="16"/>
                <w:szCs w:val="16"/>
                <w:color w:val="auto"/>
              </w:rPr>
              <w:t>Settlements</w:t>
            </w:r>
          </w:p>
        </w:tc>
        <w:tc>
          <w:tcPr>
            <w:tcW w:w="800" w:type="dxa"/>
            <w:vAlign w:val="bottom"/>
          </w:tcPr>
          <w:p>
            <w:pPr>
              <w:spacing w:after="0"/>
              <w:rPr>
                <w:sz w:val="16"/>
                <w:szCs w:val="16"/>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(6,235)</w:t>
            </w:r>
          </w:p>
        </w:tc>
      </w:tr>
      <w:tr>
        <w:trPr>
          <w:trHeight w:val="200"/>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Statute of limitations lapse</w:t>
            </w:r>
          </w:p>
        </w:tc>
        <w:tc>
          <w:tcPr>
            <w:tcW w:w="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9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Unrecognized tax benefits – gross ending balance</w:t>
            </w:r>
          </w:p>
        </w:tc>
        <w:tc>
          <w:tcPr>
            <w:tcW w:w="8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2,160</w:t>
            </w:r>
          </w:p>
        </w:tc>
        <w:tc>
          <w:tcPr>
            <w:tcW w:w="2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2,171</w:t>
            </w:r>
          </w:p>
        </w:tc>
        <w:tc>
          <w:tcPr>
            <w:tcW w:w="32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1,974</w:t>
            </w:r>
          </w:p>
        </w:tc>
      </w:tr>
    </w:tbl>
    <w:p>
      <w:pPr>
        <w:spacing w:after="0" w:line="15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 xml:space="preserve">In accordance with FASB ASC 740-10-25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 </w:t>
      </w:r>
      <w:r>
        <w:rPr>
          <w:rFonts w:ascii="Arial" w:cs="Arial" w:eastAsia="Arial" w:hAnsi="Arial"/>
          <w:sz w:val="16"/>
          <w:szCs w:val="16"/>
          <w:i w:val="1"/>
          <w:iCs w:val="1"/>
          <w:color w:val="auto"/>
        </w:rPr>
        <w:t>Uncertain Tax Positions</w:t>
      </w:r>
      <w:r>
        <w:rPr>
          <w:rFonts w:ascii="Arial" w:cs="Arial" w:eastAsia="Arial" w:hAnsi="Arial"/>
          <w:sz w:val="16"/>
          <w:szCs w:val="16"/>
          <w:color w:val="auto"/>
        </w:rPr>
        <w:t xml:space="preserve"> (“ASC 740-10-25”) we elected to record interest and penalties related to income tax matters as part of income tax expense.</w:t>
      </w:r>
    </w:p>
    <w:p>
      <w:pPr>
        <w:spacing w:after="0" w:line="122"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We had approximately $10.8 million and $11.4 million of gross tax benefits as of the adoption date and December 31, 2007, respectively, plus $1.7 million and $2.3 million of tax interest unrecognized on the financial statements as of each date, respectively. The gross tax benefits mostly reflect operating loss carry-forwards and the IRS Tax Audit/Litigation case described below.</w:t>
      </w:r>
    </w:p>
    <w:p>
      <w:pPr>
        <w:spacing w:after="0" w:line="12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 xml:space="preserve">We recorded a reduction to our gross unrecognized tax benefits of approximately $3.4 million and an increase to tax interest of approximately $8.8 million during the period January 1, 2010 to December 31, 2010 and the total balance at December 31, 2010 was approximately $20.6 million (of which approximately $12.6 million represents IRS interest). Having settled the Tax Audit/Litigation matter described in Note 19 – </w:t>
      </w:r>
      <w:r>
        <w:rPr>
          <w:rFonts w:ascii="Arial" w:cs="Arial" w:eastAsia="Arial" w:hAnsi="Arial"/>
          <w:sz w:val="16"/>
          <w:szCs w:val="16"/>
          <w:i w:val="1"/>
          <w:iCs w:val="1"/>
          <w:color w:val="auto"/>
        </w:rPr>
        <w:t>Commitments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86" w:name="page87"/>
    <w:bookmarkEnd w:id="86"/>
    <w:p>
      <w:pPr>
        <w:jc w:val="both"/>
        <w:spacing w:after="0" w:line="311" w:lineRule="auto"/>
        <w:rPr>
          <w:sz w:val="20"/>
          <w:szCs w:val="20"/>
          <w:color w:val="auto"/>
        </w:rPr>
      </w:pPr>
      <w:r>
        <w:rPr>
          <w:rFonts w:ascii="Arial" w:cs="Arial" w:eastAsia="Arial" w:hAnsi="Arial"/>
          <w:sz w:val="13"/>
          <w:szCs w:val="13"/>
          <w:i w:val="1"/>
          <w:iCs w:val="1"/>
          <w:color w:val="auto"/>
        </w:rPr>
        <w:t>Contingencies</w:t>
      </w:r>
      <w:r>
        <w:rPr>
          <w:rFonts w:ascii="Arial" w:cs="Arial" w:eastAsia="Arial" w:hAnsi="Arial"/>
          <w:sz w:val="13"/>
          <w:szCs w:val="13"/>
          <w:color w:val="auto"/>
        </w:rPr>
        <w:t>, we further recorded a net reduction to our gross unrecognized tax benefits of approximately $6.1 million and a reduction to tax</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of approximately $10.4 million during the period January 1, 2011 to December 31, 2011, resulting in a total balance at December 31, 2011 of approximately $4.1 million, consisting of $1.9 million tax and $2.2 million interest. Of the $4.1 million gross unrecognized tax benefit at December 31, 2011, approximately $3.0 million would impact the effective tax rate if recognized. During the period January 1, 2012 to December 31, 2012 we recorded an increase of $0.2 million to our gross unrecognized tax benefits and an increase to tax interest of approximately $1.1 million, resulting in a total balance of $5.3 million consisting of $2.1 million in tax and $3.2 million in interest. Of the $5.3 million gross unrecognized tax benefit at December 31, 2012, approximately $4.3 million would impact the effective rate if recognized. During the period January 1, 2013 to December 31, 2013 we recorded no material change to our gross unrecognized tax benefits and a decrease to tax interest of approximately $1.4 million, resulting in a total balance of $3.9 million consisting of $2.1 million in tax and $1.8 million in interest. Of the $3.9 million gross unrecognized tax benefit at December 31, 2013, approximately $2.9 million would impact the effective rate if recognized.</w:t>
      </w:r>
    </w:p>
    <w:p>
      <w:pPr>
        <w:spacing w:after="0" w:line="300"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$0.5 million to $1.5 million. The reasons for such change include but are not limited to tax positions expected to be taken during 2013, revaluation of current uncertain tax positions, and expiring statutes of limitation.</w:t>
      </w:r>
    </w:p>
    <w:p>
      <w:pPr>
        <w:spacing w:after="0" w:line="117"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Our company and subsidiaries are subject to U.S. federal income tax, income tax in various U.S. states, and income tax in Australia, New Zealand, and Puerto Rico.</w:t>
      </w:r>
    </w:p>
    <w:p>
      <w:pPr>
        <w:spacing w:after="0" w:line="12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 xml:space="preserve">Generally, changes to our federal and most state income tax returns for the calendar year 2007 and earlier are barred by statutes of limitations. Certain U.S.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“Tax Audit/Litigation,” Note 19 –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Our income tax returns for Australia filed since inception in 1995 are generally open for examination. The income tax returns filed in New Zealand and Puerto Rico for calendar year 2007 and afterward remain open for examination as of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Note 15 – Other Liabilities</w:t>
            </w:r>
          </w:p>
        </w:tc>
        <w:tc>
          <w:tcPr>
            <w:tcW w:w="3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67"/>
        </w:trPr>
        <w:tc>
          <w:tcPr>
            <w:tcW w:w="5280" w:type="dxa"/>
            <w:vAlign w:val="bottom"/>
            <w:gridSpan w:val="2"/>
          </w:tcPr>
          <w:p>
            <w:pPr>
              <w:ind w:left="560"/>
              <w:spacing w:after="0"/>
              <w:rPr>
                <w:sz w:val="20"/>
                <w:szCs w:val="20"/>
                <w:color w:val="auto"/>
              </w:rPr>
            </w:pPr>
            <w:r>
              <w:rPr>
                <w:rFonts w:ascii="Arial" w:cs="Arial" w:eastAsia="Arial" w:hAnsi="Arial"/>
                <w:sz w:val="16"/>
                <w:szCs w:val="16"/>
                <w:color w:val="auto"/>
              </w:rPr>
              <w:t>Other liabilities are summarized as follows (dollars in thousands):</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1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84"/>
        </w:trPr>
        <w:tc>
          <w:tcPr>
            <w:tcW w:w="17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2013</w:t>
            </w: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2012</w:t>
            </w:r>
          </w:p>
        </w:tc>
      </w:tr>
      <w:tr>
        <w:trPr>
          <w:trHeight w:val="175"/>
        </w:trPr>
        <w:tc>
          <w:tcPr>
            <w:tcW w:w="52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Current liabilities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Lease liability</w:t>
            </w:r>
          </w:p>
        </w:tc>
        <w:tc>
          <w:tcPr>
            <w:tcW w:w="1620" w:type="dxa"/>
            <w:vAlign w:val="bottom"/>
            <w:gridSpan w:val="2"/>
          </w:tcPr>
          <w:p>
            <w:pPr>
              <w:jc w:val="right"/>
              <w:ind w:right="86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5,900</w:t>
            </w:r>
          </w:p>
        </w:tc>
        <w:tc>
          <w:tcPr>
            <w:tcW w:w="6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5,855</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Security deposit payable</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246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00"/>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4"/>
        </w:trPr>
        <w:tc>
          <w:tcPr>
            <w:tcW w:w="528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Other current liabilities</w:t>
            </w:r>
          </w:p>
        </w:tc>
        <w:tc>
          <w:tcPr>
            <w:tcW w:w="1620" w:type="dxa"/>
            <w:vAlign w:val="bottom"/>
            <w:tcBorders>
              <w:bottom w:val="single" w:sz="8" w:color="auto"/>
            </w:tcBorders>
            <w:gridSpan w:val="2"/>
          </w:tcPr>
          <w:p>
            <w:pPr>
              <w:jc w:val="right"/>
              <w:ind w:right="862"/>
              <w:spacing w:after="0" w:line="181"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6,155</w:t>
            </w:r>
          </w:p>
        </w:tc>
        <w:tc>
          <w:tcPr>
            <w:tcW w:w="64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6,032</w:t>
            </w:r>
          </w:p>
        </w:tc>
      </w:tr>
      <w:tr>
        <w:trPr>
          <w:trHeight w:val="175"/>
        </w:trPr>
        <w:tc>
          <w:tcPr>
            <w:tcW w:w="52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Other liabilities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Foreign withholding taxes</w:t>
            </w:r>
          </w:p>
        </w:tc>
        <w:tc>
          <w:tcPr>
            <w:tcW w:w="1620" w:type="dxa"/>
            <w:vAlign w:val="bottom"/>
            <w:gridSpan w:val="2"/>
          </w:tcPr>
          <w:p>
            <w:pPr>
              <w:jc w:val="right"/>
              <w:ind w:right="86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6,748</w:t>
            </w:r>
          </w:p>
        </w:tc>
        <w:tc>
          <w:tcPr>
            <w:tcW w:w="6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6,480</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Straight-line rent liability</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9,259</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8,893</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Environmental reserve</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1,656</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1,656</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Accrued pension</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8,527</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6,976</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Interest rate swap</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3,288</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5,855</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Acquired leases</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1,797</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2,078</w:t>
            </w:r>
          </w:p>
        </w:tc>
      </w:tr>
      <w:tr>
        <w:trPr>
          <w:trHeight w:val="188"/>
        </w:trPr>
        <w:tc>
          <w:tcPr>
            <w:tcW w:w="5280" w:type="dxa"/>
            <w:vAlign w:val="bottom"/>
            <w:gridSpan w:val="2"/>
          </w:tcPr>
          <w:p>
            <w:pPr>
              <w:spacing w:after="0"/>
              <w:rPr>
                <w:sz w:val="20"/>
                <w:szCs w:val="20"/>
                <w:color w:val="auto"/>
              </w:rPr>
            </w:pPr>
            <w:r>
              <w:rPr>
                <w:rFonts w:ascii="Arial" w:cs="Arial" w:eastAsia="Arial" w:hAnsi="Arial"/>
                <w:sz w:val="16"/>
                <w:szCs w:val="16"/>
                <w:color w:val="auto"/>
              </w:rPr>
              <w:t>Other payable</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875</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1,191</w:t>
            </w:r>
          </w:p>
        </w:tc>
      </w:tr>
      <w:tr>
        <w:trPr>
          <w:trHeight w:val="200"/>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599</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r>
      <w:tr>
        <w:trPr>
          <w:trHeight w:val="184"/>
        </w:trPr>
        <w:tc>
          <w:tcPr>
            <w:tcW w:w="528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Other liabilities</w:t>
            </w:r>
          </w:p>
        </w:tc>
        <w:tc>
          <w:tcPr>
            <w:tcW w:w="1620" w:type="dxa"/>
            <w:vAlign w:val="bottom"/>
            <w:tcBorders>
              <w:bottom w:val="single" w:sz="8" w:color="auto"/>
            </w:tcBorders>
            <w:gridSpan w:val="2"/>
          </w:tcPr>
          <w:p>
            <w:pPr>
              <w:jc w:val="right"/>
              <w:ind w:right="862"/>
              <w:spacing w:after="0" w:line="181"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w w:val="93"/>
              </w:rPr>
              <w:t>32,749</w:t>
            </w:r>
          </w:p>
        </w:tc>
        <w:tc>
          <w:tcPr>
            <w:tcW w:w="64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33,759</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Village East Purchase Option</w:t>
      </w:r>
    </w:p>
    <w:p>
      <w:pPr>
        <w:spacing w:after="0" w:line="168" w:lineRule="exact"/>
        <w:rPr>
          <w:sz w:val="20"/>
          <w:szCs w:val="20"/>
          <w:color w:val="auto"/>
        </w:rPr>
      </w:pPr>
    </w:p>
    <w:p>
      <w:pPr>
        <w:jc w:val="both"/>
        <w:ind w:firstLine="564"/>
        <w:spacing w:after="0" w:line="309" w:lineRule="auto"/>
        <w:rPr>
          <w:sz w:val="20"/>
          <w:szCs w:val="20"/>
          <w:color w:val="auto"/>
        </w:rPr>
      </w:pPr>
      <w:r>
        <w:rPr>
          <w:rFonts w:ascii="Arial" w:cs="Arial" w:eastAsia="Arial" w:hAnsi="Arial"/>
          <w:sz w:val="13"/>
          <w:szCs w:val="13"/>
          <w:color w:val="auto"/>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1,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$5.9 million presented under other liabilities which accreted up to the $5.9 million liability till July 1, 2013 (see Note 25 – </w:t>
      </w:r>
      <w:r>
        <w:rPr>
          <w:rFonts w:ascii="Arial" w:cs="Arial" w:eastAsia="Arial" w:hAnsi="Arial"/>
          <w:sz w:val="13"/>
          <w:szCs w:val="13"/>
          <w:i w:val="1"/>
          <w:iCs w:val="1"/>
          <w:color w:val="auto"/>
        </w:rPr>
        <w:t>Related Parties and Transactions</w:t>
      </w:r>
      <w:r>
        <w:rPr>
          <w:rFonts w:ascii="Arial" w:cs="Arial" w:eastAsia="Arial" w:hAnsi="Arial"/>
          <w:sz w:val="13"/>
          <w:szCs w:val="13"/>
          <w:color w:val="auto"/>
        </w:rPr>
        <w:t>). As the option is able to be exercised starting on July 1, 2013, we classified the $5.9 million lease liability as a current liability.</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16 – Fair Value of Financial Instruments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ASC 820-10 applies to existing accounting pronouncements in which fair value measurements are already required and defines fair value, establishes a framework for measuring fair value in accordance with accounting principles generally accepted in the United States, and expands disclosures about fair value measurements.</w:t>
      </w:r>
    </w:p>
    <w:p>
      <w:pPr>
        <w:spacing w:after="0" w:line="14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ASC 820-10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1: Quoted market prices in active markets for identical assets or liabilities.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2: Observable market based inputs or unobservable inputs that are corroborated by market data.</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 Unobservable inputs that are not corroborated by market data.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49" w:right="1359" w:bottom="1440" w:gutter="0" w:footer="0" w:header="0"/>
        </w:sectPr>
      </w:pPr>
    </w:p>
    <w:bookmarkStart w:id="88" w:name="page89"/>
    <w:bookmarkEnd w:id="88"/>
    <w:p>
      <w:pPr>
        <w:jc w:val="both"/>
        <w:ind w:right="20" w:firstLine="564"/>
        <w:spacing w:after="0" w:line="299" w:lineRule="auto"/>
        <w:rPr>
          <w:sz w:val="20"/>
          <w:szCs w:val="20"/>
          <w:color w:val="auto"/>
        </w:rPr>
      </w:pPr>
      <w:r>
        <w:rPr>
          <w:rFonts w:ascii="Arial" w:cs="Arial" w:eastAsia="Arial" w:hAnsi="Arial"/>
          <w:sz w:val="15"/>
          <w:szCs w:val="15"/>
          <w:color w:val="auto"/>
        </w:rPr>
        <w:t>We use appropriate valuation techniques based on the available inputs to measure the fair values of our assets and liabilities. When available, we measure fair value using Level 1 inputs because they generally provide the most reliable evidence of fair value.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 Fair Value Measurements</w:t>
      </w:r>
      <w:r>
        <w:rPr>
          <w:rFonts w:ascii="Arial" w:cs="Arial" w:eastAsia="Arial" w:hAnsi="Arial"/>
          <w:sz w:val="16"/>
          <w:szCs w:val="16"/>
          <w:color w:val="auto"/>
        </w:rPr>
        <w:t xml:space="preserve"> – are based on market quotes of our marketable securities.</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u w:val="single" w:color="auto"/>
          <w:color w:val="auto"/>
        </w:rPr>
        <w:t>Level 2 Fair Value Measurements</w:t>
      </w:r>
      <w:r>
        <w:rPr>
          <w:rFonts w:ascii="Arial" w:cs="Arial" w:eastAsia="Arial" w:hAnsi="Arial"/>
          <w:sz w:val="16"/>
          <w:szCs w:val="16"/>
          <w:color w:val="auto"/>
        </w:rPr>
        <w:t xml:space="preserve"> – </w:t>
      </w:r>
      <w:r>
        <w:rPr>
          <w:rFonts w:ascii="Arial" w:cs="Arial" w:eastAsia="Arial" w:hAnsi="Arial"/>
          <w:sz w:val="16"/>
          <w:szCs w:val="16"/>
          <w:i w:val="1"/>
          <w:iCs w:val="1"/>
          <w:color w:val="auto"/>
        </w:rPr>
        <w:t>Interest Rate Swaps and cap</w:t>
      </w:r>
      <w:r>
        <w:rPr>
          <w:rFonts w:ascii="Arial" w:cs="Arial" w:eastAsia="Arial" w:hAnsi="Arial"/>
          <w:sz w:val="16"/>
          <w:szCs w:val="16"/>
          <w:color w:val="auto"/>
        </w:rPr>
        <w:t xml:space="preserve"> – The fair value of interest rate swaps and cap are estimated using internal discounted cash flow calculations based upon forward interest rate curves, which are corroborated by market data, and quotes obtained from counterparties to the agreements.</w:t>
      </w:r>
    </w:p>
    <w:p>
      <w:pPr>
        <w:spacing w:after="0" w:line="130"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u w:val="single" w:color="auto"/>
          <w:color w:val="auto"/>
        </w:rPr>
        <w:t>Level 3 Fair Value Measurements</w:t>
      </w:r>
      <w:r>
        <w:rPr>
          <w:rFonts w:ascii="Arial" w:cs="Arial" w:eastAsia="Arial" w:hAnsi="Arial"/>
          <w:sz w:val="15"/>
          <w:szCs w:val="15"/>
          <w:color w:val="auto"/>
        </w:rPr>
        <w:t xml:space="preserve"> – </w:t>
      </w:r>
      <w:r>
        <w:rPr>
          <w:rFonts w:ascii="Arial" w:cs="Arial" w:eastAsia="Arial" w:hAnsi="Arial"/>
          <w:sz w:val="15"/>
          <w:szCs w:val="15"/>
          <w:i w:val="1"/>
          <w:iCs w:val="1"/>
          <w:color w:val="auto"/>
        </w:rPr>
        <w:t>Impaired Property</w:t>
      </w:r>
      <w:r>
        <w:rPr>
          <w:rFonts w:ascii="Arial" w:cs="Arial" w:eastAsia="Arial" w:hAnsi="Arial"/>
          <w:sz w:val="15"/>
          <w:szCs w:val="15"/>
          <w:color w:val="auto"/>
        </w:rPr>
        <w:t xml:space="preserve"> – For assets measured on a non-recurring basis, such as real estate assets that are required to be recorded at fair value as a result of an impairment, our estimates of fair value are based on management’s best estimate derived from evaluating market sales data for comparable properties developed by a third party appraiser and arriving at management’s estimate of fair value based on such comparable data primarily based on properties with similar characteristics. For the years ended December 31, 2012 and 2011, the fair value of our impaired properties was estimated to be $4.1 million and $1.9 million, respectively, which we used to record our impairment expense and was based on level 3 inputs in developing management’s estimate of fair value. For the year ended December 31, 2011, the fair value of our Rialto Cinemas investment was $1.6 million (NZ$2.0 million) resulting in an impairment charge of $2.9 million (NZ$3.8 million). We did not record an impairment charge for our properties during 2013.</w:t>
      </w:r>
    </w:p>
    <w:p>
      <w:pPr>
        <w:spacing w:after="0" w:line="139" w:lineRule="exact"/>
        <w:rPr>
          <w:sz w:val="20"/>
          <w:szCs w:val="20"/>
          <w:color w:val="auto"/>
        </w:rPr>
      </w:pPr>
    </w:p>
    <w:p>
      <w:pPr>
        <w:jc w:val="both"/>
        <w:ind w:right="20" w:firstLine="564"/>
        <w:spacing w:after="0" w:line="341" w:lineRule="auto"/>
        <w:rPr>
          <w:sz w:val="20"/>
          <w:szCs w:val="20"/>
          <w:color w:val="auto"/>
        </w:rPr>
      </w:pPr>
      <w:r>
        <w:rPr>
          <w:rFonts w:ascii="Arial" w:cs="Arial" w:eastAsia="Arial" w:hAnsi="Arial"/>
          <w:sz w:val="13"/>
          <w:szCs w:val="13"/>
          <w:color w:val="auto"/>
        </w:rPr>
        <w:t>As of December 31, 2013, we held certain items that are required to be measured at fair value on a recurring basis. These included available for sale securities and interest rate derivative contracts. Derivative instruments are related to our economic hedge of interest rates. Our available-for-sale securities primarily consist of investments associated with the ownership of marketable securities in Australia.</w:t>
      </w:r>
    </w:p>
    <w:p>
      <w:pPr>
        <w:spacing w:after="0" w:line="79" w:lineRule="exact"/>
        <w:rPr>
          <w:sz w:val="20"/>
          <w:szCs w:val="20"/>
          <w:color w:val="auto"/>
        </w:rPr>
      </w:pPr>
    </w:p>
    <w:p>
      <w:pPr>
        <w:jc w:val="both"/>
        <w:ind w:right="20" w:firstLine="564"/>
        <w:spacing w:after="0" w:line="309" w:lineRule="auto"/>
        <w:rPr>
          <w:sz w:val="20"/>
          <w:szCs w:val="20"/>
          <w:color w:val="auto"/>
        </w:rPr>
      </w:pPr>
      <w:r>
        <w:rPr>
          <w:rFonts w:ascii="Arial" w:cs="Arial" w:eastAsia="Arial" w:hAnsi="Arial"/>
          <w:sz w:val="13"/>
          <w:szCs w:val="13"/>
          <w:color w:val="auto"/>
        </w:rPr>
        <w:t>The fair values of the interest rate swap and cap agreements are determined using the market standard methodology of discounting the future expected cash receipts or payments that would occur if variable interest rate fell above or below the strike rate of the interest rate swap and cap agreements. The variable interest rates used in the calculation of projected receipts or payments on the interest rate swap and cap agreements are based on an expectation of future interest rates derived from observable market interest rate curves and volatilities. To comply with the provisions of ASC 820-10, we incorporate credit valuation adjustments to appropriately reflect both our own nonperformance risk and the respective counterparty's nonperformance risk in the fair value measurements. 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2013, we have assessed the significance of the impact of the credit valuation adjustments on the overall valuation and determined that the credit valuation adjustments are not significant to the overall valuation of our derivatives. As a result, we have determined that our derivative valuations in their entirety are classified in Level 2 of the fair value hierarchy. We have consistently applied these valuation techniques in all periods presented and believe we have obtained the most accurate information available for the types of derivative contracts we hold.</w:t>
      </w:r>
    </w:p>
    <w:p>
      <w:pPr>
        <w:spacing w:after="0" w:line="29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On a recurring basis, we used the above methods and assumptions on the following items to measure fair value subject to the disclosure requirements of ASC 820-10 at December 31, 2013 and 2012, respectively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4763"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3" cy="762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Financial Instrument</w:t>
            </w:r>
          </w:p>
        </w:tc>
        <w:tc>
          <w:tcPr>
            <w:tcW w:w="2080" w:type="dxa"/>
            <w:vAlign w:val="bottom"/>
            <w:vMerge w:val="restart"/>
          </w:tcPr>
          <w:p>
            <w:pPr>
              <w:jc w:val="center"/>
              <w:ind w:left="1362"/>
              <w:spacing w:after="0"/>
              <w:rPr>
                <w:sz w:val="20"/>
                <w:szCs w:val="20"/>
                <w:color w:val="auto"/>
              </w:rPr>
            </w:pPr>
            <w:r>
              <w:rPr>
                <w:rFonts w:ascii="Arial" w:cs="Arial" w:eastAsia="Arial" w:hAnsi="Arial"/>
                <w:sz w:val="16"/>
                <w:szCs w:val="16"/>
                <w:b w:val="1"/>
                <w:bCs w:val="1"/>
                <w:color w:val="auto"/>
                <w:w w:val="87"/>
              </w:rPr>
              <w:t>Level</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6"/>
                <w:szCs w:val="16"/>
                <w:b w:val="1"/>
                <w:bCs w:val="1"/>
                <w:color w:val="auto"/>
              </w:rPr>
              <w:t>Book Value</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60" w:type="dxa"/>
            <w:vAlign w:val="bottom"/>
            <w:tcBorders>
              <w:bottom w:val="single" w:sz="8" w:color="auto"/>
            </w:tcBorders>
            <w:vMerge w:val="continue"/>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6"/>
                <w:szCs w:val="16"/>
                <w:color w:val="auto"/>
              </w:rPr>
              <w:t>Investment in marketable securities</w:t>
            </w:r>
          </w:p>
        </w:tc>
        <w:tc>
          <w:tcPr>
            <w:tcW w:w="2080" w:type="dxa"/>
            <w:vAlign w:val="bottom"/>
          </w:tcPr>
          <w:p>
            <w:pPr>
              <w:jc w:val="center"/>
              <w:ind w:left="1362"/>
              <w:spacing w:after="0" w:line="175" w:lineRule="exact"/>
              <w:rPr>
                <w:sz w:val="20"/>
                <w:szCs w:val="20"/>
                <w:color w:val="auto"/>
              </w:rPr>
            </w:pPr>
            <w:r>
              <w:rPr>
                <w:rFonts w:ascii="Arial" w:cs="Arial" w:eastAsia="Arial" w:hAnsi="Arial"/>
                <w:sz w:val="16"/>
                <w:szCs w:val="16"/>
                <w:color w:val="auto"/>
                <w:w w:val="89"/>
              </w:rPr>
              <w:t>1</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55</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55</w:t>
            </w:r>
          </w:p>
        </w:tc>
        <w:tc>
          <w:tcPr>
            <w:tcW w:w="3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55</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6"/>
                <w:szCs w:val="16"/>
                <w:color w:val="auto"/>
              </w:rPr>
              <w:t>Interest rate cap asset</w:t>
            </w:r>
          </w:p>
        </w:tc>
        <w:tc>
          <w:tcPr>
            <w:tcW w:w="2080" w:type="dxa"/>
            <w:vAlign w:val="bottom"/>
          </w:tcPr>
          <w:p>
            <w:pPr>
              <w:jc w:val="center"/>
              <w:ind w:left="1362"/>
              <w:spacing w:after="0"/>
              <w:rPr>
                <w:sz w:val="20"/>
                <w:szCs w:val="20"/>
                <w:color w:val="auto"/>
              </w:rPr>
            </w:pPr>
            <w:r>
              <w:rPr>
                <w:rFonts w:ascii="Arial" w:cs="Arial" w:eastAsia="Arial" w:hAnsi="Arial"/>
                <w:sz w:val="16"/>
                <w:szCs w:val="16"/>
                <w:color w:val="auto"/>
                <w:w w:val="89"/>
              </w:rPr>
              <w:t>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20"/>
                <w:szCs w:val="20"/>
                <w:color w:val="auto"/>
              </w:rPr>
            </w:pPr>
            <w:r>
              <w:rPr>
                <w:rFonts w:ascii="Arial" w:cs="Arial" w:eastAsia="Arial" w:hAnsi="Arial"/>
                <w:sz w:val="16"/>
                <w:szCs w:val="16"/>
                <w:color w:val="auto"/>
              </w:rPr>
              <w:t>Interest rate swap liabilities</w:t>
            </w:r>
          </w:p>
        </w:tc>
        <w:tc>
          <w:tcPr>
            <w:tcW w:w="2080" w:type="dxa"/>
            <w:vAlign w:val="bottom"/>
          </w:tcPr>
          <w:p>
            <w:pPr>
              <w:jc w:val="center"/>
              <w:ind w:left="1362"/>
              <w:spacing w:after="0"/>
              <w:rPr>
                <w:sz w:val="20"/>
                <w:szCs w:val="20"/>
                <w:color w:val="auto"/>
              </w:rPr>
            </w:pPr>
            <w:r>
              <w:rPr>
                <w:rFonts w:ascii="Arial" w:cs="Arial" w:eastAsia="Arial" w:hAnsi="Arial"/>
                <w:sz w:val="16"/>
                <w:szCs w:val="16"/>
                <w:color w:val="auto"/>
                <w:w w:val="89"/>
              </w:rPr>
              <w:t>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3,288</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5,855</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3,288</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8"/>
        </w:trPr>
        <w:tc>
          <w:tcPr>
            <w:tcW w:w="3360" w:type="dxa"/>
            <w:vAlign w:val="bottom"/>
          </w:tcPr>
          <w:p>
            <w:pPr>
              <w:spacing w:after="0"/>
              <w:rPr>
                <w:sz w:val="24"/>
                <w:szCs w:val="24"/>
                <w:color w:val="auto"/>
              </w:rPr>
            </w:pPr>
          </w:p>
        </w:tc>
        <w:tc>
          <w:tcPr>
            <w:tcW w:w="2080" w:type="dxa"/>
            <w:vAlign w:val="bottom"/>
          </w:tcPr>
          <w:p>
            <w:pPr>
              <w:jc w:val="right"/>
              <w:ind w:right="682"/>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360" w:type="dxa"/>
            <w:vAlign w:val="bottom"/>
            <w:tcBorders>
              <w:bottom w:val="single" w:sz="8" w:color="9A9A9A"/>
            </w:tcBorders>
          </w:tcPr>
          <w:p>
            <w:pPr>
              <w:spacing w:after="0"/>
              <w:rPr>
                <w:sz w:val="11"/>
                <w:szCs w:val="11"/>
                <w:color w:val="auto"/>
              </w:rPr>
            </w:pPr>
          </w:p>
        </w:tc>
        <w:tc>
          <w:tcPr>
            <w:tcW w:w="20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7" w:right="1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auto"/>
        </w:rPr>
        <w:t>Financial Instruments Disclosed at Fair Value</w:t>
      </w:r>
    </w:p>
    <w:p>
      <w:pPr>
        <w:spacing w:after="0" w:line="16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following table sets forth the carrying value and the fair value of our financial assets and liabilities at December 31, 2013 and 2012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vMerge w:val="restart"/>
          </w:tcPr>
          <w:p>
            <w:pPr>
              <w:spacing w:after="0"/>
              <w:rPr>
                <w:sz w:val="20"/>
                <w:szCs w:val="20"/>
                <w:color w:val="auto"/>
              </w:rPr>
            </w:pPr>
            <w:r>
              <w:rPr>
                <w:rFonts w:ascii="Arial" w:cs="Arial" w:eastAsia="Arial" w:hAnsi="Arial"/>
                <w:sz w:val="16"/>
                <w:szCs w:val="16"/>
                <w:b w:val="1"/>
                <w:bCs w:val="1"/>
                <w:color w:val="auto"/>
              </w:rPr>
              <w:t>Financial Instrument</w:t>
            </w:r>
          </w:p>
        </w:tc>
        <w:tc>
          <w:tcPr>
            <w:tcW w:w="1180" w:type="dxa"/>
            <w:vAlign w:val="bottom"/>
            <w:vMerge w:val="restart"/>
          </w:tcPr>
          <w:p>
            <w:pPr>
              <w:jc w:val="center"/>
              <w:ind w:left="582"/>
              <w:spacing w:after="0"/>
              <w:rPr>
                <w:sz w:val="20"/>
                <w:szCs w:val="20"/>
                <w:color w:val="auto"/>
              </w:rPr>
            </w:pPr>
            <w:r>
              <w:rPr>
                <w:rFonts w:ascii="Arial" w:cs="Arial" w:eastAsia="Arial" w:hAnsi="Arial"/>
                <w:sz w:val="16"/>
                <w:szCs w:val="16"/>
                <w:b w:val="1"/>
                <w:bCs w:val="1"/>
                <w:color w:val="auto"/>
                <w:w w:val="87"/>
              </w:rPr>
              <w:t>Level</w:t>
            </w: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rPr>
              <w:t>Book Value</w:t>
            </w: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2013</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line="181" w:lineRule="exact"/>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2"/>
              <w:spacing w:after="0" w:line="181"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75"/>
        </w:trPr>
        <w:tc>
          <w:tcPr>
            <w:tcW w:w="2680" w:type="dxa"/>
            <w:vAlign w:val="bottom"/>
          </w:tcPr>
          <w:p>
            <w:pPr>
              <w:spacing w:after="0" w:line="175" w:lineRule="exact"/>
              <w:rPr>
                <w:sz w:val="20"/>
                <w:szCs w:val="20"/>
                <w:color w:val="auto"/>
              </w:rPr>
            </w:pPr>
            <w:r>
              <w:rPr>
                <w:rFonts w:ascii="Arial" w:cs="Arial" w:eastAsia="Arial" w:hAnsi="Arial"/>
                <w:sz w:val="16"/>
                <w:szCs w:val="16"/>
                <w:color w:val="auto"/>
              </w:rPr>
              <w:t>Cash</w:t>
            </w:r>
          </w:p>
        </w:tc>
        <w:tc>
          <w:tcPr>
            <w:tcW w:w="1180" w:type="dxa"/>
            <w:vAlign w:val="bottom"/>
          </w:tcPr>
          <w:p>
            <w:pPr>
              <w:jc w:val="center"/>
              <w:ind w:left="582"/>
              <w:spacing w:after="0" w:line="175" w:lineRule="exact"/>
              <w:rPr>
                <w:sz w:val="20"/>
                <w:szCs w:val="20"/>
                <w:color w:val="auto"/>
              </w:rPr>
            </w:pPr>
            <w:r>
              <w:rPr>
                <w:rFonts w:ascii="Arial" w:cs="Arial" w:eastAsia="Arial" w:hAnsi="Arial"/>
                <w:sz w:val="16"/>
                <w:szCs w:val="16"/>
                <w:color w:val="auto"/>
                <w:w w:val="89"/>
              </w:rPr>
              <w:t>1</w:t>
            </w:r>
          </w:p>
        </w:tc>
        <w:tc>
          <w:tcPr>
            <w:tcW w:w="560" w:type="dxa"/>
            <w:vAlign w:val="bottom"/>
          </w:tcPr>
          <w:p>
            <w:pPr>
              <w:jc w:val="right"/>
              <w:ind w:right="82"/>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37,696</w:t>
            </w:r>
          </w:p>
        </w:tc>
        <w:tc>
          <w:tcPr>
            <w:tcW w:w="4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38,531</w:t>
            </w:r>
          </w:p>
        </w:tc>
        <w:tc>
          <w:tcPr>
            <w:tcW w:w="4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37,696</w:t>
            </w:r>
          </w:p>
        </w:tc>
        <w:tc>
          <w:tcPr>
            <w:tcW w:w="4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38,531</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Time deposits</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8,000</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9,087</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8,514</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9,087</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8,514</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Other assets - notes receivable</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2,000</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Restricted cash</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782</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2,465</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782</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Accounts and film rent payable</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1</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25,046</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25,566</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25,046</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25,566</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Notes payable</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3</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140,547</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159,684</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121,411</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154,795</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color w:val="auto"/>
              </w:rPr>
              <w:t>Notes payable to related party</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9,000</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N/A</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20"/>
                <w:szCs w:val="20"/>
                <w:color w:val="auto"/>
              </w:rPr>
            </w:pPr>
            <w:r>
              <w:rPr>
                <w:rFonts w:ascii="Arial" w:cs="Arial" w:eastAsia="Arial" w:hAnsi="Arial"/>
                <w:sz w:val="16"/>
                <w:szCs w:val="16"/>
                <w:color w:val="auto"/>
              </w:rPr>
              <w:t>Subordinated debt</w:t>
            </w:r>
          </w:p>
        </w:tc>
        <w:tc>
          <w:tcPr>
            <w:tcW w:w="1180" w:type="dxa"/>
            <w:vAlign w:val="bottom"/>
          </w:tcPr>
          <w:p>
            <w:pPr>
              <w:jc w:val="center"/>
              <w:ind w:left="582"/>
              <w:spacing w:after="0"/>
              <w:rPr>
                <w:sz w:val="20"/>
                <w:szCs w:val="20"/>
                <w:color w:val="auto"/>
              </w:rPr>
            </w:pPr>
            <w:r>
              <w:rPr>
                <w:rFonts w:ascii="Arial" w:cs="Arial" w:eastAsia="Arial" w:hAnsi="Arial"/>
                <w:sz w:val="16"/>
                <w:szCs w:val="16"/>
                <w:color w:val="auto"/>
                <w:w w:val="89"/>
              </w:rPr>
              <w:t>3</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27,913</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27,913</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11,067</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12,268</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For purposes of this fair value disclosure, we based our fair value estimate for notes payable and subordinated debt on our internal valuation whereby we apply the discounted cash flow method to our expected cash flow payments due under our existing debt agreements based on a representative sample of our lenders’ market interest rate quotes as of December 31, 2013 and 2012, respectively, for debt with similar risk characteristics and maturities.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17 – Lease Agreements</w:t>
      </w:r>
    </w:p>
    <w:p>
      <w:pPr>
        <w:spacing w:after="0" w:line="172"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Most of our cinemas conduct their operations in leased facilities. Sixteen of our twenty operating multiplexes in Australia, four of our seven cinemas in New Zealand, and all but one of our cinemas in the United States are in leased facilities. These cinema leases have remaining terms inclusive of options of 1 to 37 years. Certain of our cinema leases provide for contingent rentals based upon a specified percentage of theater revenue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that require capitalization.</w:t>
      </w:r>
    </w:p>
    <w:p>
      <w:pPr>
        <w:spacing w:after="0" w:line="120"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We determine the annual base rent expense of our cinemas by amortizing total minimum lease obligations on a straight-line basis over the lease terms. Base rent expense and contingent rental expense under the operating leases totaled approximately $32.1 million and $1.3 million for 2013, respectively; $32.6 million and $1.7 million for 2012, respectively; and $31.2 million and $1.6 million for 2011, respectively. Future minimum lease payments by year and, in the aggregate, under non-cancelable operating leases consisted of the following at December 31, 2013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jc w:val="right"/>
              <w:ind w:right="150"/>
              <w:spacing w:after="0"/>
              <w:rPr>
                <w:sz w:val="20"/>
                <w:szCs w:val="20"/>
                <w:color w:val="auto"/>
              </w:rPr>
            </w:pPr>
            <w:r>
              <w:rPr>
                <w:rFonts w:ascii="Arial" w:cs="Arial" w:eastAsia="Arial" w:hAnsi="Arial"/>
                <w:sz w:val="14"/>
                <w:szCs w:val="14"/>
                <w:b w:val="1"/>
                <w:bCs w:val="1"/>
                <w:color w:val="auto"/>
              </w:rPr>
              <w:t>Minimum Ground</w:t>
            </w:r>
          </w:p>
        </w:tc>
        <w:tc>
          <w:tcPr>
            <w:tcW w:w="260" w:type="dxa"/>
            <w:vAlign w:val="bottom"/>
          </w:tcPr>
          <w:p>
            <w:pPr>
              <w:spacing w:after="0"/>
              <w:rPr>
                <w:sz w:val="15"/>
                <w:szCs w:val="15"/>
                <w:color w:val="auto"/>
              </w:rPr>
            </w:pPr>
          </w:p>
        </w:tc>
        <w:tc>
          <w:tcPr>
            <w:tcW w:w="1540" w:type="dxa"/>
            <w:vAlign w:val="bottom"/>
          </w:tcPr>
          <w:p>
            <w:pPr>
              <w:jc w:val="right"/>
              <w:ind w:right="190"/>
              <w:spacing w:after="0"/>
              <w:rPr>
                <w:sz w:val="20"/>
                <w:szCs w:val="20"/>
                <w:color w:val="auto"/>
              </w:rPr>
            </w:pPr>
            <w:r>
              <w:rPr>
                <w:rFonts w:ascii="Arial" w:cs="Arial" w:eastAsia="Arial" w:hAnsi="Arial"/>
                <w:sz w:val="14"/>
                <w:szCs w:val="14"/>
                <w:b w:val="1"/>
                <w:bCs w:val="1"/>
                <w:color w:val="auto"/>
                <w:w w:val="98"/>
              </w:rPr>
              <w:t>Minimum Premises</w:t>
            </w:r>
          </w:p>
        </w:tc>
        <w:tc>
          <w:tcPr>
            <w:tcW w:w="360" w:type="dxa"/>
            <w:vAlign w:val="bottom"/>
          </w:tcPr>
          <w:p>
            <w:pPr>
              <w:spacing w:after="0"/>
              <w:rPr>
                <w:sz w:val="15"/>
                <w:szCs w:val="15"/>
                <w:color w:val="auto"/>
              </w:rPr>
            </w:pPr>
          </w:p>
        </w:tc>
        <w:tc>
          <w:tcPr>
            <w:tcW w:w="1320" w:type="dxa"/>
            <w:vAlign w:val="bottom"/>
          </w:tcPr>
          <w:p>
            <w:pPr>
              <w:jc w:val="right"/>
              <w:ind w:right="390"/>
              <w:spacing w:after="0"/>
              <w:rPr>
                <w:sz w:val="20"/>
                <w:szCs w:val="20"/>
                <w:color w:val="auto"/>
              </w:rPr>
            </w:pPr>
            <w:r>
              <w:rPr>
                <w:rFonts w:ascii="Arial" w:cs="Arial" w:eastAsia="Arial" w:hAnsi="Arial"/>
                <w:sz w:val="14"/>
                <w:szCs w:val="14"/>
                <w:b w:val="1"/>
                <w:bCs w:val="1"/>
                <w:color w:val="auto"/>
              </w:rPr>
              <w:t>Equipment</w:t>
            </w:r>
          </w:p>
        </w:tc>
        <w:tc>
          <w:tcPr>
            <w:tcW w:w="300" w:type="dxa"/>
            <w:vAlign w:val="bottom"/>
          </w:tcPr>
          <w:p>
            <w:pPr>
              <w:spacing w:after="0"/>
              <w:rPr>
                <w:sz w:val="15"/>
                <w:szCs w:val="15"/>
                <w:color w:val="auto"/>
              </w:rPr>
            </w:pPr>
          </w:p>
        </w:tc>
        <w:tc>
          <w:tcPr>
            <w:tcW w:w="1300" w:type="dxa"/>
            <w:vAlign w:val="bottom"/>
          </w:tcPr>
          <w:p>
            <w:pPr>
              <w:jc w:val="right"/>
              <w:ind w:right="170"/>
              <w:spacing w:after="0"/>
              <w:rPr>
                <w:sz w:val="20"/>
                <w:szCs w:val="20"/>
                <w:color w:val="auto"/>
              </w:rPr>
            </w:pPr>
            <w:r>
              <w:rPr>
                <w:rFonts w:ascii="Arial" w:cs="Arial" w:eastAsia="Arial" w:hAnsi="Arial"/>
                <w:sz w:val="14"/>
                <w:szCs w:val="14"/>
                <w:b w:val="1"/>
                <w:bCs w:val="1"/>
                <w:color w:val="auto"/>
              </w:rPr>
              <w:t>Total Minimum</w:t>
            </w:r>
          </w:p>
        </w:tc>
      </w:tr>
      <w:tr>
        <w:trPr>
          <w:trHeight w:val="192"/>
        </w:trPr>
        <w:tc>
          <w:tcPr>
            <w:tcW w:w="2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Lease Payments</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Lease Payments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Lease</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6"/>
              </w:rPr>
              <w:t>Lease Payments</w:t>
            </w:r>
          </w:p>
        </w:tc>
      </w:tr>
      <w:tr>
        <w:trPr>
          <w:trHeight w:val="180"/>
        </w:trPr>
        <w:tc>
          <w:tcPr>
            <w:tcW w:w="2160" w:type="dxa"/>
            <w:vAlign w:val="bottom"/>
          </w:tcPr>
          <w:p>
            <w:pPr>
              <w:spacing w:after="0"/>
              <w:rPr>
                <w:sz w:val="20"/>
                <w:szCs w:val="20"/>
                <w:color w:val="auto"/>
              </w:rPr>
            </w:pPr>
            <w:r>
              <w:rPr>
                <w:rFonts w:ascii="Arial" w:cs="Arial" w:eastAsia="Arial" w:hAnsi="Arial"/>
                <w:sz w:val="14"/>
                <w:szCs w:val="14"/>
                <w:color w:val="auto"/>
              </w:rPr>
              <w:t>2014</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0"/>
              <w:spacing w:after="0"/>
              <w:rPr>
                <w:sz w:val="20"/>
                <w:szCs w:val="20"/>
                <w:color w:val="auto"/>
              </w:rPr>
            </w:pPr>
            <w:r>
              <w:rPr>
                <w:rFonts w:ascii="Arial" w:cs="Arial" w:eastAsia="Arial" w:hAnsi="Arial"/>
                <w:sz w:val="14"/>
                <w:szCs w:val="14"/>
                <w:color w:val="auto"/>
              </w:rPr>
              <w:t>2,592</w:t>
            </w:r>
          </w:p>
        </w:tc>
        <w:tc>
          <w:tcPr>
            <w:tcW w:w="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28,381</w:t>
            </w:r>
          </w:p>
        </w:tc>
        <w:tc>
          <w:tcPr>
            <w:tcW w:w="3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2,703</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33,676</w:t>
            </w:r>
          </w:p>
        </w:tc>
      </w:tr>
      <w:tr>
        <w:trPr>
          <w:trHeight w:val="180"/>
        </w:trPr>
        <w:tc>
          <w:tcPr>
            <w:tcW w:w="2160" w:type="dxa"/>
            <w:vAlign w:val="bottom"/>
          </w:tcPr>
          <w:p>
            <w:pPr>
              <w:spacing w:after="0"/>
              <w:rPr>
                <w:sz w:val="20"/>
                <w:szCs w:val="20"/>
                <w:color w:val="auto"/>
              </w:rPr>
            </w:pPr>
            <w:r>
              <w:rPr>
                <w:rFonts w:ascii="Arial" w:cs="Arial" w:eastAsia="Arial" w:hAnsi="Arial"/>
                <w:sz w:val="14"/>
                <w:szCs w:val="14"/>
                <w:color w:val="auto"/>
              </w:rPr>
              <w:t>2015</w:t>
            </w:r>
          </w:p>
        </w:tc>
        <w:tc>
          <w:tcPr>
            <w:tcW w:w="520" w:type="dxa"/>
            <w:vAlign w:val="bottom"/>
          </w:tcPr>
          <w:p>
            <w:pPr>
              <w:spacing w:after="0"/>
              <w:rPr>
                <w:sz w:val="15"/>
                <w:szCs w:val="15"/>
                <w:color w:val="auto"/>
              </w:rPr>
            </w:pPr>
          </w:p>
        </w:tc>
        <w:tc>
          <w:tcPr>
            <w:tcW w:w="1420" w:type="dxa"/>
            <w:vAlign w:val="bottom"/>
          </w:tcPr>
          <w:p>
            <w:pPr>
              <w:jc w:val="right"/>
              <w:ind w:right="50"/>
              <w:spacing w:after="0"/>
              <w:rPr>
                <w:sz w:val="20"/>
                <w:szCs w:val="20"/>
                <w:color w:val="auto"/>
              </w:rPr>
            </w:pPr>
            <w:r>
              <w:rPr>
                <w:rFonts w:ascii="Arial" w:cs="Arial" w:eastAsia="Arial" w:hAnsi="Arial"/>
                <w:sz w:val="14"/>
                <w:szCs w:val="14"/>
                <w:color w:val="auto"/>
              </w:rPr>
              <w:t>2,591</w:t>
            </w:r>
          </w:p>
        </w:tc>
        <w:tc>
          <w:tcPr>
            <w:tcW w:w="260" w:type="dxa"/>
            <w:vAlign w:val="bottom"/>
          </w:tcPr>
          <w:p>
            <w:pPr>
              <w:spacing w:after="0"/>
              <w:rPr>
                <w:sz w:val="15"/>
                <w:szCs w:val="15"/>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26,137</w:t>
            </w:r>
          </w:p>
        </w:tc>
        <w:tc>
          <w:tcPr>
            <w:tcW w:w="360" w:type="dxa"/>
            <w:vAlign w:val="bottom"/>
          </w:tcPr>
          <w:p>
            <w:pPr>
              <w:spacing w:after="0"/>
              <w:rPr>
                <w:sz w:val="15"/>
                <w:szCs w:val="15"/>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2,703</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31,431</w:t>
            </w:r>
          </w:p>
        </w:tc>
      </w:tr>
      <w:tr>
        <w:trPr>
          <w:trHeight w:val="188"/>
        </w:trPr>
        <w:tc>
          <w:tcPr>
            <w:tcW w:w="2160" w:type="dxa"/>
            <w:vAlign w:val="bottom"/>
          </w:tcPr>
          <w:p>
            <w:pPr>
              <w:spacing w:after="0"/>
              <w:rPr>
                <w:sz w:val="20"/>
                <w:szCs w:val="20"/>
                <w:color w:val="auto"/>
              </w:rPr>
            </w:pPr>
            <w:r>
              <w:rPr>
                <w:rFonts w:ascii="Arial" w:cs="Arial" w:eastAsia="Arial" w:hAnsi="Arial"/>
                <w:sz w:val="14"/>
                <w:szCs w:val="14"/>
                <w:color w:val="auto"/>
              </w:rPr>
              <w:t>2016</w:t>
            </w:r>
          </w:p>
        </w:tc>
        <w:tc>
          <w:tcPr>
            <w:tcW w:w="520" w:type="dxa"/>
            <w:vAlign w:val="bottom"/>
          </w:tcPr>
          <w:p>
            <w:pPr>
              <w:spacing w:after="0"/>
              <w:rPr>
                <w:sz w:val="16"/>
                <w:szCs w:val="16"/>
                <w:color w:val="auto"/>
              </w:rPr>
            </w:pPr>
          </w:p>
        </w:tc>
        <w:tc>
          <w:tcPr>
            <w:tcW w:w="1420" w:type="dxa"/>
            <w:vAlign w:val="bottom"/>
          </w:tcPr>
          <w:p>
            <w:pPr>
              <w:jc w:val="right"/>
              <w:ind w:right="50"/>
              <w:spacing w:after="0"/>
              <w:rPr>
                <w:sz w:val="20"/>
                <w:szCs w:val="20"/>
                <w:color w:val="auto"/>
              </w:rPr>
            </w:pPr>
            <w:r>
              <w:rPr>
                <w:rFonts w:ascii="Arial" w:cs="Arial" w:eastAsia="Arial" w:hAnsi="Arial"/>
                <w:sz w:val="14"/>
                <w:szCs w:val="14"/>
                <w:color w:val="auto"/>
              </w:rPr>
              <w:t>2,656</w:t>
            </w:r>
          </w:p>
        </w:tc>
        <w:tc>
          <w:tcPr>
            <w:tcW w:w="260" w:type="dxa"/>
            <w:vAlign w:val="bottom"/>
          </w:tcPr>
          <w:p>
            <w:pPr>
              <w:spacing w:after="0"/>
              <w:rPr>
                <w:sz w:val="16"/>
                <w:szCs w:val="16"/>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22,427</w:t>
            </w:r>
          </w:p>
        </w:tc>
        <w:tc>
          <w:tcPr>
            <w:tcW w:w="360" w:type="dxa"/>
            <w:vAlign w:val="bottom"/>
          </w:tcPr>
          <w:p>
            <w:pPr>
              <w:spacing w:after="0"/>
              <w:rPr>
                <w:sz w:val="16"/>
                <w:szCs w:val="16"/>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2,694</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27,777</w:t>
            </w:r>
          </w:p>
        </w:tc>
      </w:tr>
      <w:tr>
        <w:trPr>
          <w:trHeight w:val="188"/>
        </w:trPr>
        <w:tc>
          <w:tcPr>
            <w:tcW w:w="2160" w:type="dxa"/>
            <w:vAlign w:val="bottom"/>
          </w:tcPr>
          <w:p>
            <w:pPr>
              <w:spacing w:after="0"/>
              <w:rPr>
                <w:sz w:val="20"/>
                <w:szCs w:val="20"/>
                <w:color w:val="auto"/>
              </w:rPr>
            </w:pPr>
            <w:r>
              <w:rPr>
                <w:rFonts w:ascii="Arial" w:cs="Arial" w:eastAsia="Arial" w:hAnsi="Arial"/>
                <w:sz w:val="14"/>
                <w:szCs w:val="14"/>
                <w:color w:val="auto"/>
              </w:rPr>
              <w:t>2017</w:t>
            </w:r>
          </w:p>
        </w:tc>
        <w:tc>
          <w:tcPr>
            <w:tcW w:w="520" w:type="dxa"/>
            <w:vAlign w:val="bottom"/>
          </w:tcPr>
          <w:p>
            <w:pPr>
              <w:spacing w:after="0"/>
              <w:rPr>
                <w:sz w:val="16"/>
                <w:szCs w:val="16"/>
                <w:color w:val="auto"/>
              </w:rPr>
            </w:pPr>
          </w:p>
        </w:tc>
        <w:tc>
          <w:tcPr>
            <w:tcW w:w="1420" w:type="dxa"/>
            <w:vAlign w:val="bottom"/>
          </w:tcPr>
          <w:p>
            <w:pPr>
              <w:jc w:val="right"/>
              <w:ind w:right="50"/>
              <w:spacing w:after="0"/>
              <w:rPr>
                <w:sz w:val="20"/>
                <w:szCs w:val="20"/>
                <w:color w:val="auto"/>
              </w:rPr>
            </w:pPr>
            <w:r>
              <w:rPr>
                <w:rFonts w:ascii="Arial" w:cs="Arial" w:eastAsia="Arial" w:hAnsi="Arial"/>
                <w:sz w:val="14"/>
                <w:szCs w:val="14"/>
                <w:color w:val="auto"/>
              </w:rPr>
              <w:t>2,751</w:t>
            </w:r>
          </w:p>
        </w:tc>
        <w:tc>
          <w:tcPr>
            <w:tcW w:w="260" w:type="dxa"/>
            <w:vAlign w:val="bottom"/>
          </w:tcPr>
          <w:p>
            <w:pPr>
              <w:spacing w:after="0"/>
              <w:rPr>
                <w:sz w:val="16"/>
                <w:szCs w:val="16"/>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19,744</w:t>
            </w:r>
          </w:p>
        </w:tc>
        <w:tc>
          <w:tcPr>
            <w:tcW w:w="360" w:type="dxa"/>
            <w:vAlign w:val="bottom"/>
          </w:tcPr>
          <w:p>
            <w:pPr>
              <w:spacing w:after="0"/>
              <w:rPr>
                <w:sz w:val="16"/>
                <w:szCs w:val="16"/>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2,693</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25,188</w:t>
            </w:r>
          </w:p>
        </w:tc>
      </w:tr>
      <w:tr>
        <w:trPr>
          <w:trHeight w:val="188"/>
        </w:trPr>
        <w:tc>
          <w:tcPr>
            <w:tcW w:w="2160" w:type="dxa"/>
            <w:vAlign w:val="bottom"/>
          </w:tcPr>
          <w:p>
            <w:pPr>
              <w:spacing w:after="0"/>
              <w:rPr>
                <w:sz w:val="20"/>
                <w:szCs w:val="20"/>
                <w:color w:val="auto"/>
              </w:rPr>
            </w:pPr>
            <w:r>
              <w:rPr>
                <w:rFonts w:ascii="Arial" w:cs="Arial" w:eastAsia="Arial" w:hAnsi="Arial"/>
                <w:sz w:val="14"/>
                <w:szCs w:val="14"/>
                <w:color w:val="auto"/>
              </w:rPr>
              <w:t>2018</w:t>
            </w:r>
          </w:p>
        </w:tc>
        <w:tc>
          <w:tcPr>
            <w:tcW w:w="520" w:type="dxa"/>
            <w:vAlign w:val="bottom"/>
          </w:tcPr>
          <w:p>
            <w:pPr>
              <w:spacing w:after="0"/>
              <w:rPr>
                <w:sz w:val="16"/>
                <w:szCs w:val="16"/>
                <w:color w:val="auto"/>
              </w:rPr>
            </w:pPr>
          </w:p>
        </w:tc>
        <w:tc>
          <w:tcPr>
            <w:tcW w:w="1420" w:type="dxa"/>
            <w:vAlign w:val="bottom"/>
          </w:tcPr>
          <w:p>
            <w:pPr>
              <w:jc w:val="right"/>
              <w:ind w:right="50"/>
              <w:spacing w:after="0"/>
              <w:rPr>
                <w:sz w:val="20"/>
                <w:szCs w:val="20"/>
                <w:color w:val="auto"/>
              </w:rPr>
            </w:pPr>
            <w:r>
              <w:rPr>
                <w:rFonts w:ascii="Arial" w:cs="Arial" w:eastAsia="Arial" w:hAnsi="Arial"/>
                <w:sz w:val="14"/>
                <w:szCs w:val="14"/>
                <w:color w:val="auto"/>
              </w:rPr>
              <w:t>2,759</w:t>
            </w:r>
          </w:p>
        </w:tc>
        <w:tc>
          <w:tcPr>
            <w:tcW w:w="260" w:type="dxa"/>
            <w:vAlign w:val="bottom"/>
          </w:tcPr>
          <w:p>
            <w:pPr>
              <w:spacing w:after="0"/>
              <w:rPr>
                <w:sz w:val="16"/>
                <w:szCs w:val="16"/>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16,054</w:t>
            </w:r>
          </w:p>
        </w:tc>
        <w:tc>
          <w:tcPr>
            <w:tcW w:w="360" w:type="dxa"/>
            <w:vAlign w:val="bottom"/>
          </w:tcPr>
          <w:p>
            <w:pPr>
              <w:spacing w:after="0"/>
              <w:rPr>
                <w:sz w:val="16"/>
                <w:szCs w:val="16"/>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2,614</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21,427</w:t>
            </w:r>
          </w:p>
        </w:tc>
      </w:tr>
      <w:tr>
        <w:trPr>
          <w:trHeight w:val="190"/>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8,671</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49,739</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58,410</w:t>
            </w:r>
          </w:p>
        </w:tc>
      </w:tr>
      <w:tr>
        <w:trPr>
          <w:trHeight w:val="174"/>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22,020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162,482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13,407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197,909</w:t>
            </w:r>
          </w:p>
        </w:tc>
      </w:tr>
    </w:tbl>
    <w:p>
      <w:pPr>
        <w:spacing w:after="0" w:line="17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 xml:space="preserve">Since approximately $75.7 million of our total minimum lease payments of $197.9 million as of December 31, 2013 consisted of lease obligations denominated in Australian and New Zealand dollars, the U.S dollar amounts of these obligations will fluctuate in accordance with the relative values of these currencies. See Note 25 – </w:t>
      </w:r>
      <w:r>
        <w:rPr>
          <w:rFonts w:ascii="Arial" w:cs="Arial" w:eastAsia="Arial" w:hAnsi="Arial"/>
          <w:sz w:val="16"/>
          <w:szCs w:val="16"/>
          <w:i w:val="1"/>
          <w:iCs w:val="1"/>
          <w:color w:val="auto"/>
        </w:rPr>
        <w:t>Related Parties and Transactions</w:t>
      </w:r>
      <w:r>
        <w:rPr>
          <w:rFonts w:ascii="Arial" w:cs="Arial" w:eastAsia="Arial" w:hAnsi="Arial"/>
          <w:sz w:val="16"/>
          <w:szCs w:val="16"/>
          <w:color w:val="auto"/>
        </w:rPr>
        <w:t xml:space="preserve"> for the amount of leases associated with any related party leases.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auto"/>
        </w:rPr>
        <w:t>Digital Projection Equipment Lease</w:t>
      </w:r>
    </w:p>
    <w:p>
      <w:pPr>
        <w:spacing w:after="0" w:line="168" w:lineRule="exact"/>
        <w:rPr>
          <w:sz w:val="20"/>
          <w:szCs w:val="20"/>
          <w:color w:val="auto"/>
        </w:rPr>
      </w:pPr>
    </w:p>
    <w:p>
      <w:pPr>
        <w:jc w:val="both"/>
        <w:ind w:right="20" w:firstLine="564"/>
        <w:spacing w:after="0" w:line="274" w:lineRule="auto"/>
        <w:rPr>
          <w:sz w:val="20"/>
          <w:szCs w:val="20"/>
          <w:color w:val="auto"/>
        </w:rPr>
      </w:pPr>
      <w:r>
        <w:rPr>
          <w:rFonts w:ascii="Arial" w:cs="Arial" w:eastAsia="Arial" w:hAnsi="Arial"/>
          <w:sz w:val="15"/>
          <w:szCs w:val="15"/>
          <w:color w:val="auto"/>
        </w:rPr>
        <w:t>Effective December 1, 2012, we entered into a 5-year digital projection equipment lease obligation with Banc of America Leasing &amp; Capital, LLC enabling us to convert substantially all of our U.S. cinemas to digital projection. The equipment lease agreement requires that we make lease payments of $218,000 per month for the next 60 months after which we can either purchase the equipment at a market price or renew the lease for an undetermined length of time. This lease qualifies as an operating lease and is recorded accordingly.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18 – Pension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Executive Retirement Plan</w:t>
      </w:r>
    </w:p>
    <w:p>
      <w:pPr>
        <w:spacing w:after="0" w:line="168" w:lineRule="exact"/>
        <w:rPr>
          <w:sz w:val="20"/>
          <w:szCs w:val="20"/>
          <w:color w:val="auto"/>
        </w:rPr>
      </w:pPr>
    </w:p>
    <w:p>
      <w:pPr>
        <w:jc w:val="both"/>
        <w:ind w:right="20" w:firstLine="564"/>
        <w:spacing w:after="0" w:line="315" w:lineRule="auto"/>
        <w:rPr>
          <w:sz w:val="20"/>
          <w:szCs w:val="20"/>
          <w:color w:val="auto"/>
        </w:rPr>
      </w:pPr>
      <w:r>
        <w:rPr>
          <w:rFonts w:ascii="Arial" w:cs="Arial" w:eastAsia="Arial" w:hAnsi="Arial"/>
          <w:sz w:val="13"/>
          <w:szCs w:val="13"/>
          <w:color w:val="auto"/>
        </w:rPr>
        <w:t>In March 1, 2007, the Board of Directors of Reading International, Inc. (“Reading”) approved a Supplemental Executive Retirement Plan (“SERP”) pursuant to which Reading has agreed to provide James J. Cotter, its Chief Executive Officer and Chairman of the Board of Directors, supplemental retirement benefits effective March 1, 2007. Under the SERP, Mr. Cotter will receive a monthly payment of the greater of (i) 40% of the average monthly earnings over the highest consecutive 36-month period of earnings prior to Mr. Cotter’s separation from service with Reading or (ii) $25,000 per month for the remainder of his life, with a guarantee of 180 monthly payments following his separation from service with Reading or following his death. The beneficiaries under the SERP may be designated by Mr. Cotter or by his beneficiary following his or his beneficiary’s death. The benefits under the SERP are fully vested as of March 1, 2007.</w:t>
      </w:r>
    </w:p>
    <w:p>
      <w:pPr>
        <w:spacing w:after="0" w:line="95" w:lineRule="exact"/>
        <w:rPr>
          <w:sz w:val="20"/>
          <w:szCs w:val="20"/>
          <w:color w:val="auto"/>
        </w:rPr>
      </w:pPr>
    </w:p>
    <w:p>
      <w:pPr>
        <w:jc w:val="both"/>
        <w:ind w:right="20" w:firstLine="564"/>
        <w:spacing w:after="0" w:line="309" w:lineRule="auto"/>
        <w:rPr>
          <w:sz w:val="20"/>
          <w:szCs w:val="20"/>
          <w:color w:val="auto"/>
        </w:rPr>
      </w:pPr>
      <w:r>
        <w:rPr>
          <w:rFonts w:ascii="Arial" w:cs="Arial" w:eastAsia="Arial" w:hAnsi="Arial"/>
          <w:sz w:val="13"/>
          <w:szCs w:val="13"/>
          <w:color w:val="auto"/>
        </w:rPr>
        <w:t xml:space="preserve">The SERP initially will be unfunded, but Reading may choose to establish one or more grantor trusts from which to pay the SERP benefits. As such, the SERP benefits are unsecured, general obligations of Reading. The SERP is administered by the Compensation Committee of the Board of Directors of Reading. In accordance with FASB ASC 715-30-05 – </w:t>
      </w:r>
      <w:r>
        <w:rPr>
          <w:rFonts w:ascii="Arial" w:cs="Arial" w:eastAsia="Arial" w:hAnsi="Arial"/>
          <w:sz w:val="13"/>
          <w:szCs w:val="13"/>
          <w:i w:val="1"/>
          <w:iCs w:val="1"/>
          <w:color w:val="auto"/>
        </w:rPr>
        <w:t>Defined Benefit Pension Plans</w:t>
      </w:r>
      <w:r>
        <w:rPr>
          <w:rFonts w:ascii="Arial" w:cs="Arial" w:eastAsia="Arial" w:hAnsi="Arial"/>
          <w:sz w:val="13"/>
          <w:szCs w:val="13"/>
          <w:color w:val="auto"/>
        </w:rPr>
        <w:t xml:space="preserve"> (“ASC 715-30-05”), the initial pension benefit obligation of $2.7 million was included in our other liabilities with a corresponding amount of unrecognized prior service cost included in accumulated other comprehensive income on March 1, 2007. The initial benefit obligation was based on a discount rate of 5.75% and a compensation increase rate of 3.5%. The $2.7 million is being amortized as a prior service cost over the estimated service period of 10 years combined with an annual interest cost. For the years ended December 31, 2013, 2012, and 2011, we recognized $202,000, $149,000, and $195,000, respectively, of interest cost and $304,000 of amortized prior service cost per year. For the years ended December 31, 2013 and 2012, we recognized $356,000 and $0 of amortized net gains. The balance of the other liability for this pension plan was $7.4 million and $5.9 million at December 31, 2013 and 2012, respectively, and the accumulated unrecognized prior service costs included in other comprehensive income balance was $3.8 and $3.2 million at December 31, 2013 and 2012, respectively. The December 31, 2013 and 2012 values of the SERP are based on a discount rate of 4.25% and 3.40%, respectively, and an annual compensation growth rate of 7.50% and 3.50%, respectively.</w:t>
      </w:r>
    </w:p>
    <w:p>
      <w:pPr>
        <w:spacing w:after="0" w:line="29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The change in the SERP pension benefit obligation and the funded status for the year ending December 31, 2013 and 2012 are as follows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For the year ending</w:t>
            </w:r>
          </w:p>
        </w:tc>
      </w:tr>
      <w:tr>
        <w:trPr>
          <w:trHeight w:val="208"/>
        </w:trPr>
        <w:tc>
          <w:tcPr>
            <w:tcW w:w="4740" w:type="dxa"/>
            <w:vAlign w:val="bottom"/>
          </w:tcPr>
          <w:p>
            <w:pPr>
              <w:spacing w:after="0"/>
              <w:rPr>
                <w:sz w:val="20"/>
                <w:szCs w:val="20"/>
                <w:color w:val="auto"/>
              </w:rPr>
            </w:pPr>
            <w:r>
              <w:rPr>
                <w:rFonts w:ascii="Arial" w:cs="Arial" w:eastAsia="Arial" w:hAnsi="Arial"/>
                <w:sz w:val="16"/>
                <w:szCs w:val="16"/>
                <w:b w:val="1"/>
                <w:bCs w:val="1"/>
                <w:color w:val="auto"/>
              </w:rPr>
              <w:t>Change in Benefit Obligation</w:t>
            </w:r>
          </w:p>
        </w:tc>
        <w:tc>
          <w:tcPr>
            <w:tcW w:w="246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December 31, 2013</w:t>
            </w:r>
          </w:p>
        </w:tc>
      </w:tr>
      <w:tr>
        <w:trPr>
          <w:trHeight w:val="175"/>
        </w:trPr>
        <w:tc>
          <w:tcPr>
            <w:tcW w:w="47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color w:val="auto"/>
              </w:rPr>
              <w:t>Benefit obligation at January 1, 2013</w:t>
            </w:r>
          </w:p>
        </w:tc>
        <w:tc>
          <w:tcPr>
            <w:tcW w:w="2460" w:type="dxa"/>
            <w:vAlign w:val="bottom"/>
            <w:tcBorders>
              <w:top w:val="single" w:sz="8" w:color="auto"/>
            </w:tcBorders>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5,944</w:t>
            </w:r>
          </w:p>
        </w:tc>
        <w:tc>
          <w:tcPr>
            <w:tcW w:w="20" w:type="dxa"/>
            <w:vAlign w:val="bottom"/>
          </w:tcPr>
          <w:p>
            <w:pPr>
              <w:spacing w:after="0"/>
              <w:rPr>
                <w:sz w:val="15"/>
                <w:szCs w:val="15"/>
                <w:color w:val="auto"/>
              </w:rPr>
            </w:pPr>
          </w:p>
        </w:tc>
      </w:tr>
      <w:tr>
        <w:trPr>
          <w:trHeight w:val="188"/>
        </w:trPr>
        <w:tc>
          <w:tcPr>
            <w:tcW w:w="4740" w:type="dxa"/>
            <w:vAlign w:val="bottom"/>
          </w:tcPr>
          <w:p>
            <w:pPr>
              <w:spacing w:after="0"/>
              <w:rPr>
                <w:sz w:val="20"/>
                <w:szCs w:val="20"/>
                <w:color w:val="auto"/>
              </w:rPr>
            </w:pPr>
            <w:r>
              <w:rPr>
                <w:rFonts w:ascii="Arial" w:cs="Arial" w:eastAsia="Arial" w:hAnsi="Arial"/>
                <w:sz w:val="16"/>
                <w:szCs w:val="16"/>
                <w:color w:val="auto"/>
              </w:rPr>
              <w:t>Interest cost</w:t>
            </w:r>
          </w:p>
        </w:tc>
        <w:tc>
          <w:tcPr>
            <w:tcW w:w="24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6"/>
                <w:szCs w:val="16"/>
                <w:color w:val="auto"/>
              </w:rPr>
            </w:pPr>
          </w:p>
        </w:tc>
      </w:tr>
      <w:tr>
        <w:trPr>
          <w:trHeight w:val="200"/>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Actuarial gain</w:t>
            </w:r>
          </w:p>
        </w:tc>
        <w:tc>
          <w:tcPr>
            <w:tcW w:w="24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20" w:type="dxa"/>
            <w:vAlign w:val="bottom"/>
          </w:tcPr>
          <w:p>
            <w:pPr>
              <w:spacing w:after="0"/>
              <w:rPr>
                <w:sz w:val="17"/>
                <w:szCs w:val="17"/>
                <w:color w:val="auto"/>
              </w:rPr>
            </w:pPr>
          </w:p>
        </w:tc>
      </w:tr>
      <w:tr>
        <w:trPr>
          <w:trHeight w:val="180"/>
        </w:trPr>
        <w:tc>
          <w:tcPr>
            <w:tcW w:w="47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Benefit obligation at December 31, 2013</w:t>
            </w:r>
          </w:p>
        </w:tc>
        <w:tc>
          <w:tcPr>
            <w:tcW w:w="2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7,398</w:t>
            </w:r>
          </w:p>
        </w:tc>
        <w:tc>
          <w:tcPr>
            <w:tcW w:w="20" w:type="dxa"/>
            <w:vAlign w:val="bottom"/>
          </w:tcPr>
          <w:p>
            <w:pPr>
              <w:spacing w:after="0"/>
              <w:rPr>
                <w:sz w:val="15"/>
                <w:szCs w:val="15"/>
                <w:color w:val="auto"/>
              </w:rPr>
            </w:pPr>
          </w:p>
        </w:tc>
      </w:tr>
      <w:tr>
        <w:trPr>
          <w:trHeight w:val="183"/>
        </w:trPr>
        <w:tc>
          <w:tcPr>
            <w:tcW w:w="47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Funded status at December 31, 2013</w:t>
            </w:r>
          </w:p>
        </w:tc>
        <w:tc>
          <w:tcPr>
            <w:tcW w:w="24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(7,398)</w:t>
            </w:r>
          </w:p>
        </w:tc>
        <w:tc>
          <w:tcPr>
            <w:tcW w:w="20" w:type="dxa"/>
            <w:vAlign w:val="bottom"/>
            <w:tcBorders>
              <w:bottom w:val="single" w:sz="8" w:color="auto"/>
            </w:tcBorders>
          </w:tcPr>
          <w:p>
            <w:pPr>
              <w:spacing w:after="0"/>
              <w:rPr>
                <w:sz w:val="15"/>
                <w:szCs w:val="15"/>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For the year ending</w:t>
            </w: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Change in Benefit Obligation</w:t>
            </w:r>
          </w:p>
        </w:tc>
        <w:tc>
          <w:tcPr>
            <w:tcW w:w="366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December 31, 2012</w:t>
            </w:r>
          </w:p>
        </w:tc>
      </w:tr>
      <w:tr>
        <w:trPr>
          <w:trHeight w:val="175"/>
        </w:trPr>
        <w:tc>
          <w:tcPr>
            <w:tcW w:w="35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color w:val="auto"/>
              </w:rPr>
              <w:t>Benefit obligation at January 1, 2012</w:t>
            </w:r>
          </w:p>
        </w:tc>
        <w:tc>
          <w:tcPr>
            <w:tcW w:w="3660" w:type="dxa"/>
            <w:vAlign w:val="bottom"/>
            <w:tcBorders>
              <w:top w:val="single" w:sz="8" w:color="auto"/>
            </w:tcBorders>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3,511</w:t>
            </w:r>
          </w:p>
        </w:tc>
        <w:tc>
          <w:tcPr>
            <w:tcW w:w="20" w:type="dxa"/>
            <w:vAlign w:val="bottom"/>
          </w:tcPr>
          <w:p>
            <w:pPr>
              <w:spacing w:after="0"/>
              <w:rPr>
                <w:sz w:val="15"/>
                <w:szCs w:val="15"/>
                <w:color w:val="auto"/>
              </w:rPr>
            </w:pPr>
          </w:p>
        </w:tc>
      </w:tr>
      <w:tr>
        <w:trPr>
          <w:trHeight w:val="188"/>
        </w:trPr>
        <w:tc>
          <w:tcPr>
            <w:tcW w:w="3540" w:type="dxa"/>
            <w:vAlign w:val="bottom"/>
          </w:tcPr>
          <w:p>
            <w:pPr>
              <w:spacing w:after="0"/>
              <w:rPr>
                <w:sz w:val="20"/>
                <w:szCs w:val="20"/>
                <w:color w:val="auto"/>
              </w:rPr>
            </w:pPr>
            <w:r>
              <w:rPr>
                <w:rFonts w:ascii="Arial" w:cs="Arial" w:eastAsia="Arial" w:hAnsi="Arial"/>
                <w:sz w:val="16"/>
                <w:szCs w:val="16"/>
                <w:color w:val="auto"/>
              </w:rPr>
              <w:t>Interest cost</w:t>
            </w:r>
          </w:p>
        </w:tc>
        <w:tc>
          <w:tcPr>
            <w:tcW w:w="36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6"/>
                <w:szCs w:val="16"/>
                <w:color w:val="auto"/>
              </w:rPr>
            </w:pPr>
          </w:p>
        </w:tc>
      </w:tr>
      <w:tr>
        <w:trPr>
          <w:trHeight w:val="200"/>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Actuarial gain</w:t>
            </w:r>
          </w:p>
        </w:tc>
        <w:tc>
          <w:tcPr>
            <w:tcW w:w="36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c>
          <w:tcPr>
            <w:tcW w:w="20" w:type="dxa"/>
            <w:vAlign w:val="bottom"/>
          </w:tcPr>
          <w:p>
            <w:pPr>
              <w:spacing w:after="0"/>
              <w:rPr>
                <w:sz w:val="17"/>
                <w:szCs w:val="17"/>
                <w:color w:val="auto"/>
              </w:rPr>
            </w:pPr>
          </w:p>
        </w:tc>
      </w:tr>
      <w:tr>
        <w:trPr>
          <w:trHeight w:val="180"/>
        </w:trPr>
        <w:tc>
          <w:tcPr>
            <w:tcW w:w="35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Benefit obligation at December 31, 2012</w:t>
            </w:r>
          </w:p>
        </w:tc>
        <w:tc>
          <w:tcPr>
            <w:tcW w:w="36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5,944</w:t>
            </w:r>
          </w:p>
        </w:tc>
        <w:tc>
          <w:tcPr>
            <w:tcW w:w="20" w:type="dxa"/>
            <w:vAlign w:val="bottom"/>
          </w:tcPr>
          <w:p>
            <w:pPr>
              <w:spacing w:after="0"/>
              <w:rPr>
                <w:sz w:val="15"/>
                <w:szCs w:val="15"/>
                <w:color w:val="auto"/>
              </w:rPr>
            </w:pPr>
          </w:p>
        </w:tc>
      </w:tr>
      <w:tr>
        <w:trPr>
          <w:trHeight w:val="183"/>
        </w:trPr>
        <w:tc>
          <w:tcPr>
            <w:tcW w:w="35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Funded status at December 31, 2012</w:t>
            </w:r>
          </w:p>
        </w:tc>
        <w:tc>
          <w:tcPr>
            <w:tcW w:w="36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(5,944)</w:t>
            </w:r>
          </w:p>
        </w:tc>
        <w:tc>
          <w:tcPr>
            <w:tcW w:w="20" w:type="dxa"/>
            <w:vAlign w:val="bottom"/>
          </w:tcPr>
          <w:p>
            <w:pPr>
              <w:spacing w:after="0"/>
              <w:rPr>
                <w:sz w:val="15"/>
                <w:szCs w:val="15"/>
                <w:color w:val="auto"/>
              </w:rPr>
            </w:pPr>
          </w:p>
        </w:tc>
      </w:tr>
      <w:tr>
        <w:trPr>
          <w:trHeight w:val="715"/>
        </w:trPr>
        <w:tc>
          <w:tcPr>
            <w:tcW w:w="3540" w:type="dxa"/>
            <w:vAlign w:val="bottom"/>
          </w:tcPr>
          <w:p>
            <w:pPr>
              <w:spacing w:after="0"/>
              <w:rPr>
                <w:sz w:val="24"/>
                <w:szCs w:val="24"/>
                <w:color w:val="auto"/>
              </w:rPr>
            </w:pPr>
          </w:p>
        </w:tc>
        <w:tc>
          <w:tcPr>
            <w:tcW w:w="3660" w:type="dxa"/>
            <w:vAlign w:val="bottom"/>
          </w:tcPr>
          <w:p>
            <w:pPr>
              <w:jc w:val="right"/>
              <w:ind w:right="2442"/>
              <w:spacing w:after="0"/>
              <w:rPr>
                <w:sz w:val="20"/>
                <w:szCs w:val="20"/>
                <w:color w:val="auto"/>
              </w:rPr>
            </w:pPr>
            <w:r>
              <w:rPr>
                <w:rFonts w:ascii="Arial" w:cs="Arial" w:eastAsia="Arial" w:hAnsi="Arial"/>
                <w:sz w:val="16"/>
                <w:szCs w:val="16"/>
                <w:color w:val="auto"/>
              </w:rPr>
              <w:t>91</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540" w:type="dxa"/>
            <w:vAlign w:val="bottom"/>
            <w:tcBorders>
              <w:bottom w:val="single" w:sz="8" w:color="9A9A9A"/>
            </w:tcBorders>
          </w:tcPr>
          <w:p>
            <w:pPr>
              <w:spacing w:after="0"/>
              <w:rPr>
                <w:sz w:val="11"/>
                <w:szCs w:val="11"/>
                <w:color w:val="auto"/>
              </w:rPr>
            </w:pPr>
          </w:p>
        </w:tc>
        <w:tc>
          <w:tcPr>
            <w:tcW w:w="366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54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8" w:right="1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0"/>
        </w:trPr>
        <w:tc>
          <w:tcPr>
            <w:tcW w:w="5200" w:type="dxa"/>
            <w:vAlign w:val="bottom"/>
          </w:tcPr>
          <w:p>
            <w:pPr>
              <w:ind w:left="560"/>
              <w:spacing w:after="0"/>
              <w:rPr>
                <w:sz w:val="20"/>
                <w:szCs w:val="20"/>
                <w:color w:val="auto"/>
              </w:rPr>
            </w:pPr>
            <w:r>
              <w:rPr>
                <w:rFonts w:ascii="Arial" w:cs="Arial" w:eastAsia="Arial" w:hAnsi="Arial"/>
                <w:sz w:val="16"/>
                <w:szCs w:val="16"/>
                <w:color w:val="auto"/>
                <w:w w:val="92"/>
              </w:rPr>
              <w:t>Amount recognized in balance sheet consists of (dollars in thousands):</w:t>
            </w: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50"/>
        </w:trPr>
        <w:tc>
          <w:tcPr>
            <w:tcW w:w="5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At December 31, 2013</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0"/>
              </w:rPr>
              <w:t>At December 31, 2012</w:t>
            </w:r>
          </w:p>
        </w:tc>
      </w:tr>
      <w:tr>
        <w:trPr>
          <w:trHeight w:val="175"/>
        </w:trPr>
        <w:tc>
          <w:tcPr>
            <w:tcW w:w="5200" w:type="dxa"/>
            <w:vAlign w:val="bottom"/>
          </w:tcPr>
          <w:p>
            <w:pPr>
              <w:spacing w:after="0" w:line="175" w:lineRule="exact"/>
              <w:rPr>
                <w:sz w:val="20"/>
                <w:szCs w:val="20"/>
                <w:color w:val="auto"/>
              </w:rPr>
            </w:pPr>
            <w:r>
              <w:rPr>
                <w:rFonts w:ascii="Arial" w:cs="Arial" w:eastAsia="Arial" w:hAnsi="Arial"/>
                <w:sz w:val="16"/>
                <w:szCs w:val="16"/>
                <w:color w:val="auto"/>
              </w:rPr>
              <w:t>Current liabilities</w:t>
            </w:r>
          </w:p>
        </w:tc>
        <w:tc>
          <w:tcPr>
            <w:tcW w:w="3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15</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2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r>
      <w:tr>
        <w:trPr>
          <w:trHeight w:val="200"/>
        </w:trPr>
        <w:tc>
          <w:tcPr>
            <w:tcW w:w="52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360" w:type="dxa"/>
            <w:vAlign w:val="bottom"/>
          </w:tcPr>
          <w:p>
            <w:pPr>
              <w:spacing w:after="0"/>
              <w:rPr>
                <w:sz w:val="17"/>
                <w:szCs w:val="17"/>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7,383</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5,930</w:t>
            </w:r>
          </w:p>
        </w:tc>
      </w:tr>
    </w:tbl>
    <w:p>
      <w:pPr>
        <w:spacing w:after="0" w:line="3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Items not yet recognized as a component of net periodic pension cost consist of (dollars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At December 31, 2013</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0"/>
              </w:rPr>
              <w:t>At December 31, 2012</w:t>
            </w:r>
          </w:p>
        </w:tc>
      </w:tr>
      <w:tr>
        <w:trPr>
          <w:trHeight w:val="175"/>
        </w:trPr>
        <w:tc>
          <w:tcPr>
            <w:tcW w:w="3940" w:type="dxa"/>
            <w:vAlign w:val="bottom"/>
          </w:tcPr>
          <w:p>
            <w:pPr>
              <w:spacing w:after="0" w:line="175" w:lineRule="exact"/>
              <w:rPr>
                <w:sz w:val="20"/>
                <w:szCs w:val="20"/>
                <w:color w:val="auto"/>
              </w:rPr>
            </w:pPr>
            <w:r>
              <w:rPr>
                <w:rFonts w:ascii="Arial" w:cs="Arial" w:eastAsia="Arial" w:hAnsi="Arial"/>
                <w:sz w:val="16"/>
                <w:szCs w:val="16"/>
                <w:color w:val="auto"/>
              </w:rPr>
              <w:t>Unamortized actuarial loss</w:t>
            </w:r>
          </w:p>
        </w:tc>
        <w:tc>
          <w:tcPr>
            <w:tcW w:w="16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3,166</w:t>
            </w:r>
          </w:p>
        </w:tc>
        <w:tc>
          <w:tcPr>
            <w:tcW w:w="2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20" w:type="dxa"/>
            <w:vAlign w:val="bottom"/>
          </w:tcPr>
          <w:p>
            <w:pPr>
              <w:jc w:val="right"/>
              <w:spacing w:after="0" w:line="175" w:lineRule="exact"/>
              <w:rPr>
                <w:sz w:val="20"/>
                <w:szCs w:val="20"/>
                <w:color w:val="auto"/>
              </w:rPr>
            </w:pPr>
            <w:r>
              <w:rPr>
                <w:rFonts w:ascii="Arial" w:cs="Arial" w:eastAsia="Arial" w:hAnsi="Arial"/>
                <w:sz w:val="16"/>
                <w:szCs w:val="16"/>
                <w:color w:val="auto"/>
              </w:rPr>
              <w:t>2,269</w:t>
            </w:r>
          </w:p>
        </w:tc>
      </w:tr>
      <w:tr>
        <w:trPr>
          <w:trHeight w:val="200"/>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Prior service costs</w:t>
            </w:r>
          </w:p>
        </w:tc>
        <w:tc>
          <w:tcPr>
            <w:tcW w:w="16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627</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r>
      <w:tr>
        <w:trPr>
          <w:trHeight w:val="192"/>
        </w:trPr>
        <w:tc>
          <w:tcPr>
            <w:tcW w:w="394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620" w:type="dxa"/>
            <w:vAlign w:val="bottom"/>
          </w:tcPr>
          <w:p>
            <w:pPr>
              <w:spacing w:after="0"/>
              <w:rPr>
                <w:sz w:val="16"/>
                <w:szCs w:val="16"/>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3,793</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83247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32475" cy="14605"/>
                    </a:xfrm>
                    <a:prstGeom prst="rect">
                      <a:avLst/>
                    </a:prstGeom>
                    <a:noFill/>
                  </pic:spPr>
                </pic:pic>
              </a:graphicData>
            </a:graphic>
          </wp:anchor>
        </w:drawing>
      </w:r>
    </w:p>
    <w:p>
      <w:pPr>
        <w:jc w:val="both"/>
        <w:ind w:firstLine="564"/>
        <w:spacing w:after="0" w:line="265" w:lineRule="auto"/>
        <w:rPr>
          <w:sz w:val="20"/>
          <w:szCs w:val="20"/>
          <w:color w:val="auto"/>
        </w:rPr>
      </w:pPr>
      <w:r>
        <w:rPr>
          <w:rFonts w:ascii="Arial" w:cs="Arial" w:eastAsia="Arial" w:hAnsi="Arial"/>
          <w:sz w:val="16"/>
          <w:szCs w:val="16"/>
          <w:color w:val="auto"/>
        </w:rPr>
        <w:t>The components of the net periodic benefit cost and other amounts recognized in other comprehensive income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202"/>
              <w:spacing w:after="0"/>
              <w:rPr>
                <w:sz w:val="20"/>
                <w:szCs w:val="20"/>
                <w:color w:val="auto"/>
              </w:rPr>
            </w:pPr>
            <w:r>
              <w:rPr>
                <w:rFonts w:ascii="Arial" w:cs="Arial" w:eastAsia="Arial" w:hAnsi="Arial"/>
                <w:sz w:val="16"/>
                <w:szCs w:val="16"/>
                <w:b w:val="1"/>
                <w:bCs w:val="1"/>
                <w:color w:val="auto"/>
                <w:w w:val="94"/>
              </w:rPr>
              <w:t>For the year ending</w:t>
            </w:r>
          </w:p>
        </w:tc>
        <w:tc>
          <w:tcPr>
            <w:tcW w:w="280" w:type="dxa"/>
            <w:vAlign w:val="bottom"/>
          </w:tcPr>
          <w:p>
            <w:pPr>
              <w:spacing w:after="0"/>
              <w:rPr>
                <w:sz w:val="16"/>
                <w:szCs w:val="16"/>
                <w:color w:val="auto"/>
              </w:rPr>
            </w:pPr>
          </w:p>
        </w:tc>
        <w:tc>
          <w:tcPr>
            <w:tcW w:w="1600" w:type="dxa"/>
            <w:vAlign w:val="bottom"/>
          </w:tcPr>
          <w:p>
            <w:pPr>
              <w:jc w:val="right"/>
              <w:ind w:right="102"/>
              <w:spacing w:after="0"/>
              <w:rPr>
                <w:sz w:val="20"/>
                <w:szCs w:val="20"/>
                <w:color w:val="auto"/>
              </w:rPr>
            </w:pPr>
            <w:r>
              <w:rPr>
                <w:rFonts w:ascii="Arial" w:cs="Arial" w:eastAsia="Arial" w:hAnsi="Arial"/>
                <w:sz w:val="16"/>
                <w:szCs w:val="16"/>
                <w:b w:val="1"/>
                <w:bCs w:val="1"/>
                <w:color w:val="auto"/>
                <w:w w:val="94"/>
              </w:rPr>
              <w:t>For the year ending</w:t>
            </w:r>
          </w:p>
        </w:tc>
      </w:tr>
      <w:tr>
        <w:trPr>
          <w:trHeight w:val="208"/>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periodic benefit cost</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4"/>
              </w:rPr>
              <w:t>December 31, 2013</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December 31, 2012</w:t>
            </w:r>
          </w:p>
        </w:tc>
      </w:tr>
      <w:tr>
        <w:trPr>
          <w:trHeight w:val="175"/>
        </w:trPr>
        <w:tc>
          <w:tcPr>
            <w:tcW w:w="5320" w:type="dxa"/>
            <w:vAlign w:val="bottom"/>
          </w:tcPr>
          <w:p>
            <w:pPr>
              <w:spacing w:after="0" w:line="175" w:lineRule="exact"/>
              <w:rPr>
                <w:sz w:val="20"/>
                <w:szCs w:val="20"/>
                <w:color w:val="auto"/>
              </w:rPr>
            </w:pPr>
            <w:r>
              <w:rPr>
                <w:rFonts w:ascii="Arial" w:cs="Arial" w:eastAsia="Arial" w:hAnsi="Arial"/>
                <w:sz w:val="16"/>
                <w:szCs w:val="16"/>
                <w:color w:val="auto"/>
              </w:rPr>
              <w:t>Interest cost</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62"/>
              <w:spacing w:after="0" w:line="175" w:lineRule="exact"/>
              <w:rPr>
                <w:sz w:val="20"/>
                <w:szCs w:val="20"/>
                <w:color w:val="auto"/>
              </w:rPr>
            </w:pPr>
            <w:r>
              <w:rPr>
                <w:rFonts w:ascii="Arial" w:cs="Arial" w:eastAsia="Arial" w:hAnsi="Arial"/>
                <w:sz w:val="16"/>
                <w:szCs w:val="16"/>
                <w:color w:val="auto"/>
              </w:rPr>
              <w:t>202</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600" w:type="dxa"/>
            <w:vAlign w:val="bottom"/>
          </w:tcPr>
          <w:p>
            <w:pPr>
              <w:jc w:val="right"/>
              <w:spacing w:after="0" w:line="175" w:lineRule="exact"/>
              <w:rPr>
                <w:sz w:val="20"/>
                <w:szCs w:val="20"/>
                <w:color w:val="auto"/>
              </w:rPr>
            </w:pPr>
            <w:r>
              <w:rPr>
                <w:rFonts w:ascii="Arial" w:cs="Arial" w:eastAsia="Arial" w:hAnsi="Arial"/>
                <w:sz w:val="16"/>
                <w:szCs w:val="16"/>
                <w:color w:val="auto"/>
              </w:rPr>
              <w:t>149</w:t>
            </w: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Amortization of prior service costs</w:t>
            </w:r>
          </w:p>
        </w:tc>
        <w:tc>
          <w:tcPr>
            <w:tcW w:w="280" w:type="dxa"/>
            <w:vAlign w:val="bottom"/>
          </w:tcPr>
          <w:p>
            <w:pPr>
              <w:spacing w:after="0"/>
              <w:rPr>
                <w:sz w:val="16"/>
                <w:szCs w:val="16"/>
                <w:color w:val="auto"/>
              </w:rPr>
            </w:pPr>
          </w:p>
        </w:tc>
        <w:tc>
          <w:tcPr>
            <w:tcW w:w="1700" w:type="dxa"/>
            <w:vAlign w:val="bottom"/>
          </w:tcPr>
          <w:p>
            <w:pPr>
              <w:jc w:val="right"/>
              <w:ind w:right="62"/>
              <w:spacing w:after="0"/>
              <w:rPr>
                <w:sz w:val="20"/>
                <w:szCs w:val="20"/>
                <w:color w:val="auto"/>
              </w:rPr>
            </w:pPr>
            <w:r>
              <w:rPr>
                <w:rFonts w:ascii="Arial" w:cs="Arial" w:eastAsia="Arial" w:hAnsi="Arial"/>
                <w:sz w:val="16"/>
                <w:szCs w:val="16"/>
                <w:color w:val="auto"/>
              </w:rPr>
              <w:t>304</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00"/>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of net gain</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356</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53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Net periodic benefit cost</w:t>
            </w:r>
          </w:p>
        </w:tc>
        <w:tc>
          <w:tcPr>
            <w:tcW w:w="2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862</w:t>
            </w:r>
          </w:p>
        </w:tc>
        <w:tc>
          <w:tcPr>
            <w:tcW w:w="2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453</w:t>
            </w:r>
          </w:p>
        </w:tc>
      </w:tr>
      <w:tr>
        <w:trPr>
          <w:trHeight w:val="386"/>
        </w:trPr>
        <w:tc>
          <w:tcPr>
            <w:tcW w:w="5320" w:type="dxa"/>
            <w:vAlign w:val="bottom"/>
          </w:tcPr>
          <w:p>
            <w:pPr>
              <w:spacing w:after="0"/>
              <w:rPr>
                <w:sz w:val="20"/>
                <w:szCs w:val="20"/>
                <w:color w:val="auto"/>
              </w:rPr>
            </w:pPr>
            <w:r>
              <w:rPr>
                <w:rFonts w:ascii="Arial" w:cs="Arial" w:eastAsia="Arial" w:hAnsi="Arial"/>
                <w:sz w:val="16"/>
                <w:szCs w:val="16"/>
                <w:b w:val="1"/>
                <w:bCs w:val="1"/>
                <w:color w:val="auto"/>
                <w:w w:val="95"/>
              </w:rPr>
              <w:t>Other changes in plan assets and benefit obligations recognized in other</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175"/>
        </w:trPr>
        <w:tc>
          <w:tcPr>
            <w:tcW w:w="5320" w:type="dxa"/>
            <w:vAlign w:val="bottom"/>
          </w:tcPr>
          <w:p>
            <w:pPr>
              <w:spacing w:after="0" w:line="175" w:lineRule="exact"/>
              <w:rPr>
                <w:sz w:val="20"/>
                <w:szCs w:val="20"/>
                <w:color w:val="auto"/>
              </w:rPr>
            </w:pPr>
            <w:r>
              <w:rPr>
                <w:rFonts w:ascii="Arial" w:cs="Arial" w:eastAsia="Arial" w:hAnsi="Arial"/>
                <w:sz w:val="16"/>
                <w:szCs w:val="16"/>
                <w:color w:val="auto"/>
              </w:rPr>
              <w:t>Net loss</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62"/>
              <w:spacing w:after="0" w:line="175" w:lineRule="exact"/>
              <w:rPr>
                <w:sz w:val="20"/>
                <w:szCs w:val="20"/>
                <w:color w:val="auto"/>
              </w:rPr>
            </w:pPr>
            <w:r>
              <w:rPr>
                <w:rFonts w:ascii="Arial" w:cs="Arial" w:eastAsia="Arial" w:hAnsi="Arial"/>
                <w:sz w:val="16"/>
                <w:szCs w:val="16"/>
                <w:color w:val="auto"/>
              </w:rPr>
              <w:t>1,253</w:t>
            </w:r>
          </w:p>
        </w:tc>
        <w:tc>
          <w:tcPr>
            <w:tcW w:w="2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600" w:type="dxa"/>
            <w:vAlign w:val="bottom"/>
          </w:tcPr>
          <w:p>
            <w:pPr>
              <w:jc w:val="right"/>
              <w:spacing w:after="0" w:line="175" w:lineRule="exact"/>
              <w:rPr>
                <w:sz w:val="20"/>
                <w:szCs w:val="20"/>
                <w:color w:val="auto"/>
              </w:rPr>
            </w:pPr>
            <w:r>
              <w:rPr>
                <w:rFonts w:ascii="Arial" w:cs="Arial" w:eastAsia="Arial" w:hAnsi="Arial"/>
                <w:sz w:val="16"/>
                <w:szCs w:val="16"/>
                <w:color w:val="auto"/>
              </w:rPr>
              <w:t>2,284</w:t>
            </w: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16"/>
                <w:szCs w:val="16"/>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(304)</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00"/>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of net loss</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(356)</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53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recognized in other comprehensive income</w:t>
            </w:r>
          </w:p>
        </w:tc>
        <w:tc>
          <w:tcPr>
            <w:tcW w:w="2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593</w:t>
            </w:r>
          </w:p>
        </w:tc>
        <w:tc>
          <w:tcPr>
            <w:tcW w:w="2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1,980</w:t>
            </w:r>
          </w:p>
        </w:tc>
      </w:tr>
      <w:tr>
        <w:trPr>
          <w:trHeight w:val="50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Total recognized in net periodic benefit cost and other comprehensive income</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1,455</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w:t>
            </w:r>
          </w:p>
        </w:tc>
      </w:tr>
    </w:tbl>
    <w:p>
      <w:pPr>
        <w:spacing w:after="0" w:line="14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estimated net loss and prior service cost for the defined benefit pension plan that will be amortized from accumulated other comprehensive income into net periodic benefit cost over the next fiscal year will be $356,000 and $304,000,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2" w:name="page93"/>
    <w:bookmarkEnd w:id="92"/>
    <w:p>
      <w:pPr>
        <w:ind w:left="560"/>
        <w:spacing w:after="0"/>
        <w:rPr>
          <w:sz w:val="20"/>
          <w:szCs w:val="20"/>
          <w:color w:val="auto"/>
        </w:rPr>
      </w:pPr>
      <w:r>
        <w:rPr>
          <w:rFonts w:ascii="Arial" w:cs="Arial" w:eastAsia="Arial" w:hAnsi="Arial"/>
          <w:sz w:val="13"/>
          <w:szCs w:val="13"/>
          <w:color w:val="auto"/>
        </w:rPr>
        <w:t>The following weighted average assumptions were used to determine the plan benefit obligations at December 31, 2013 and 2012:</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center"/>
              <w:ind w:left="1262"/>
              <w:spacing w:after="0"/>
              <w:rPr>
                <w:sz w:val="20"/>
                <w:szCs w:val="20"/>
                <w:color w:val="auto"/>
              </w:rPr>
            </w:pPr>
            <w:r>
              <w:rPr>
                <w:rFonts w:ascii="Arial" w:cs="Arial" w:eastAsia="Arial" w:hAnsi="Arial"/>
                <w:sz w:val="16"/>
                <w:szCs w:val="16"/>
                <w:b w:val="1"/>
                <w:bCs w:val="1"/>
                <w:color w:val="auto"/>
                <w:w w:val="89"/>
              </w:rPr>
              <w:t>2013</w:t>
            </w:r>
          </w:p>
        </w:tc>
        <w:tc>
          <w:tcPr>
            <w:tcW w:w="18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89"/>
              </w:rPr>
              <w:t>2012</w:t>
            </w:r>
          </w:p>
        </w:tc>
      </w:tr>
      <w:tr>
        <w:trPr>
          <w:trHeight w:val="175"/>
        </w:trPr>
        <w:tc>
          <w:tcPr>
            <w:tcW w:w="4040" w:type="dxa"/>
            <w:vAlign w:val="bottom"/>
          </w:tcPr>
          <w:p>
            <w:pPr>
              <w:spacing w:after="0" w:line="175" w:lineRule="exact"/>
              <w:rPr>
                <w:sz w:val="20"/>
                <w:szCs w:val="20"/>
                <w:color w:val="auto"/>
              </w:rPr>
            </w:pPr>
            <w:r>
              <w:rPr>
                <w:rFonts w:ascii="Arial" w:cs="Arial" w:eastAsia="Arial" w:hAnsi="Arial"/>
                <w:sz w:val="16"/>
                <w:szCs w:val="16"/>
                <w:color w:val="auto"/>
              </w:rPr>
              <w:t>Discount rate</w:t>
            </w:r>
          </w:p>
        </w:tc>
        <w:tc>
          <w:tcPr>
            <w:tcW w:w="3300" w:type="dxa"/>
            <w:vAlign w:val="bottom"/>
          </w:tcPr>
          <w:p>
            <w:pPr>
              <w:jc w:val="center"/>
              <w:ind w:left="1262"/>
              <w:spacing w:after="0" w:line="175" w:lineRule="exact"/>
              <w:rPr>
                <w:sz w:val="20"/>
                <w:szCs w:val="20"/>
                <w:color w:val="auto"/>
              </w:rPr>
            </w:pPr>
            <w:r>
              <w:rPr>
                <w:rFonts w:ascii="Arial" w:cs="Arial" w:eastAsia="Arial" w:hAnsi="Arial"/>
                <w:sz w:val="16"/>
                <w:szCs w:val="16"/>
                <w:color w:val="auto"/>
                <w:w w:val="88"/>
              </w:rPr>
              <w:t>4.25%</w:t>
            </w:r>
          </w:p>
        </w:tc>
        <w:tc>
          <w:tcPr>
            <w:tcW w:w="1840" w:type="dxa"/>
            <w:vAlign w:val="bottom"/>
          </w:tcPr>
          <w:p>
            <w:pPr>
              <w:jc w:val="center"/>
              <w:ind w:left="82"/>
              <w:spacing w:after="0" w:line="175" w:lineRule="exact"/>
              <w:rPr>
                <w:sz w:val="20"/>
                <w:szCs w:val="20"/>
                <w:color w:val="auto"/>
              </w:rPr>
            </w:pPr>
            <w:r>
              <w:rPr>
                <w:rFonts w:ascii="Arial" w:cs="Arial" w:eastAsia="Arial" w:hAnsi="Arial"/>
                <w:sz w:val="16"/>
                <w:szCs w:val="16"/>
                <w:color w:val="auto"/>
                <w:w w:val="88"/>
              </w:rPr>
              <w:t>3.40%</w:t>
            </w: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Rate of compensation increase</w:t>
            </w:r>
          </w:p>
        </w:tc>
        <w:tc>
          <w:tcPr>
            <w:tcW w:w="3300" w:type="dxa"/>
            <w:vAlign w:val="bottom"/>
          </w:tcPr>
          <w:p>
            <w:pPr>
              <w:jc w:val="center"/>
              <w:ind w:left="1262"/>
              <w:spacing w:after="0"/>
              <w:rPr>
                <w:sz w:val="20"/>
                <w:szCs w:val="20"/>
                <w:color w:val="auto"/>
              </w:rPr>
            </w:pPr>
            <w:r>
              <w:rPr>
                <w:rFonts w:ascii="Arial" w:cs="Arial" w:eastAsia="Arial" w:hAnsi="Arial"/>
                <w:sz w:val="16"/>
                <w:szCs w:val="16"/>
                <w:color w:val="auto"/>
                <w:w w:val="88"/>
              </w:rPr>
              <w:t>7.50%</w:t>
            </w:r>
          </w:p>
        </w:tc>
        <w:tc>
          <w:tcPr>
            <w:tcW w:w="1840" w:type="dxa"/>
            <w:vAlign w:val="bottom"/>
          </w:tcPr>
          <w:p>
            <w:pPr>
              <w:jc w:val="center"/>
              <w:ind w:left="82"/>
              <w:spacing w:after="0"/>
              <w:rPr>
                <w:sz w:val="20"/>
                <w:szCs w:val="20"/>
                <w:color w:val="auto"/>
              </w:rPr>
            </w:pPr>
            <w:r>
              <w:rPr>
                <w:rFonts w:ascii="Arial" w:cs="Arial" w:eastAsia="Arial" w:hAnsi="Arial"/>
                <w:sz w:val="16"/>
                <w:szCs w:val="16"/>
                <w:color w:val="auto"/>
                <w:w w:val="88"/>
              </w:rPr>
              <w:t>3.50%</w:t>
            </w:r>
          </w:p>
        </w:tc>
      </w:tr>
    </w:tbl>
    <w:p>
      <w:pPr>
        <w:spacing w:after="0" w:line="47"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following weighted-average assumptions were used to determine net periodic benefit cost for the year ended December 31, 2013 and 2012: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center"/>
              <w:ind w:left="942"/>
              <w:spacing w:after="0"/>
              <w:rPr>
                <w:sz w:val="20"/>
                <w:szCs w:val="20"/>
                <w:color w:val="auto"/>
              </w:rPr>
            </w:pPr>
            <w:r>
              <w:rPr>
                <w:rFonts w:ascii="Arial" w:cs="Arial" w:eastAsia="Arial" w:hAnsi="Arial"/>
                <w:sz w:val="16"/>
                <w:szCs w:val="16"/>
                <w:b w:val="1"/>
                <w:bCs w:val="1"/>
                <w:color w:val="auto"/>
                <w:w w:val="89"/>
              </w:rPr>
              <w:t>2013</w:t>
            </w:r>
          </w:p>
        </w:tc>
        <w:tc>
          <w:tcPr>
            <w:tcW w:w="18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89"/>
              </w:rPr>
              <w:t>2012</w:t>
            </w:r>
          </w:p>
        </w:tc>
      </w:tr>
      <w:tr>
        <w:trPr>
          <w:trHeight w:val="175"/>
        </w:trPr>
        <w:tc>
          <w:tcPr>
            <w:tcW w:w="4360" w:type="dxa"/>
            <w:vAlign w:val="bottom"/>
          </w:tcPr>
          <w:p>
            <w:pPr>
              <w:spacing w:after="0" w:line="175" w:lineRule="exact"/>
              <w:rPr>
                <w:sz w:val="20"/>
                <w:szCs w:val="20"/>
                <w:color w:val="auto"/>
              </w:rPr>
            </w:pPr>
            <w:r>
              <w:rPr>
                <w:rFonts w:ascii="Arial" w:cs="Arial" w:eastAsia="Arial" w:hAnsi="Arial"/>
                <w:sz w:val="16"/>
                <w:szCs w:val="16"/>
                <w:color w:val="auto"/>
              </w:rPr>
              <w:t>Discount rate</w:t>
            </w:r>
          </w:p>
        </w:tc>
        <w:tc>
          <w:tcPr>
            <w:tcW w:w="2980" w:type="dxa"/>
            <w:vAlign w:val="bottom"/>
          </w:tcPr>
          <w:p>
            <w:pPr>
              <w:jc w:val="center"/>
              <w:ind w:left="942"/>
              <w:spacing w:after="0" w:line="175" w:lineRule="exact"/>
              <w:rPr>
                <w:sz w:val="20"/>
                <w:szCs w:val="20"/>
                <w:color w:val="auto"/>
              </w:rPr>
            </w:pPr>
            <w:r>
              <w:rPr>
                <w:rFonts w:ascii="Arial" w:cs="Arial" w:eastAsia="Arial" w:hAnsi="Arial"/>
                <w:sz w:val="16"/>
                <w:szCs w:val="16"/>
                <w:color w:val="auto"/>
                <w:w w:val="88"/>
              </w:rPr>
              <w:t>3.40%</w:t>
            </w:r>
          </w:p>
        </w:tc>
        <w:tc>
          <w:tcPr>
            <w:tcW w:w="1840" w:type="dxa"/>
            <w:vAlign w:val="bottom"/>
          </w:tcPr>
          <w:p>
            <w:pPr>
              <w:jc w:val="center"/>
              <w:ind w:left="82"/>
              <w:spacing w:after="0" w:line="175" w:lineRule="exact"/>
              <w:rPr>
                <w:sz w:val="20"/>
                <w:szCs w:val="20"/>
                <w:color w:val="auto"/>
              </w:rPr>
            </w:pPr>
            <w:r>
              <w:rPr>
                <w:rFonts w:ascii="Arial" w:cs="Arial" w:eastAsia="Arial" w:hAnsi="Arial"/>
                <w:sz w:val="16"/>
                <w:szCs w:val="16"/>
                <w:color w:val="auto"/>
                <w:w w:val="88"/>
              </w:rPr>
              <w:t>4.25%</w:t>
            </w:r>
          </w:p>
        </w:tc>
      </w:tr>
      <w:tr>
        <w:trPr>
          <w:trHeight w:val="188"/>
        </w:trPr>
        <w:tc>
          <w:tcPr>
            <w:tcW w:w="4360" w:type="dxa"/>
            <w:vAlign w:val="bottom"/>
          </w:tcPr>
          <w:p>
            <w:pPr>
              <w:spacing w:after="0"/>
              <w:rPr>
                <w:sz w:val="20"/>
                <w:szCs w:val="20"/>
                <w:color w:val="auto"/>
              </w:rPr>
            </w:pPr>
            <w:r>
              <w:rPr>
                <w:rFonts w:ascii="Arial" w:cs="Arial" w:eastAsia="Arial" w:hAnsi="Arial"/>
                <w:sz w:val="16"/>
                <w:szCs w:val="16"/>
                <w:color w:val="auto"/>
              </w:rPr>
              <w:t>Expected long-term return on plan assets</w:t>
            </w:r>
          </w:p>
        </w:tc>
        <w:tc>
          <w:tcPr>
            <w:tcW w:w="2980" w:type="dxa"/>
            <w:vAlign w:val="bottom"/>
          </w:tcPr>
          <w:p>
            <w:pPr>
              <w:jc w:val="center"/>
              <w:ind w:left="942"/>
              <w:spacing w:after="0"/>
              <w:rPr>
                <w:sz w:val="20"/>
                <w:szCs w:val="20"/>
                <w:color w:val="auto"/>
              </w:rPr>
            </w:pPr>
            <w:r>
              <w:rPr>
                <w:rFonts w:ascii="Arial" w:cs="Arial" w:eastAsia="Arial" w:hAnsi="Arial"/>
                <w:sz w:val="16"/>
                <w:szCs w:val="16"/>
                <w:color w:val="auto"/>
                <w:w w:val="88"/>
              </w:rPr>
              <w:t>0.00%</w:t>
            </w:r>
          </w:p>
        </w:tc>
        <w:tc>
          <w:tcPr>
            <w:tcW w:w="1840" w:type="dxa"/>
            <w:vAlign w:val="bottom"/>
          </w:tcPr>
          <w:p>
            <w:pPr>
              <w:jc w:val="center"/>
              <w:ind w:left="82"/>
              <w:spacing w:after="0"/>
              <w:rPr>
                <w:sz w:val="20"/>
                <w:szCs w:val="20"/>
                <w:color w:val="auto"/>
              </w:rPr>
            </w:pPr>
            <w:r>
              <w:rPr>
                <w:rFonts w:ascii="Arial" w:cs="Arial" w:eastAsia="Arial" w:hAnsi="Arial"/>
                <w:sz w:val="16"/>
                <w:szCs w:val="16"/>
                <w:color w:val="auto"/>
                <w:w w:val="88"/>
              </w:rPr>
              <w:t>0.00%</w:t>
            </w:r>
          </w:p>
        </w:tc>
      </w:tr>
      <w:tr>
        <w:trPr>
          <w:trHeight w:val="200"/>
        </w:trPr>
        <w:tc>
          <w:tcPr>
            <w:tcW w:w="4360" w:type="dxa"/>
            <w:vAlign w:val="bottom"/>
          </w:tcPr>
          <w:p>
            <w:pPr>
              <w:spacing w:after="0"/>
              <w:rPr>
                <w:sz w:val="20"/>
                <w:szCs w:val="20"/>
                <w:color w:val="auto"/>
              </w:rPr>
            </w:pPr>
            <w:r>
              <w:rPr>
                <w:rFonts w:ascii="Arial" w:cs="Arial" w:eastAsia="Arial" w:hAnsi="Arial"/>
                <w:sz w:val="16"/>
                <w:szCs w:val="16"/>
                <w:color w:val="auto"/>
              </w:rPr>
              <w:t>Rate of compensation increase</w:t>
            </w:r>
          </w:p>
        </w:tc>
        <w:tc>
          <w:tcPr>
            <w:tcW w:w="2980" w:type="dxa"/>
            <w:vAlign w:val="bottom"/>
          </w:tcPr>
          <w:p>
            <w:pPr>
              <w:jc w:val="center"/>
              <w:ind w:left="942"/>
              <w:spacing w:after="0"/>
              <w:rPr>
                <w:sz w:val="20"/>
                <w:szCs w:val="20"/>
                <w:color w:val="auto"/>
              </w:rPr>
            </w:pPr>
            <w:r>
              <w:rPr>
                <w:rFonts w:ascii="Arial" w:cs="Arial" w:eastAsia="Arial" w:hAnsi="Arial"/>
                <w:sz w:val="16"/>
                <w:szCs w:val="16"/>
                <w:color w:val="auto"/>
                <w:w w:val="88"/>
              </w:rPr>
              <w:t>3.50%</w:t>
            </w:r>
          </w:p>
        </w:tc>
        <w:tc>
          <w:tcPr>
            <w:tcW w:w="1840" w:type="dxa"/>
            <w:vAlign w:val="bottom"/>
          </w:tcPr>
          <w:p>
            <w:pPr>
              <w:jc w:val="center"/>
              <w:ind w:left="82"/>
              <w:spacing w:after="0"/>
              <w:rPr>
                <w:sz w:val="20"/>
                <w:szCs w:val="20"/>
                <w:color w:val="auto"/>
              </w:rPr>
            </w:pPr>
            <w:r>
              <w:rPr>
                <w:rFonts w:ascii="Arial" w:cs="Arial" w:eastAsia="Arial" w:hAnsi="Arial"/>
                <w:sz w:val="16"/>
                <w:szCs w:val="16"/>
                <w:color w:val="auto"/>
                <w:w w:val="88"/>
              </w:rPr>
              <w:t>3.50%</w:t>
            </w:r>
          </w:p>
        </w:tc>
      </w:tr>
    </w:tbl>
    <w:p>
      <w:pPr>
        <w:spacing w:after="0"/>
        <w:rPr>
          <w:sz w:val="20"/>
          <w:szCs w:val="20"/>
          <w:color w:val="auto"/>
        </w:rPr>
      </w:pPr>
      <w:r>
        <w:rPr>
          <w:rFonts w:ascii="Arial" w:cs="Arial" w:eastAsia="Arial" w:hAnsi="Arial"/>
          <w:sz w:val="16"/>
          <w:szCs w:val="16"/>
          <w:u w:val="single" w:color="auto"/>
          <w:color w:val="auto"/>
        </w:rPr>
        <w:t>Other Pension Liabilities</w:t>
      </w:r>
    </w:p>
    <w:p>
      <w:pPr>
        <w:spacing w:after="0" w:line="157"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In addition to the aforementioned SERP, we have defined contribution pension plans for selected current and former executives of our corporation resulting in a pension liability of $1.1 million and $1.0 million at December 31, 2013 and 2012, respectively. These pensions accrued $95,000 and $204,000 of pension expense for the years ended December 31, 2013 and 2012, respectively.</w:t>
      </w:r>
    </w:p>
    <w:p>
      <w:pPr>
        <w:spacing w:after="0" w:line="125"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benefit payments for all of our pensions, which reflect expected future service, as appropriate, are expected to be paid over the following periods (dollars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Pension Payments</w:t>
            </w:r>
          </w:p>
        </w:tc>
      </w:tr>
      <w:tr>
        <w:trPr>
          <w:trHeight w:val="175"/>
        </w:trPr>
        <w:tc>
          <w:tcPr>
            <w:tcW w:w="4460" w:type="dxa"/>
            <w:vAlign w:val="bottom"/>
          </w:tcPr>
          <w:p>
            <w:pPr>
              <w:spacing w:after="0" w:line="175" w:lineRule="exact"/>
              <w:rPr>
                <w:sz w:val="20"/>
                <w:szCs w:val="20"/>
                <w:color w:val="auto"/>
              </w:rPr>
            </w:pPr>
            <w:r>
              <w:rPr>
                <w:rFonts w:ascii="Arial" w:cs="Arial" w:eastAsia="Arial" w:hAnsi="Arial"/>
                <w:sz w:val="16"/>
                <w:szCs w:val="16"/>
                <w:color w:val="auto"/>
              </w:rPr>
              <w:t>2014</w:t>
            </w:r>
          </w:p>
        </w:tc>
        <w:tc>
          <w:tcPr>
            <w:tcW w:w="31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2015</w:t>
            </w:r>
          </w:p>
        </w:tc>
        <w:tc>
          <w:tcPr>
            <w:tcW w:w="3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2016</w:t>
            </w:r>
          </w:p>
        </w:tc>
        <w:tc>
          <w:tcPr>
            <w:tcW w:w="3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2017</w:t>
            </w:r>
          </w:p>
        </w:tc>
        <w:tc>
          <w:tcPr>
            <w:tcW w:w="3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2018</w:t>
            </w:r>
          </w:p>
        </w:tc>
        <w:tc>
          <w:tcPr>
            <w:tcW w:w="3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7,191</w:t>
            </w:r>
          </w:p>
        </w:tc>
      </w:tr>
      <w:tr>
        <w:trPr>
          <w:trHeight w:val="184"/>
        </w:trPr>
        <w:tc>
          <w:tcPr>
            <w:tcW w:w="44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pension payments</w:t>
            </w:r>
          </w:p>
        </w:tc>
        <w:tc>
          <w:tcPr>
            <w:tcW w:w="316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8,527</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19 -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Unconsolidated Joint Venture Loans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following section describes any loans associated with our investments in unconsolidated joint ventures. As these investments are unconsolidated, any associated bank loans are not reflected in our Consolidated Balance Sheet at December 31, 2013. Each loan is without recourse to any assets other than our interests in the individual joint venture.</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Rialto Distribution. </w:t>
      </w:r>
      <w:r>
        <w:rPr>
          <w:rFonts w:ascii="Arial" w:cs="Arial" w:eastAsia="Arial" w:hAnsi="Arial"/>
          <w:sz w:val="16"/>
          <w:szCs w:val="16"/>
          <w:color w:val="auto"/>
        </w:rPr>
        <w:t>We are the 33.3% co-owners of the assets of Rialto Distribution. At December 31, 2013 and 2012, Rialto Distribution had a</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of $1.6 million (NZ$2.0 million) and $1.7 million (NZ$2.0 million), respectively, and had an outstanding balance of $634,000 (NZ $770,000) and $703,000 (NZ$850,000), respectively. This loan is guaranteed by one of our subsidiaries to the extent of our ownership percentage.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Audit/Litigation</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Internal Revenue Service (the “IRS”) has examined the tax return of Reading Entertainment Inc. (“RDGE”) for its tax years ended December 31, 1996 through December 31, 1999 and the tax return of Craig Corporation (“CRG”), a Nevada Corporation with no operating assets, for its tax year ended June 30, 1997. These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93" w:name="page94"/>
    <w:bookmarkEnd w:id="93"/>
    <w:p>
      <w:pPr>
        <w:jc w:val="both"/>
        <w:spacing w:after="0" w:line="265" w:lineRule="auto"/>
        <w:rPr>
          <w:sz w:val="20"/>
          <w:szCs w:val="20"/>
          <w:color w:val="auto"/>
        </w:rPr>
      </w:pPr>
      <w:r>
        <w:rPr>
          <w:rFonts w:ascii="Arial" w:cs="Arial" w:eastAsia="Arial" w:hAnsi="Arial"/>
          <w:sz w:val="16"/>
          <w:szCs w:val="16"/>
          <w:color w:val="auto"/>
        </w:rPr>
        <w:t>companies are both now wholly owned subsidiaries of the Company, but for the time periods under audit, were not consolidated with the Company for tax purposes.</w:t>
      </w:r>
    </w:p>
    <w:p>
      <w:pPr>
        <w:spacing w:after="0" w:line="13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2013 and 2012, after the payments made during 2013 and 2012, respectively, the remaining federal tax obligation was $8.3 million and $10.0 million, respectively, in tax and interest. Of the $8.3 million owed under the installment agreement as of December 31, 2013, $3.5 million was recorded as current taxes payable, with the remaining balance being recorded as non-current tax liability. Of the $10.0 million owed under the installment agreement as of December 31, 2012, $3.5 million was recorded as current taxes payable, with the remaining balance being recorded as non-current tax liability.</w:t>
      </w:r>
    </w:p>
    <w:p>
      <w:pPr>
        <w:spacing w:after="0" w:line="125"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impact of the settlement upon the state taxes of the Reading consolidated group, if the adjustment to income agreed with the IRS were reflected on state returns, would be an obligation of approximately $1.4 million in tax plus interest and potential penalty. As of December 31, 2013, no deficiency has been asserted by the State of California, and we have made no final decision as to the course of action to be followed when a deficiency is asserted.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Environmental and Asbestos Claims</w:t>
      </w:r>
    </w:p>
    <w:p>
      <w:pPr>
        <w:spacing w:after="0" w:line="168"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134"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2013, we estimate that the total site preparation costs associated with the removal of this contaminated soil will be $15.2 million (AUS$17.1 million) and as of that date we had incurred a total of $7.4 million (AUS$8.3 million) of these costs. We do not believe that this has added materially to the overall development cost of the site, as it is anticipated that all of the work will be done in connection with the excavation and other development activity already contemplated for the property.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auto"/>
        </w:rPr>
        <w:t>Note 20 – Noncontrolling interests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2013, the noncontrolling interests in our consolidated subsidiaries are comprised of the following:</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25% noncontrolling interest in Australian Country Cinemas by 21st Century Pty, Ltd;</w:t>
      </w:r>
    </w:p>
    <w:p>
      <w:pPr>
        <w:spacing w:after="0" w:line="16" w:lineRule="exact"/>
        <w:rPr>
          <w:sz w:val="20"/>
          <w:szCs w:val="20"/>
          <w:color w:val="auto"/>
        </w:rPr>
      </w:pPr>
    </w:p>
    <w:p>
      <w:pPr>
        <w:ind w:left="280" w:right="1200"/>
        <w:spacing w:after="0" w:line="282" w:lineRule="auto"/>
        <w:rPr>
          <w:sz w:val="20"/>
          <w:szCs w:val="20"/>
          <w:color w:val="auto"/>
        </w:rPr>
      </w:pPr>
      <w:r>
        <w:rPr>
          <w:rFonts w:ascii="Arial" w:cs="Arial" w:eastAsia="Arial" w:hAnsi="Arial"/>
          <w:sz w:val="15"/>
          <w:szCs w:val="15"/>
          <w:color w:val="auto"/>
        </w:rPr>
        <w:t>·50% noncontrolling membership interest in Shadow View Land and Farming, LLC owned by Mr. James J. Cotter, Sr.; and ·25% noncontrolling interest in the Sutton Hill Properties, LLC owned by Sutton Hill Capital, LLC.</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noncontrolling interest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07"/>
        </w:trPr>
        <w:tc>
          <w:tcPr>
            <w:tcW w:w="45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2012</w:t>
            </w:r>
          </w:p>
        </w:tc>
      </w:tr>
      <w:tr>
        <w:trPr>
          <w:trHeight w:val="222"/>
        </w:trPr>
        <w:tc>
          <w:tcPr>
            <w:tcW w:w="4560" w:type="dxa"/>
            <w:vAlign w:val="bottom"/>
          </w:tcPr>
          <w:p>
            <w:pPr>
              <w:spacing w:after="0"/>
              <w:rPr>
                <w:sz w:val="20"/>
                <w:szCs w:val="20"/>
                <w:color w:val="auto"/>
              </w:rPr>
            </w:pPr>
            <w:r>
              <w:rPr>
                <w:rFonts w:ascii="Arial" w:cs="Arial" w:eastAsia="Arial" w:hAnsi="Arial"/>
                <w:sz w:val="16"/>
                <w:szCs w:val="16"/>
                <w:color w:val="auto"/>
              </w:rPr>
              <w:t>AFC LLC</w:t>
            </w:r>
          </w:p>
        </w:tc>
        <w:tc>
          <w:tcPr>
            <w:tcW w:w="234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35"/>
        </w:trPr>
        <w:tc>
          <w:tcPr>
            <w:tcW w:w="4560" w:type="dxa"/>
            <w:vAlign w:val="bottom"/>
          </w:tcPr>
          <w:p>
            <w:pPr>
              <w:spacing w:after="0"/>
              <w:rPr>
                <w:sz w:val="20"/>
                <w:szCs w:val="20"/>
                <w:color w:val="auto"/>
              </w:rPr>
            </w:pPr>
            <w:r>
              <w:rPr>
                <w:rFonts w:ascii="Arial" w:cs="Arial" w:eastAsia="Arial" w:hAnsi="Arial"/>
                <w:sz w:val="16"/>
                <w:szCs w:val="16"/>
                <w:color w:val="auto"/>
              </w:rPr>
              <w:t>Australian Country Cinemas</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532</w:t>
            </w: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35"/>
        </w:trPr>
        <w:tc>
          <w:tcPr>
            <w:tcW w:w="4560" w:type="dxa"/>
            <w:vAlign w:val="bottom"/>
          </w:tcPr>
          <w:p>
            <w:pPr>
              <w:spacing w:after="0"/>
              <w:rPr>
                <w:sz w:val="20"/>
                <w:szCs w:val="20"/>
                <w:color w:val="auto"/>
              </w:rPr>
            </w:pPr>
            <w:r>
              <w:rPr>
                <w:rFonts w:ascii="Arial" w:cs="Arial" w:eastAsia="Arial" w:hAnsi="Arial"/>
                <w:sz w:val="16"/>
                <w:szCs w:val="16"/>
                <w:color w:val="auto"/>
              </w:rPr>
              <w:t>Shadow View Land and Farming, LLC</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1,862</w:t>
            </w: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1,912</w:t>
            </w:r>
          </w:p>
        </w:tc>
      </w:tr>
      <w:tr>
        <w:trPr>
          <w:trHeight w:val="235"/>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Sutton Hill Properties</w:t>
            </w:r>
          </w:p>
        </w:tc>
        <w:tc>
          <w:tcPr>
            <w:tcW w:w="1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2,213</w:t>
            </w: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interests in consolidated subsidiaries</w:t>
            </w:r>
          </w:p>
        </w:tc>
        <w:tc>
          <w:tcPr>
            <w:tcW w:w="234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4,607</w:t>
            </w:r>
          </w:p>
        </w:tc>
        <w:tc>
          <w:tcPr>
            <w:tcW w:w="6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components of income attributable to noncontrolling interests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4763"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3" cy="762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60" w:type="dxa"/>
            <w:vAlign w:val="bottom"/>
            <w:gridSpan w:val="4"/>
          </w:tcPr>
          <w:p>
            <w:pPr>
              <w:jc w:val="right"/>
              <w:ind w:right="102"/>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7"/>
                <w:szCs w:val="17"/>
                <w:color w:val="auto"/>
              </w:rPr>
            </w:pPr>
          </w:p>
        </w:tc>
      </w:tr>
      <w:tr>
        <w:trPr>
          <w:trHeight w:val="228"/>
        </w:trPr>
        <w:tc>
          <w:tcPr>
            <w:tcW w:w="4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2011</w:t>
            </w: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AFC LLC</w:t>
            </w:r>
          </w:p>
        </w:tc>
        <w:tc>
          <w:tcPr>
            <w:tcW w:w="188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2"/>
              <w:spacing w:after="0"/>
              <w:rPr>
                <w:sz w:val="20"/>
                <w:szCs w:val="20"/>
                <w:color w:val="auto"/>
              </w:rPr>
            </w:pPr>
            <w:r>
              <w:rPr>
                <w:rFonts w:ascii="Arial" w:cs="Arial" w:eastAsia="Arial" w:hAnsi="Arial"/>
                <w:sz w:val="16"/>
                <w:szCs w:val="16"/>
                <w:color w:val="auto"/>
              </w:rPr>
              <w:t>173</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612</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909</w:t>
            </w:r>
          </w:p>
        </w:tc>
      </w:tr>
      <w:tr>
        <w:trPr>
          <w:trHeight w:val="200"/>
        </w:trPr>
        <w:tc>
          <w:tcPr>
            <w:tcW w:w="4160" w:type="dxa"/>
            <w:vAlign w:val="bottom"/>
          </w:tcPr>
          <w:p>
            <w:pPr>
              <w:spacing w:after="0"/>
              <w:rPr>
                <w:sz w:val="20"/>
                <w:szCs w:val="20"/>
                <w:color w:val="auto"/>
              </w:rPr>
            </w:pPr>
            <w:r>
              <w:rPr>
                <w:rFonts w:ascii="Arial" w:cs="Arial" w:eastAsia="Arial" w:hAnsi="Arial"/>
                <w:sz w:val="16"/>
                <w:szCs w:val="16"/>
                <w:color w:val="auto"/>
              </w:rPr>
              <w:t>Australian Country Cinemas</w:t>
            </w:r>
          </w:p>
        </w:tc>
        <w:tc>
          <w:tcPr>
            <w:tcW w:w="1880" w:type="dxa"/>
            <w:vAlign w:val="bottom"/>
          </w:tcPr>
          <w:p>
            <w:pPr>
              <w:spacing w:after="0"/>
              <w:rPr>
                <w:sz w:val="17"/>
                <w:szCs w:val="17"/>
                <w:color w:val="auto"/>
              </w:rPr>
            </w:pPr>
          </w:p>
        </w:tc>
        <w:tc>
          <w:tcPr>
            <w:tcW w:w="480" w:type="dxa"/>
            <w:vAlign w:val="bottom"/>
          </w:tcPr>
          <w:p>
            <w:pPr>
              <w:jc w:val="right"/>
              <w:ind w:right="62"/>
              <w:spacing w:after="0"/>
              <w:rPr>
                <w:sz w:val="20"/>
                <w:szCs w:val="20"/>
                <w:color w:val="auto"/>
              </w:rPr>
            </w:pPr>
            <w:r>
              <w:rPr>
                <w:rFonts w:ascii="Arial" w:cs="Arial" w:eastAsia="Arial" w:hAnsi="Arial"/>
                <w:sz w:val="16"/>
                <w:szCs w:val="16"/>
                <w:color w:val="auto"/>
              </w:rPr>
              <w:t>129</w:t>
            </w:r>
          </w:p>
        </w:tc>
        <w:tc>
          <w:tcPr>
            <w:tcW w:w="3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00"/>
        </w:trPr>
        <w:tc>
          <w:tcPr>
            <w:tcW w:w="4160" w:type="dxa"/>
            <w:vAlign w:val="bottom"/>
          </w:tcPr>
          <w:p>
            <w:pPr>
              <w:spacing w:after="0"/>
              <w:rPr>
                <w:sz w:val="20"/>
                <w:szCs w:val="20"/>
                <w:color w:val="auto"/>
              </w:rPr>
            </w:pPr>
            <w:r>
              <w:rPr>
                <w:rFonts w:ascii="Arial" w:cs="Arial" w:eastAsia="Arial" w:hAnsi="Arial"/>
                <w:sz w:val="16"/>
                <w:szCs w:val="16"/>
                <w:color w:val="auto"/>
              </w:rPr>
              <w:t>Elsternwick unincorporated joint venture</w:t>
            </w:r>
          </w:p>
        </w:tc>
        <w:tc>
          <w:tcPr>
            <w:tcW w:w="1880" w:type="dxa"/>
            <w:vAlign w:val="bottom"/>
          </w:tcPr>
          <w:p>
            <w:pPr>
              <w:spacing w:after="0"/>
              <w:rPr>
                <w:sz w:val="17"/>
                <w:szCs w:val="17"/>
                <w:color w:val="auto"/>
              </w:rPr>
            </w:pPr>
          </w:p>
        </w:tc>
        <w:tc>
          <w:tcPr>
            <w:tcW w:w="4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0"/>
        </w:trPr>
        <w:tc>
          <w:tcPr>
            <w:tcW w:w="4160" w:type="dxa"/>
            <w:vAlign w:val="bottom"/>
          </w:tcPr>
          <w:p>
            <w:pPr>
              <w:spacing w:after="0"/>
              <w:rPr>
                <w:sz w:val="20"/>
                <w:szCs w:val="20"/>
                <w:color w:val="auto"/>
              </w:rPr>
            </w:pPr>
            <w:r>
              <w:rPr>
                <w:rFonts w:ascii="Arial" w:cs="Arial" w:eastAsia="Arial" w:hAnsi="Arial"/>
                <w:sz w:val="16"/>
                <w:szCs w:val="16"/>
                <w:color w:val="auto"/>
              </w:rPr>
              <w:t>Shadow View Land and Farming, LLC</w:t>
            </w:r>
          </w:p>
        </w:tc>
        <w:tc>
          <w:tcPr>
            <w:tcW w:w="1880" w:type="dxa"/>
            <w:vAlign w:val="bottom"/>
          </w:tcPr>
          <w:p>
            <w:pPr>
              <w:spacing w:after="0"/>
              <w:rPr>
                <w:sz w:val="17"/>
                <w:szCs w:val="17"/>
                <w:color w:val="auto"/>
              </w:rPr>
            </w:pP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(843)</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Sutton Hill Properties</w:t>
            </w:r>
          </w:p>
        </w:tc>
        <w:tc>
          <w:tcPr>
            <w:tcW w:w="1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6"/>
              </w:rPr>
              <w:t>(148)</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(347)</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184"/>
        </w:trPr>
        <w:tc>
          <w:tcPr>
            <w:tcW w:w="41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Net income attributable to noncontrolling interest</w:t>
            </w:r>
          </w:p>
        </w:tc>
        <w:tc>
          <w:tcPr>
            <w:tcW w:w="1880" w:type="dxa"/>
            <w:vAlign w:val="bottom"/>
            <w:tcBorders>
              <w:bottom w:val="single" w:sz="8" w:color="auto"/>
            </w:tcBorders>
          </w:tcPr>
          <w:p>
            <w:pPr>
              <w:jc w:val="right"/>
              <w:ind w:right="642"/>
              <w:spacing w:after="0" w:line="181"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104</w:t>
            </w:r>
          </w:p>
        </w:tc>
        <w:tc>
          <w:tcPr>
            <w:tcW w:w="38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(492)</w:t>
            </w:r>
          </w:p>
        </w:tc>
        <w:tc>
          <w:tcPr>
            <w:tcW w:w="4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AFC LLC Acquisition of Noncontrolling Interest</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On June 28, 2013, we acquired the interest in AFC LLC that we did not already own in consideration of the release of certain claims we held against the owner of that interest under a guaranty agreement. The removal of the AFC LLC noncontrolling interest balance of $101,000 was reflected as a change in our additional paid in capital pursuant to FASB ASC 810-10-45.</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Sutton Hill Properties</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 xml:space="preserve">On June 18, 2013, our co-investor, having a 25% interest in our Sutton Hill Properties subsidiary, contributed $2.25 million toward the payoff of our SHC Note 2 for $9.0 million resulting in a $2.25 million contribution of capital to Sutton Hill Properties (See Note 12 –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Payable</w:t>
      </w:r>
      <w:r>
        <w:rPr>
          <w:rFonts w:ascii="Arial" w:cs="Arial" w:eastAsia="Arial" w:hAnsi="Arial"/>
          <w:sz w:val="16"/>
          <w:szCs w:val="16"/>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Shadow View Land and Farming, LLC</w:t>
      </w:r>
    </w:p>
    <w:p>
      <w:pPr>
        <w:spacing w:after="0" w:line="168"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During the 2012, Mr. James J. Cotter, our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Mr. Cotter owns a 50% interest. We are the managing member of Shadow View Land and Farming, LLC. However, as Mr. Cotter is considered to be our controlling shareholder, pursuant to FASB ASC 810-10-05, we have consolidated Mr. Cotter’s interest in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87" w:right="1359" w:bottom="1440" w:gutter="0" w:footer="0" w:header="0"/>
        </w:sectPr>
      </w:pPr>
    </w:p>
    <w:bookmarkStart w:id="95" w:name="page96"/>
    <w:bookmarkEnd w:id="95"/>
    <w:p>
      <w:pPr>
        <w:jc w:val="both"/>
        <w:spacing w:after="0" w:line="265" w:lineRule="auto"/>
        <w:rPr>
          <w:sz w:val="20"/>
          <w:szCs w:val="20"/>
          <w:color w:val="auto"/>
        </w:rPr>
      </w:pPr>
      <w:r>
        <w:rPr>
          <w:rFonts w:ascii="Arial" w:cs="Arial" w:eastAsia="Arial" w:hAnsi="Arial"/>
          <w:sz w:val="16"/>
          <w:szCs w:val="16"/>
          <w:color w:val="auto"/>
        </w:rPr>
        <w:t xml:space="preserve">property and its expenses with that of our interest and shown his interest as a noncontrolling interest. Note 8 – </w:t>
      </w:r>
      <w:r>
        <w:rPr>
          <w:rFonts w:ascii="Arial" w:cs="Arial" w:eastAsia="Arial" w:hAnsi="Arial"/>
          <w:sz w:val="16"/>
          <w:szCs w:val="16"/>
          <w:i w:val="1"/>
          <w:iCs w:val="1"/>
          <w:color w:val="auto"/>
        </w:rPr>
        <w:t>Acquisitions, Disposals, and Assets</w:t>
      </w:r>
      <w:r>
        <w:rPr>
          <w:rFonts w:ascii="Arial" w:cs="Arial" w:eastAsia="Arial" w:hAnsi="Arial"/>
          <w:sz w:val="16"/>
          <w:szCs w:val="16"/>
          <w:color w:val="auto"/>
        </w:rPr>
        <w:t xml:space="preserve"> </w:t>
      </w:r>
      <w:r>
        <w:rPr>
          <w:rFonts w:ascii="Arial" w:cs="Arial" w:eastAsia="Arial" w:hAnsi="Arial"/>
          <w:sz w:val="16"/>
          <w:szCs w:val="16"/>
          <w:i w:val="1"/>
          <w:iCs w:val="1"/>
          <w:color w:val="auto"/>
        </w:rPr>
        <w:t>Held for Sale</w:t>
      </w:r>
      <w:r>
        <w:rPr>
          <w:rFonts w:ascii="Arial" w:cs="Arial" w:eastAsia="Arial" w:hAnsi="Arial"/>
          <w:sz w:val="16"/>
          <w:szCs w:val="16"/>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Elsternwick Sale</w:t>
      </w:r>
    </w:p>
    <w:p>
      <w:pPr>
        <w:spacing w:after="0" w:line="157"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On April 14, 2011, we sold our 66.7% share of the 5-screen Elsternwick Classic cinema located in Melbourne, Australia to our joint venture partner for $1.9 million (AUS$1.8 million) and recognized a gain on sale of a discontinued operation of $1.7 million (AUS$1.6 million).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21 – Total Reading International, Inc. Stockholders’ Equity</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Our common stock trades on the NASDAQ under the symbols RDI and RDIB which are our Class A (non-voting) and Class B (voting) stock, respectively. Our Class A (non-voting) has preference over our Class B (voting) shares upon liquidation. No dividends have ever been issued for either share class.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Common Stock Activity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2013, we issued 217,890 of Class A Stock to an executive employee associated with his prior years’ stock grants.</w:t>
      </w:r>
    </w:p>
    <w:p>
      <w:pPr>
        <w:spacing w:after="0" w:line="168"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62,500 options were exercised during 2013 having an intrinsic value of $133,000 for which we received $248,000 of cash. Additionally, 75,000 options were exercised during 2013 having an intrinsic value of $124,000 for which we did not receive any cash but the employee elected to exchange 53,136 personally owned shares of the company at a market price of $5.66 per share for the 75,000 shares based on an exercise price of $4.01 for the related options.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2012 Common Stock Activity</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During 2012, we issued 155,925 of Class A Stock to an executive employee associated with his prior years’ stock grant, and, during 2012, we issued 9,680 as a one-time stock grant of Class A Stock to our employees valued at $44,000 which we accounted for as compensation expense.</w:t>
      </w:r>
    </w:p>
    <w:p>
      <w:pPr>
        <w:spacing w:after="0" w:line="142"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95,000 options were exercised during 2012 having a realized value of $136,000 for which we received $308,000 of cash. Additionally, 41,000 options were exercised during 2012 having a realized value of $103,000 for which we did not receive any cash but the employee elected to receive the net incremental number of in-the-money shares of 15,822 based on a $4.01 and a market price of $6.53.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2011 Common Stock Activity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During 2011, we issued 174,825 of Class A Stock to certain executive employee associated with his prior years’ stock grants.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2011, we purchased 172,300 of Class A Stock on the open market for $747,000.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i w:val="1"/>
          <w:iCs w:val="1"/>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left="11"/>
              <w:spacing w:after="0"/>
              <w:rPr>
                <w:sz w:val="20"/>
                <w:szCs w:val="20"/>
                <w:color w:val="auto"/>
              </w:rPr>
            </w:pPr>
            <w:r>
              <w:rPr>
                <w:rFonts w:ascii="Arial" w:cs="Arial" w:eastAsia="Arial" w:hAnsi="Arial"/>
                <w:sz w:val="14"/>
                <w:szCs w:val="14"/>
                <w:b w:val="1"/>
                <w:bCs w:val="1"/>
                <w:color w:val="auto"/>
                <w:w w:val="92"/>
              </w:rPr>
              <w:t>Unrealized Gain</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left="31"/>
              <w:spacing w:after="0"/>
              <w:rPr>
                <w:sz w:val="20"/>
                <w:szCs w:val="20"/>
                <w:color w:val="auto"/>
              </w:rPr>
            </w:pPr>
            <w:r>
              <w:rPr>
                <w:rFonts w:ascii="Arial" w:cs="Arial" w:eastAsia="Arial" w:hAnsi="Arial"/>
                <w:sz w:val="14"/>
                <w:szCs w:val="14"/>
                <w:b w:val="1"/>
                <w:bCs w:val="1"/>
                <w:color w:val="auto"/>
                <w:w w:val="85"/>
              </w:rPr>
              <w:t>and Losses on</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Foreign</w:t>
            </w:r>
          </w:p>
        </w:tc>
        <w:tc>
          <w:tcPr>
            <w:tcW w:w="140" w:type="dxa"/>
            <w:vAlign w:val="bottom"/>
          </w:tcPr>
          <w:p>
            <w:pPr>
              <w:spacing w:after="0"/>
              <w:rPr>
                <w:sz w:val="15"/>
                <w:szCs w:val="15"/>
                <w:color w:val="auto"/>
              </w:rPr>
            </w:pPr>
          </w:p>
        </w:tc>
        <w:tc>
          <w:tcPr>
            <w:tcW w:w="1100" w:type="dxa"/>
            <w:vAlign w:val="bottom"/>
          </w:tcPr>
          <w:p>
            <w:pPr>
              <w:jc w:val="center"/>
              <w:ind w:left="11"/>
              <w:spacing w:after="0"/>
              <w:rPr>
                <w:sz w:val="20"/>
                <w:szCs w:val="20"/>
                <w:color w:val="auto"/>
              </w:rPr>
            </w:pPr>
            <w:r>
              <w:rPr>
                <w:rFonts w:ascii="Arial" w:cs="Arial" w:eastAsia="Arial" w:hAnsi="Arial"/>
                <w:sz w:val="14"/>
                <w:szCs w:val="14"/>
                <w:b w:val="1"/>
                <w:bCs w:val="1"/>
                <w:color w:val="auto"/>
                <w:w w:val="91"/>
              </w:rPr>
              <w:t>Available-for-</w:t>
            </w:r>
          </w:p>
        </w:tc>
        <w:tc>
          <w:tcPr>
            <w:tcW w:w="160" w:type="dxa"/>
            <w:vAlign w:val="bottom"/>
          </w:tcPr>
          <w:p>
            <w:pPr>
              <w:spacing w:after="0"/>
              <w:rPr>
                <w:sz w:val="15"/>
                <w:szCs w:val="15"/>
                <w:color w:val="auto"/>
              </w:rPr>
            </w:pPr>
          </w:p>
        </w:tc>
        <w:tc>
          <w:tcPr>
            <w:tcW w:w="1420" w:type="dxa"/>
            <w:vAlign w:val="bottom"/>
          </w:tcPr>
          <w:p>
            <w:pPr>
              <w:jc w:val="right"/>
              <w:ind w:right="270"/>
              <w:spacing w:after="0"/>
              <w:rPr>
                <w:sz w:val="20"/>
                <w:szCs w:val="20"/>
                <w:color w:val="auto"/>
              </w:rPr>
            </w:pPr>
            <w:r>
              <w:rPr>
                <w:rFonts w:ascii="Arial" w:cs="Arial" w:eastAsia="Arial" w:hAnsi="Arial"/>
                <w:sz w:val="14"/>
                <w:szCs w:val="14"/>
                <w:b w:val="1"/>
                <w:bCs w:val="1"/>
                <w:color w:val="auto"/>
                <w:w w:val="92"/>
              </w:rPr>
              <w:t>Accrued Pension</w:t>
            </w:r>
          </w:p>
        </w:tc>
        <w:tc>
          <w:tcPr>
            <w:tcW w:w="900" w:type="dxa"/>
            <w:vAlign w:val="bottom"/>
          </w:tcPr>
          <w:p>
            <w:pPr>
              <w:spacing w:after="0"/>
              <w:rPr>
                <w:sz w:val="15"/>
                <w:szCs w:val="15"/>
                <w:color w:val="auto"/>
              </w:rPr>
            </w:pPr>
          </w:p>
        </w:tc>
      </w:tr>
      <w:tr>
        <w:trPr>
          <w:trHeight w:val="192"/>
        </w:trPr>
        <w:tc>
          <w:tcPr>
            <w:tcW w:w="3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Currenecy Items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9"/>
              </w:rPr>
              <w:t>Sale Investments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Service Costs</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180"/>
        </w:trPr>
        <w:tc>
          <w:tcPr>
            <w:tcW w:w="3460" w:type="dxa"/>
            <w:vAlign w:val="bottom"/>
          </w:tcPr>
          <w:p>
            <w:pPr>
              <w:spacing w:after="0"/>
              <w:rPr>
                <w:sz w:val="20"/>
                <w:szCs w:val="20"/>
                <w:color w:val="auto"/>
              </w:rPr>
            </w:pPr>
            <w:r>
              <w:rPr>
                <w:rFonts w:ascii="Arial" w:cs="Arial" w:eastAsia="Arial" w:hAnsi="Arial"/>
                <w:sz w:val="14"/>
                <w:szCs w:val="14"/>
                <w:color w:val="auto"/>
              </w:rPr>
              <w:t>Beginning balance</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left="570"/>
              <w:spacing w:after="0"/>
              <w:rPr>
                <w:sz w:val="20"/>
                <w:szCs w:val="20"/>
                <w:color w:val="auto"/>
              </w:rPr>
            </w:pPr>
            <w:r>
              <w:rPr>
                <w:rFonts w:ascii="Arial" w:cs="Arial" w:eastAsia="Arial" w:hAnsi="Arial"/>
                <w:sz w:val="14"/>
                <w:szCs w:val="14"/>
                <w:color w:val="auto"/>
                <w:w w:val="93"/>
              </w:rPr>
              <w:t>64,558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ind w:left="1000"/>
              <w:spacing w:after="0"/>
              <w:rPr>
                <w:sz w:val="20"/>
                <w:szCs w:val="20"/>
                <w:color w:val="auto"/>
              </w:rPr>
            </w:pPr>
            <w:r>
              <w:rPr>
                <w:rFonts w:ascii="Arial" w:cs="Arial" w:eastAsia="Arial" w:hAnsi="Arial"/>
                <w:sz w:val="14"/>
                <w:szCs w:val="14"/>
                <w:color w:val="auto"/>
              </w:rPr>
              <w:t>9</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(3,200)$</w:t>
            </w:r>
          </w:p>
        </w:tc>
        <w:tc>
          <w:tcPr>
            <w:tcW w:w="900" w:type="dxa"/>
            <w:vAlign w:val="bottom"/>
          </w:tcPr>
          <w:p>
            <w:pPr>
              <w:jc w:val="center"/>
              <w:ind w:left="390"/>
              <w:spacing w:after="0"/>
              <w:rPr>
                <w:sz w:val="20"/>
                <w:szCs w:val="20"/>
                <w:color w:val="auto"/>
              </w:rPr>
            </w:pPr>
            <w:r>
              <w:rPr>
                <w:rFonts w:ascii="Arial" w:cs="Arial" w:eastAsia="Arial" w:hAnsi="Arial"/>
                <w:sz w:val="14"/>
                <w:szCs w:val="14"/>
                <w:color w:val="auto"/>
                <w:w w:val="93"/>
              </w:rPr>
              <w:t>61,369</w:t>
            </w:r>
          </w:p>
        </w:tc>
      </w:tr>
      <w:tr>
        <w:trPr>
          <w:trHeight w:val="182"/>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current-period other comprehensive income</w:t>
            </w: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1"/>
              </w:rPr>
              <w:t>(19,259)</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020"/>
              <w:spacing w:after="0"/>
              <w:rPr>
                <w:sz w:val="20"/>
                <w:szCs w:val="20"/>
                <w:color w:val="auto"/>
              </w:rPr>
            </w:pPr>
            <w:r>
              <w:rPr>
                <w:rFonts w:ascii="Arial" w:cs="Arial" w:eastAsia="Arial" w:hAnsi="Arial"/>
                <w:sz w:val="12"/>
                <w:szCs w:val="12"/>
                <w:color w:val="auto"/>
                <w:w w:val="74"/>
              </w:rPr>
              <w:t>--</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(593)</w:t>
            </w:r>
          </w:p>
        </w:tc>
        <w:tc>
          <w:tcPr>
            <w:tcW w:w="900" w:type="dxa"/>
            <w:vAlign w:val="bottom"/>
            <w:tcBorders>
              <w:bottom w:val="single" w:sz="8" w:color="auto"/>
            </w:tcBorders>
          </w:tcPr>
          <w:p>
            <w:pPr>
              <w:jc w:val="center"/>
              <w:ind w:left="350"/>
              <w:spacing w:after="0"/>
              <w:rPr>
                <w:sz w:val="20"/>
                <w:szCs w:val="20"/>
                <w:color w:val="auto"/>
              </w:rPr>
            </w:pPr>
            <w:r>
              <w:rPr>
                <w:rFonts w:ascii="Arial" w:cs="Arial" w:eastAsia="Arial" w:hAnsi="Arial"/>
                <w:sz w:val="14"/>
                <w:szCs w:val="14"/>
                <w:color w:val="auto"/>
                <w:w w:val="91"/>
              </w:rPr>
              <w:t>(19,854)</w:t>
            </w:r>
          </w:p>
        </w:tc>
      </w:tr>
      <w:tr>
        <w:trPr>
          <w:trHeight w:val="197"/>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Ending balance</w:t>
            </w: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3"/>
              </w:rPr>
              <w:t>45,299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(3,793)</w:t>
            </w:r>
          </w:p>
        </w:tc>
        <w:tc>
          <w:tcPr>
            <w:tcW w:w="900" w:type="dxa"/>
            <w:vAlign w:val="bottom"/>
            <w:tcBorders>
              <w:bottom w:val="single" w:sz="8" w:color="auto"/>
            </w:tcBorders>
          </w:tcPr>
          <w:p>
            <w:pPr>
              <w:jc w:val="center"/>
              <w:ind w:left="390"/>
              <w:spacing w:after="0"/>
              <w:rPr>
                <w:sz w:val="20"/>
                <w:szCs w:val="20"/>
                <w:color w:val="auto"/>
              </w:rPr>
            </w:pPr>
            <w:r>
              <w:rPr>
                <w:rFonts w:ascii="Arial" w:cs="Arial" w:eastAsia="Arial" w:hAnsi="Arial"/>
                <w:sz w:val="14"/>
                <w:szCs w:val="14"/>
                <w:color w:val="auto"/>
                <w:w w:val="93"/>
              </w:rPr>
              <w:t>41,515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22 – Business Segments and Geographic Area Information</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table below sets forth certain information concerning our cinema operations and our real estate operations (which includes information relating to both our real estate development, retail rental and live theater rental activities) for the three years ended December 31, 2013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2013</w:t>
            </w:r>
          </w:p>
        </w:tc>
        <w:tc>
          <w:tcPr>
            <w:tcW w:w="2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Cinema Exhibition</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auto"/>
              </w:rPr>
              <w:t>Revenue</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239,418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(7,653)</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258,221</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200,859</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10,830</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(7,653)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204,036</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10,741</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4,023</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14,764</w:t>
            </w: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3,273</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w:t>
            </w:r>
          </w:p>
        </w:tc>
      </w:tr>
      <w:tr>
        <w:trPr>
          <w:trHeight w:val="174"/>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35,504</w:t>
            </w: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2012</w:t>
            </w:r>
          </w:p>
        </w:tc>
        <w:tc>
          <w:tcPr>
            <w:tcW w:w="2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Cinema Exhibition</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168"/>
        </w:trPr>
        <w:tc>
          <w:tcPr>
            <w:tcW w:w="3100" w:type="dxa"/>
            <w:vAlign w:val="bottom"/>
          </w:tcPr>
          <w:p>
            <w:pPr>
              <w:spacing w:after="0"/>
              <w:rPr>
                <w:sz w:val="20"/>
                <w:szCs w:val="20"/>
                <w:color w:val="auto"/>
              </w:rPr>
            </w:pPr>
            <w:r>
              <w:rPr>
                <w:rFonts w:ascii="Arial" w:cs="Arial" w:eastAsia="Arial" w:hAnsi="Arial"/>
                <w:sz w:val="14"/>
                <w:szCs w:val="14"/>
                <w:color w:val="auto"/>
              </w:rPr>
              <w:t>Revenue</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234,703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27,256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(7,529)</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254,430</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Operating expense</w:t>
            </w:r>
          </w:p>
        </w:tc>
        <w:tc>
          <w:tcPr>
            <w:tcW w:w="15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198,040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11,163</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(7,529)</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201,674</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11,154</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4,441</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15,595</w:t>
            </w:r>
          </w:p>
        </w:tc>
      </w:tr>
      <w:tr>
        <w:trPr>
          <w:trHeight w:val="176"/>
        </w:trPr>
        <w:tc>
          <w:tcPr>
            <w:tcW w:w="310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15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2,598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718</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Impairment expense</w:t>
            </w:r>
          </w:p>
        </w:tc>
        <w:tc>
          <w:tcPr>
            <w:tcW w:w="1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r>
      <w:tr>
        <w:trPr>
          <w:trHeight w:val="174"/>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22,911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32,382</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b w:val="1"/>
                <w:bCs w:val="1"/>
                <w:color w:val="auto"/>
                <w:w w:val="95"/>
              </w:rPr>
              <w:t>Intersegment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2"/>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2011</w:t>
            </w: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Cinema Exhibition</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168"/>
        </w:trPr>
        <w:tc>
          <w:tcPr>
            <w:tcW w:w="4020" w:type="dxa"/>
            <w:vAlign w:val="bottom"/>
          </w:tcPr>
          <w:p>
            <w:pPr>
              <w:spacing w:after="0"/>
              <w:rPr>
                <w:sz w:val="20"/>
                <w:szCs w:val="20"/>
                <w:color w:val="auto"/>
              </w:rPr>
            </w:pPr>
            <w:r>
              <w:rPr>
                <w:rFonts w:ascii="Arial" w:cs="Arial" w:eastAsia="Arial" w:hAnsi="Arial"/>
                <w:sz w:val="14"/>
                <w:szCs w:val="14"/>
                <w:color w:val="auto"/>
              </w:rPr>
              <w:t>Revenue</w:t>
            </w:r>
          </w:p>
        </w:tc>
        <w:tc>
          <w:tcPr>
            <w:tcW w:w="5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225,849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26,562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(7,432)</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244,979</w:t>
            </w:r>
          </w:p>
        </w:tc>
      </w:tr>
      <w:tr>
        <w:trPr>
          <w:trHeight w:val="176"/>
        </w:trPr>
        <w:tc>
          <w:tcPr>
            <w:tcW w:w="4020" w:type="dxa"/>
            <w:vAlign w:val="bottom"/>
          </w:tcPr>
          <w:p>
            <w:pPr>
              <w:spacing w:after="0"/>
              <w:rPr>
                <w:sz w:val="20"/>
                <w:szCs w:val="20"/>
                <w:color w:val="auto"/>
              </w:rPr>
            </w:pPr>
            <w:r>
              <w:rPr>
                <w:rFonts w:ascii="Arial" w:cs="Arial" w:eastAsia="Arial" w:hAnsi="Arial"/>
                <w:sz w:val="14"/>
                <w:szCs w:val="14"/>
                <w:color w:val="auto"/>
              </w:rPr>
              <w:t>Operating expense</w:t>
            </w:r>
          </w:p>
        </w:tc>
        <w:tc>
          <w:tcPr>
            <w:tcW w:w="58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189,647</w:t>
            </w: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10,190</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(7,432)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192,405</w:t>
            </w:r>
          </w:p>
        </w:tc>
      </w:tr>
      <w:tr>
        <w:trPr>
          <w:trHeight w:val="176"/>
        </w:trPr>
        <w:tc>
          <w:tcPr>
            <w:tcW w:w="40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11,842</w:t>
            </w: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4,444</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16,286</w:t>
            </w:r>
          </w:p>
        </w:tc>
      </w:tr>
      <w:tr>
        <w:trPr>
          <w:trHeight w:val="176"/>
        </w:trPr>
        <w:tc>
          <w:tcPr>
            <w:tcW w:w="4020" w:type="dxa"/>
            <w:vAlign w:val="bottom"/>
          </w:tcPr>
          <w:p>
            <w:pPr>
              <w:spacing w:after="0"/>
              <w:rPr>
                <w:sz w:val="20"/>
                <w:szCs w:val="20"/>
                <w:color w:val="auto"/>
              </w:rPr>
            </w:pPr>
            <w:r>
              <w:rPr>
                <w:rFonts w:ascii="Arial" w:cs="Arial" w:eastAsia="Arial" w:hAnsi="Arial"/>
                <w:sz w:val="14"/>
                <w:szCs w:val="14"/>
                <w:color w:val="auto"/>
              </w:rPr>
              <w:t>General and administrative expense</w:t>
            </w:r>
          </w:p>
        </w:tc>
        <w:tc>
          <w:tcPr>
            <w:tcW w:w="58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2,740</w:t>
            </w: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3,386</w:t>
            </w:r>
          </w:p>
        </w:tc>
      </w:tr>
      <w:tr>
        <w:trPr>
          <w:trHeight w:val="182"/>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Impairment expense</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369</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r>
      <w:tr>
        <w:trPr>
          <w:trHeight w:val="174"/>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operating income</w:t>
            </w: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21,620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10,913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32,533</w:t>
            </w:r>
          </w:p>
        </w:tc>
      </w:tr>
      <w:tr>
        <w:trPr>
          <w:trHeight w:val="258"/>
        </w:trPr>
        <w:tc>
          <w:tcPr>
            <w:tcW w:w="4020" w:type="dxa"/>
            <w:vAlign w:val="bottom"/>
          </w:tcPr>
          <w:p>
            <w:pPr>
              <w:spacing w:after="0"/>
              <w:rPr>
                <w:sz w:val="20"/>
                <w:szCs w:val="20"/>
                <w:color w:val="auto"/>
              </w:rPr>
            </w:pPr>
            <w:r>
              <w:rPr>
                <w:rFonts w:ascii="Arial" w:cs="Arial" w:eastAsia="Arial" w:hAnsi="Arial"/>
                <w:sz w:val="14"/>
                <w:szCs w:val="14"/>
                <w:b w:val="1"/>
                <w:bCs w:val="1"/>
                <w:color w:val="auto"/>
              </w:rPr>
              <w:t>Reconciliation to net income attributable</w:t>
            </w: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92"/>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 Reading International, Inc. shareholders:</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2011</w:t>
            </w:r>
          </w:p>
        </w:tc>
      </w:tr>
      <w:tr>
        <w:trPr>
          <w:trHeight w:val="168"/>
        </w:trPr>
        <w:tc>
          <w:tcPr>
            <w:tcW w:w="4020" w:type="dxa"/>
            <w:vAlign w:val="bottom"/>
          </w:tcPr>
          <w:p>
            <w:pPr>
              <w:spacing w:after="0"/>
              <w:rPr>
                <w:sz w:val="20"/>
                <w:szCs w:val="20"/>
                <w:color w:val="auto"/>
              </w:rPr>
            </w:pPr>
            <w:r>
              <w:rPr>
                <w:rFonts w:ascii="Arial" w:cs="Arial" w:eastAsia="Arial" w:hAnsi="Arial"/>
                <w:sz w:val="14"/>
                <w:szCs w:val="14"/>
                <w:color w:val="auto"/>
              </w:rPr>
              <w:t>Total segment operating income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35,504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32,382</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32,533</w:t>
            </w:r>
          </w:p>
        </w:tc>
      </w:tr>
      <w:tr>
        <w:trPr>
          <w:trHeight w:val="176"/>
        </w:trPr>
        <w:tc>
          <w:tcPr>
            <w:tcW w:w="4020" w:type="dxa"/>
            <w:vAlign w:val="bottom"/>
          </w:tcPr>
          <w:p>
            <w:pPr>
              <w:ind w:left="100"/>
              <w:spacing w:after="0"/>
              <w:rPr>
                <w:sz w:val="20"/>
                <w:szCs w:val="20"/>
                <w:color w:val="auto"/>
              </w:rPr>
            </w:pPr>
            <w:r>
              <w:rPr>
                <w:rFonts w:ascii="Arial" w:cs="Arial" w:eastAsia="Arial" w:hAnsi="Arial"/>
                <w:sz w:val="14"/>
                <w:szCs w:val="14"/>
                <w:color w:val="auto"/>
              </w:rPr>
              <w:t>Non-segment:</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02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433</w:t>
            </w:r>
          </w:p>
        </w:tc>
        <w:tc>
          <w:tcPr>
            <w:tcW w:w="18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454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182"/>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 expense</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14,136</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12,801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14,046</w:t>
            </w: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Operating income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20,935</w:t>
            </w:r>
          </w:p>
        </w:tc>
        <w:tc>
          <w:tcPr>
            <w:tcW w:w="180" w:type="dxa"/>
            <w:vAlign w:val="bottom"/>
          </w:tcPr>
          <w:p>
            <w:pPr>
              <w:spacing w:after="0"/>
              <w:rPr>
                <w:sz w:val="14"/>
                <w:szCs w:val="1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19,127</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18,178</w:t>
            </w:r>
          </w:p>
        </w:tc>
      </w:tr>
      <w:tr>
        <w:trPr>
          <w:trHeight w:val="176"/>
        </w:trPr>
        <w:tc>
          <w:tcPr>
            <w:tcW w:w="402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(10,037)</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(16,426)</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(21,038)</w:t>
            </w:r>
          </w:p>
        </w:tc>
      </w:tr>
      <w:tr>
        <w:trPr>
          <w:trHeight w:val="176"/>
        </w:trPr>
        <w:tc>
          <w:tcPr>
            <w:tcW w:w="4020" w:type="dxa"/>
            <w:vAlign w:val="bottom"/>
          </w:tcPr>
          <w:p>
            <w:pPr>
              <w:ind w:left="100"/>
              <w:spacing w:after="0"/>
              <w:rPr>
                <w:sz w:val="20"/>
                <w:szCs w:val="20"/>
                <w:color w:val="auto"/>
              </w:rPr>
            </w:pPr>
            <w:r>
              <w:rPr>
                <w:rFonts w:ascii="Arial" w:cs="Arial" w:eastAsia="Arial" w:hAnsi="Arial"/>
                <w:sz w:val="14"/>
                <w:szCs w:val="14"/>
                <w:color w:val="auto"/>
              </w:rPr>
              <w:t>Other income (loss)</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1,876</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1,157</w:t>
            </w:r>
          </w:p>
        </w:tc>
      </w:tr>
      <w:tr>
        <w:trPr>
          <w:trHeight w:val="176"/>
        </w:trPr>
        <w:tc>
          <w:tcPr>
            <w:tcW w:w="4020" w:type="dxa"/>
            <w:vAlign w:val="bottom"/>
          </w:tcPr>
          <w:p>
            <w:pPr>
              <w:ind w:left="100"/>
              <w:spacing w:after="0"/>
              <w:rPr>
                <w:sz w:val="20"/>
                <w:szCs w:val="20"/>
                <w:color w:val="auto"/>
              </w:rPr>
            </w:pPr>
            <w:r>
              <w:rPr>
                <w:rFonts w:ascii="Arial" w:cs="Arial" w:eastAsia="Arial" w:hAnsi="Arial"/>
                <w:sz w:val="14"/>
                <w:szCs w:val="14"/>
                <w:color w:val="auto"/>
              </w:rPr>
              <w:t>Gain (loss) on sale of assets</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144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4020" w:type="dxa"/>
            <w:vAlign w:val="bottom"/>
          </w:tcPr>
          <w:p>
            <w:pPr>
              <w:ind w:left="100"/>
              <w:spacing w:after="0"/>
              <w:rPr>
                <w:sz w:val="20"/>
                <w:szCs w:val="20"/>
                <w:color w:val="auto"/>
              </w:rPr>
            </w:pPr>
            <w:r>
              <w:rPr>
                <w:rFonts w:ascii="Arial" w:cs="Arial" w:eastAsia="Arial" w:hAnsi="Arial"/>
                <w:sz w:val="14"/>
                <w:szCs w:val="14"/>
                <w:color w:val="auto"/>
              </w:rPr>
              <w:t>Income tax benefit (expense)</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(4,942)</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(4,904)</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12,330</w:t>
            </w:r>
          </w:p>
        </w:tc>
      </w:tr>
      <w:tr>
        <w:trPr>
          <w:trHeight w:val="341"/>
        </w:trPr>
        <w:tc>
          <w:tcPr>
            <w:tcW w:w="4020" w:type="dxa"/>
            <w:vAlign w:val="bottom"/>
          </w:tcPr>
          <w:p>
            <w:pPr>
              <w:ind w:left="100"/>
              <w:spacing w:after="0"/>
              <w:rPr>
                <w:sz w:val="20"/>
                <w:szCs w:val="20"/>
                <w:color w:val="auto"/>
              </w:rPr>
            </w:pPr>
            <w:r>
              <w:rPr>
                <w:rFonts w:ascii="Arial" w:cs="Arial" w:eastAsia="Arial" w:hAnsi="Arial"/>
                <w:sz w:val="14"/>
                <w:szCs w:val="14"/>
                <w:color w:val="auto"/>
                <w:w w:val="94"/>
              </w:rPr>
              <w:t>Equity earnings (loss) of unconsolidated joint ventures and entities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1,369</w:t>
            </w:r>
          </w:p>
        </w:tc>
        <w:tc>
          <w:tcPr>
            <w:tcW w:w="18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1,621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(1,552)</w:t>
            </w: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Income (loss) from discontinued operations</w:t>
            </w:r>
          </w:p>
        </w:tc>
        <w:tc>
          <w:tcPr>
            <w:tcW w:w="1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82"/>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Gain (loss) on sale of discontinued operation</w:t>
            </w:r>
          </w:p>
        </w:tc>
        <w:tc>
          <w:tcPr>
            <w:tcW w:w="1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r>
      <w:tr>
        <w:trPr>
          <w:trHeight w:val="162"/>
        </w:trPr>
        <w:tc>
          <w:tcPr>
            <w:tcW w:w="4800" w:type="dxa"/>
            <w:vAlign w:val="bottom"/>
          </w:tcPr>
          <w:p>
            <w:pPr>
              <w:spacing w:after="0"/>
              <w:rPr>
                <w:sz w:val="20"/>
                <w:szCs w:val="20"/>
                <w:color w:val="auto"/>
              </w:rPr>
            </w:pPr>
            <w:r>
              <w:rPr>
                <w:rFonts w:ascii="Arial" w:cs="Arial" w:eastAsia="Arial" w:hAnsi="Arial"/>
                <w:sz w:val="14"/>
                <w:szCs w:val="14"/>
                <w:color w:val="auto"/>
              </w:rPr>
              <w:t>Net income (loss)</w:t>
            </w:r>
          </w:p>
        </w:tc>
        <w:tc>
          <w:tcPr>
            <w:tcW w:w="110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9,145</w:t>
            </w:r>
          </w:p>
        </w:tc>
        <w:tc>
          <w:tcPr>
            <w:tcW w:w="52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(1,406)</w:t>
            </w:r>
          </w:p>
        </w:tc>
        <w:tc>
          <w:tcPr>
            <w:tcW w:w="44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10,896</w:t>
            </w:r>
          </w:p>
        </w:tc>
      </w:tr>
      <w:tr>
        <w:trPr>
          <w:trHeight w:val="182"/>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(income) loss attributable to noncontrolling interests</w:t>
            </w:r>
          </w:p>
        </w:tc>
        <w:tc>
          <w:tcPr>
            <w:tcW w:w="1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492</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r>
      <w:tr>
        <w:trPr>
          <w:trHeight w:val="162"/>
        </w:trPr>
        <w:tc>
          <w:tcPr>
            <w:tcW w:w="4800" w:type="dxa"/>
            <w:vAlign w:val="bottom"/>
          </w:tcPr>
          <w:p>
            <w:pPr>
              <w:spacing w:after="0"/>
              <w:rPr>
                <w:sz w:val="20"/>
                <w:szCs w:val="20"/>
                <w:color w:val="auto"/>
              </w:rPr>
            </w:pPr>
            <w:r>
              <w:rPr>
                <w:rFonts w:ascii="Arial" w:cs="Arial" w:eastAsia="Arial" w:hAnsi="Arial"/>
                <w:sz w:val="14"/>
                <w:szCs w:val="14"/>
                <w:color w:val="auto"/>
              </w:rPr>
              <w:t>Net income (loss) attributable to Reading International, Inc. common</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8"/>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shareholders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9,041</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w:t>
            </w:r>
          </w:p>
        </w:tc>
      </w:tr>
    </w:tbl>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7"/>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Summary of assets:</w:t>
            </w:r>
          </w:p>
        </w:tc>
        <w:tc>
          <w:tcPr>
            <w:tcW w:w="2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2011</w:t>
            </w:r>
          </w:p>
        </w:tc>
      </w:tr>
      <w:tr>
        <w:trPr>
          <w:trHeight w:val="175"/>
        </w:trPr>
        <w:tc>
          <w:tcPr>
            <w:tcW w:w="3120" w:type="dxa"/>
            <w:vAlign w:val="bottom"/>
          </w:tcPr>
          <w:p>
            <w:pPr>
              <w:spacing w:after="0" w:line="175" w:lineRule="exact"/>
              <w:rPr>
                <w:sz w:val="20"/>
                <w:szCs w:val="20"/>
                <w:color w:val="auto"/>
              </w:rPr>
            </w:pPr>
            <w:r>
              <w:rPr>
                <w:rFonts w:ascii="Arial" w:cs="Arial" w:eastAsia="Arial" w:hAnsi="Arial"/>
                <w:sz w:val="16"/>
                <w:szCs w:val="16"/>
                <w:color w:val="auto"/>
              </w:rPr>
              <w:t>Segment assets</w:t>
            </w:r>
          </w:p>
        </w:tc>
        <w:tc>
          <w:tcPr>
            <w:tcW w:w="210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347,637</w:t>
            </w:r>
          </w:p>
        </w:tc>
        <w:tc>
          <w:tcPr>
            <w:tcW w:w="3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color w:val="auto"/>
              </w:rPr>
              <w:t>408,667</w:t>
            </w:r>
          </w:p>
        </w:tc>
        <w:tc>
          <w:tcPr>
            <w:tcW w:w="48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414,608</w:t>
            </w:r>
          </w:p>
        </w:tc>
      </w:tr>
      <w:tr>
        <w:trPr>
          <w:trHeight w:val="200"/>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assets</w:t>
            </w:r>
          </w:p>
        </w:tc>
        <w:tc>
          <w:tcPr>
            <w:tcW w:w="2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39,170</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19,921</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16,156</w:t>
            </w:r>
          </w:p>
        </w:tc>
      </w:tr>
      <w:tr>
        <w:trPr>
          <w:trHeight w:val="184"/>
        </w:trPr>
        <w:tc>
          <w:tcPr>
            <w:tcW w:w="31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Assets</w:t>
            </w:r>
          </w:p>
        </w:tc>
        <w:tc>
          <w:tcPr>
            <w:tcW w:w="21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386,807</w:t>
            </w:r>
          </w:p>
        </w:tc>
        <w:tc>
          <w:tcPr>
            <w:tcW w:w="3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428,588</w:t>
            </w:r>
          </w:p>
        </w:tc>
        <w:tc>
          <w:tcPr>
            <w:tcW w:w="48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430,764</w:t>
            </w: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Summary of capital expenditures:</w:t>
            </w:r>
          </w:p>
        </w:tc>
        <w:tc>
          <w:tcPr>
            <w:tcW w:w="1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2011</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Segment capital expenditures</w:t>
            </w:r>
          </w:p>
        </w:tc>
        <w:tc>
          <w:tcPr>
            <w:tcW w:w="16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82"/>
              <w:spacing w:after="0" w:line="175" w:lineRule="exact"/>
              <w:rPr>
                <w:sz w:val="20"/>
                <w:szCs w:val="20"/>
                <w:color w:val="auto"/>
              </w:rPr>
            </w:pPr>
            <w:r>
              <w:rPr>
                <w:rFonts w:ascii="Arial" w:cs="Arial" w:eastAsia="Arial" w:hAnsi="Arial"/>
                <w:sz w:val="16"/>
                <w:szCs w:val="16"/>
                <w:color w:val="auto"/>
              </w:rPr>
              <w:t>19,910</w:t>
            </w:r>
          </w:p>
        </w:tc>
        <w:tc>
          <w:tcPr>
            <w:tcW w:w="3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13,390</w:t>
            </w:r>
          </w:p>
        </w:tc>
        <w:tc>
          <w:tcPr>
            <w:tcW w:w="44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8,419</w:t>
            </w:r>
          </w:p>
        </w:tc>
      </w:tr>
      <w:tr>
        <w:trPr>
          <w:trHeight w:val="200"/>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capital expenditures</w:t>
            </w:r>
          </w:p>
        </w:tc>
        <w:tc>
          <w:tcPr>
            <w:tcW w:w="1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172</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333</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r>
      <w:tr>
        <w:trPr>
          <w:trHeight w:val="184"/>
        </w:trPr>
        <w:tc>
          <w:tcPr>
            <w:tcW w:w="35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capital expenditures</w:t>
            </w:r>
          </w:p>
        </w:tc>
        <w:tc>
          <w:tcPr>
            <w:tcW w:w="16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20,082</w:t>
            </w:r>
          </w:p>
        </w:tc>
        <w:tc>
          <w:tcPr>
            <w:tcW w:w="36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tcPr>
          <w:p>
            <w:pPr>
              <w:jc w:val="right"/>
              <w:ind w:right="180"/>
              <w:spacing w:after="0" w:line="181" w:lineRule="exact"/>
              <w:rPr>
                <w:sz w:val="20"/>
                <w:szCs w:val="20"/>
                <w:color w:val="auto"/>
              </w:rPr>
            </w:pPr>
            <w:r>
              <w:rPr>
                <w:rFonts w:ascii="Arial" w:cs="Arial" w:eastAsia="Arial" w:hAnsi="Arial"/>
                <w:sz w:val="16"/>
                <w:szCs w:val="16"/>
                <w:color w:val="auto"/>
              </w:rPr>
              <w:t>13,723</w:t>
            </w:r>
          </w:p>
        </w:tc>
        <w:tc>
          <w:tcPr>
            <w:tcW w:w="44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9,376</w:t>
            </w:r>
          </w:p>
        </w:tc>
      </w:tr>
    </w:tbl>
    <w:p>
      <w:pPr>
        <w:spacing w:after="0" w:line="140"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cinema results shown above include revenue and operating expense directly linked to our cinema assets. The real estate results include rental income from our properties and live theater venues and operating expense directly linked to our property assets.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book value of our operating property by geographical area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2013</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6"/>
              </w:rPr>
              <w:t>December 31,</w:t>
            </w:r>
          </w:p>
        </w:tc>
        <w:tc>
          <w:tcPr>
            <w:tcW w:w="100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Australia</w:t>
            </w:r>
          </w:p>
        </w:tc>
        <w:tc>
          <w:tcPr>
            <w:tcW w:w="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2"/>
              <w:spacing w:after="0" w:line="175" w:lineRule="exact"/>
              <w:rPr>
                <w:sz w:val="20"/>
                <w:szCs w:val="20"/>
                <w:color w:val="auto"/>
              </w:rPr>
            </w:pPr>
            <w:r>
              <w:rPr>
                <w:rFonts w:ascii="Arial" w:cs="Arial" w:eastAsia="Arial" w:hAnsi="Arial"/>
                <w:sz w:val="16"/>
                <w:szCs w:val="16"/>
                <w:color w:val="auto"/>
              </w:rPr>
              <w:t>97,240</w:t>
            </w:r>
          </w:p>
        </w:tc>
        <w:tc>
          <w:tcPr>
            <w:tcW w:w="5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106,020</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20"/>
                <w:szCs w:val="20"/>
                <w:color w:val="auto"/>
              </w:rPr>
            </w:pPr>
            <w:r>
              <w:rPr>
                <w:rFonts w:ascii="Arial" w:cs="Arial" w:eastAsia="Arial" w:hAnsi="Arial"/>
                <w:sz w:val="16"/>
                <w:szCs w:val="16"/>
                <w:color w:val="auto"/>
              </w:rPr>
              <w:t>New Zealand</w:t>
            </w:r>
          </w:p>
        </w:tc>
        <w:tc>
          <w:tcPr>
            <w:tcW w:w="420" w:type="dxa"/>
            <w:vAlign w:val="bottom"/>
          </w:tcPr>
          <w:p>
            <w:pPr>
              <w:spacing w:after="0"/>
              <w:rPr>
                <w:sz w:val="16"/>
                <w:szCs w:val="16"/>
                <w:color w:val="auto"/>
              </w:rPr>
            </w:pPr>
          </w:p>
        </w:tc>
        <w:tc>
          <w:tcPr>
            <w:tcW w:w="1160" w:type="dxa"/>
            <w:vAlign w:val="bottom"/>
            <w:gridSpan w:val="2"/>
          </w:tcPr>
          <w:p>
            <w:pPr>
              <w:jc w:val="right"/>
              <w:ind w:right="122"/>
              <w:spacing w:after="0"/>
              <w:rPr>
                <w:sz w:val="20"/>
                <w:szCs w:val="20"/>
                <w:color w:val="auto"/>
              </w:rPr>
            </w:pPr>
            <w:r>
              <w:rPr>
                <w:rFonts w:ascii="Arial" w:cs="Arial" w:eastAsia="Arial" w:hAnsi="Arial"/>
                <w:sz w:val="16"/>
                <w:szCs w:val="16"/>
                <w:color w:val="auto"/>
              </w:rPr>
              <w:t>36,319</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35,456</w:t>
            </w:r>
          </w:p>
        </w:tc>
        <w:tc>
          <w:tcPr>
            <w:tcW w:w="0" w:type="dxa"/>
            <w:vAlign w:val="bottom"/>
          </w:tcPr>
          <w:p>
            <w:pPr>
              <w:spacing w:after="0"/>
              <w:rPr>
                <w:sz w:val="1"/>
                <w:szCs w:val="1"/>
                <w:color w:val="auto"/>
              </w:rPr>
            </w:pPr>
          </w:p>
        </w:tc>
      </w:tr>
      <w:tr>
        <w:trPr>
          <w:trHeight w:val="200"/>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United States</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6"/>
                <w:szCs w:val="16"/>
                <w:color w:val="auto"/>
              </w:rPr>
              <w:t>58,101</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61,302</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operating property</w:t>
            </w:r>
          </w:p>
        </w:tc>
        <w:tc>
          <w:tcPr>
            <w:tcW w:w="420" w:type="dxa"/>
            <w:vAlign w:val="bottom"/>
            <w:tcBorders>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122"/>
              <w:spacing w:after="0" w:line="181" w:lineRule="exact"/>
              <w:rPr>
                <w:sz w:val="20"/>
                <w:szCs w:val="20"/>
                <w:color w:val="auto"/>
              </w:rPr>
            </w:pPr>
            <w:r>
              <w:rPr>
                <w:rFonts w:ascii="Arial" w:cs="Arial" w:eastAsia="Arial" w:hAnsi="Arial"/>
                <w:sz w:val="16"/>
                <w:szCs w:val="16"/>
                <w:color w:val="auto"/>
              </w:rPr>
              <w:t>191,660</w:t>
            </w:r>
          </w:p>
        </w:tc>
        <w:tc>
          <w:tcPr>
            <w:tcW w:w="520" w:type="dxa"/>
            <w:vAlign w:val="bottom"/>
            <w:tcBorders>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202,778</w:t>
            </w:r>
          </w:p>
        </w:tc>
        <w:tc>
          <w:tcPr>
            <w:tcW w:w="0" w:type="dxa"/>
            <w:vAlign w:val="bottom"/>
          </w:tcPr>
          <w:p>
            <w:pPr>
              <w:spacing w:after="0"/>
              <w:rPr>
                <w:sz w:val="1"/>
                <w:szCs w:val="1"/>
                <w:color w:val="auto"/>
              </w:rPr>
            </w:pPr>
          </w:p>
        </w:tc>
      </w:tr>
      <w:tr>
        <w:trPr>
          <w:trHeight w:val="200"/>
        </w:trPr>
        <w:tc>
          <w:tcPr>
            <w:tcW w:w="6080" w:type="dxa"/>
            <w:vAlign w:val="bottom"/>
          </w:tcPr>
          <w:p>
            <w:pPr>
              <w:ind w:left="560"/>
              <w:spacing w:after="0"/>
              <w:rPr>
                <w:sz w:val="20"/>
                <w:szCs w:val="20"/>
                <w:color w:val="auto"/>
              </w:rPr>
            </w:pPr>
            <w:r>
              <w:rPr>
                <w:rFonts w:ascii="Arial" w:cs="Arial" w:eastAsia="Arial" w:hAnsi="Arial"/>
                <w:sz w:val="16"/>
                <w:szCs w:val="16"/>
                <w:color w:val="auto"/>
                <w:w w:val="90"/>
              </w:rPr>
              <w:t>The following table sets forth our revenue by geographical area (dollars in thousands):</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2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2011</w:t>
            </w:r>
          </w:p>
        </w:tc>
      </w:tr>
      <w:tr>
        <w:trPr>
          <w:trHeight w:val="175"/>
        </w:trPr>
        <w:tc>
          <w:tcPr>
            <w:tcW w:w="2860" w:type="dxa"/>
            <w:vAlign w:val="bottom"/>
          </w:tcPr>
          <w:p>
            <w:pPr>
              <w:spacing w:after="0" w:line="175" w:lineRule="exact"/>
              <w:rPr>
                <w:sz w:val="20"/>
                <w:szCs w:val="20"/>
                <w:color w:val="auto"/>
              </w:rPr>
            </w:pPr>
            <w:r>
              <w:rPr>
                <w:rFonts w:ascii="Arial" w:cs="Arial" w:eastAsia="Arial" w:hAnsi="Arial"/>
                <w:sz w:val="16"/>
                <w:szCs w:val="16"/>
                <w:color w:val="auto"/>
              </w:rPr>
              <w:t>Australia</w:t>
            </w:r>
          </w:p>
        </w:tc>
        <w:tc>
          <w:tcPr>
            <w:tcW w:w="23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82"/>
              <w:spacing w:after="0" w:line="175" w:lineRule="exact"/>
              <w:rPr>
                <w:sz w:val="20"/>
                <w:szCs w:val="20"/>
                <w:color w:val="auto"/>
              </w:rPr>
            </w:pPr>
            <w:r>
              <w:rPr>
                <w:rFonts w:ascii="Arial" w:cs="Arial" w:eastAsia="Arial" w:hAnsi="Arial"/>
                <w:sz w:val="16"/>
                <w:szCs w:val="16"/>
                <w:color w:val="auto"/>
              </w:rPr>
              <w:t>100,399</w:t>
            </w:r>
          </w:p>
        </w:tc>
        <w:tc>
          <w:tcPr>
            <w:tcW w:w="3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108,320</w:t>
            </w:r>
          </w:p>
        </w:tc>
        <w:tc>
          <w:tcPr>
            <w:tcW w:w="44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110,742</w:t>
            </w:r>
          </w:p>
        </w:tc>
      </w:tr>
      <w:tr>
        <w:trPr>
          <w:trHeight w:val="188"/>
        </w:trPr>
        <w:tc>
          <w:tcPr>
            <w:tcW w:w="2860" w:type="dxa"/>
            <w:vAlign w:val="bottom"/>
          </w:tcPr>
          <w:p>
            <w:pPr>
              <w:spacing w:after="0"/>
              <w:rPr>
                <w:sz w:val="20"/>
                <w:szCs w:val="20"/>
                <w:color w:val="auto"/>
              </w:rPr>
            </w:pPr>
            <w:r>
              <w:rPr>
                <w:rFonts w:ascii="Arial" w:cs="Arial" w:eastAsia="Arial" w:hAnsi="Arial"/>
                <w:sz w:val="16"/>
                <w:szCs w:val="16"/>
                <w:color w:val="auto"/>
              </w:rPr>
              <w:t>New Zealand</w:t>
            </w:r>
          </w:p>
        </w:tc>
        <w:tc>
          <w:tcPr>
            <w:tcW w:w="2300" w:type="dxa"/>
            <w:vAlign w:val="bottom"/>
          </w:tcPr>
          <w:p>
            <w:pPr>
              <w:spacing w:after="0"/>
              <w:rPr>
                <w:sz w:val="16"/>
                <w:szCs w:val="16"/>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26,310</w:t>
            </w:r>
          </w:p>
        </w:tc>
        <w:tc>
          <w:tcPr>
            <w:tcW w:w="3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24,608</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22,247</w:t>
            </w:r>
          </w:p>
        </w:tc>
      </w:tr>
      <w:tr>
        <w:trPr>
          <w:trHeight w:val="200"/>
        </w:trPr>
        <w:tc>
          <w:tcPr>
            <w:tcW w:w="2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United States</w:t>
            </w: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131,512</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121,502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111,990</w:t>
            </w:r>
          </w:p>
        </w:tc>
      </w:tr>
      <w:tr>
        <w:trPr>
          <w:trHeight w:val="184"/>
        </w:trPr>
        <w:tc>
          <w:tcPr>
            <w:tcW w:w="28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revenue</w:t>
            </w:r>
          </w:p>
        </w:tc>
        <w:tc>
          <w:tcPr>
            <w:tcW w:w="230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258,221</w:t>
            </w:r>
          </w:p>
        </w:tc>
        <w:tc>
          <w:tcPr>
            <w:tcW w:w="36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tcPr>
          <w:p>
            <w:pPr>
              <w:jc w:val="right"/>
              <w:ind w:right="180"/>
              <w:spacing w:after="0" w:line="181" w:lineRule="exact"/>
              <w:rPr>
                <w:sz w:val="20"/>
                <w:szCs w:val="20"/>
                <w:color w:val="auto"/>
              </w:rPr>
            </w:pPr>
            <w:r>
              <w:rPr>
                <w:rFonts w:ascii="Arial" w:cs="Arial" w:eastAsia="Arial" w:hAnsi="Arial"/>
                <w:sz w:val="16"/>
                <w:szCs w:val="16"/>
                <w:color w:val="auto"/>
              </w:rPr>
              <w:t>254,430</w:t>
            </w:r>
          </w:p>
        </w:tc>
        <w:tc>
          <w:tcPr>
            <w:tcW w:w="44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244,979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72" w:right="1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auto"/>
        </w:rPr>
        <w:t>Note 23 – Unaudited Quarterly Financial Information (dollars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242"/>
              <w:spacing w:after="0"/>
              <w:rPr>
                <w:sz w:val="20"/>
                <w:szCs w:val="20"/>
                <w:color w:val="auto"/>
              </w:rPr>
            </w:pPr>
            <w:r>
              <w:rPr>
                <w:rFonts w:ascii="Arial" w:cs="Arial" w:eastAsia="Arial" w:hAnsi="Arial"/>
                <w:sz w:val="16"/>
                <w:szCs w:val="16"/>
                <w:b w:val="1"/>
                <w:bCs w:val="1"/>
                <w:color w:val="auto"/>
              </w:rPr>
              <w:t>First</w:t>
            </w:r>
          </w:p>
        </w:tc>
        <w:tc>
          <w:tcPr>
            <w:tcW w:w="220" w:type="dxa"/>
            <w:vAlign w:val="bottom"/>
          </w:tcPr>
          <w:p>
            <w:pPr>
              <w:spacing w:after="0"/>
              <w:rPr>
                <w:sz w:val="16"/>
                <w:szCs w:val="16"/>
                <w:color w:val="auto"/>
              </w:rPr>
            </w:pPr>
          </w:p>
        </w:tc>
        <w:tc>
          <w:tcPr>
            <w:tcW w:w="800" w:type="dxa"/>
            <w:vAlign w:val="bottom"/>
          </w:tcPr>
          <w:p>
            <w:pPr>
              <w:jc w:val="right"/>
              <w:ind w:right="142"/>
              <w:spacing w:after="0"/>
              <w:rPr>
                <w:sz w:val="20"/>
                <w:szCs w:val="20"/>
                <w:color w:val="auto"/>
              </w:rPr>
            </w:pPr>
            <w:r>
              <w:rPr>
                <w:rFonts w:ascii="Arial" w:cs="Arial" w:eastAsia="Arial" w:hAnsi="Arial"/>
                <w:sz w:val="16"/>
                <w:szCs w:val="16"/>
                <w:b w:val="1"/>
                <w:bCs w:val="1"/>
                <w:color w:val="auto"/>
                <w:w w:val="96"/>
              </w:rPr>
              <w:t>Second</w:t>
            </w:r>
          </w:p>
        </w:tc>
        <w:tc>
          <w:tcPr>
            <w:tcW w:w="240" w:type="dxa"/>
            <w:vAlign w:val="bottom"/>
          </w:tcPr>
          <w:p>
            <w:pPr>
              <w:spacing w:after="0"/>
              <w:rPr>
                <w:sz w:val="16"/>
                <w:szCs w:val="16"/>
                <w:color w:val="auto"/>
              </w:rPr>
            </w:pPr>
          </w:p>
        </w:tc>
        <w:tc>
          <w:tcPr>
            <w:tcW w:w="780" w:type="dxa"/>
            <w:vAlign w:val="bottom"/>
          </w:tcPr>
          <w:p>
            <w:pPr>
              <w:jc w:val="right"/>
              <w:ind w:right="182"/>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16"/>
                <w:szCs w:val="16"/>
                <w:color w:val="auto"/>
              </w:rPr>
            </w:pPr>
          </w:p>
        </w:tc>
        <w:tc>
          <w:tcPr>
            <w:tcW w:w="720" w:type="dxa"/>
            <w:vAlign w:val="bottom"/>
          </w:tcPr>
          <w:p>
            <w:pPr>
              <w:jc w:val="right"/>
              <w:ind w:right="82"/>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08"/>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Quarter</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175"/>
        </w:trPr>
        <w:tc>
          <w:tcPr>
            <w:tcW w:w="4900" w:type="dxa"/>
            <w:vAlign w:val="bottom"/>
          </w:tcPr>
          <w:p>
            <w:pPr>
              <w:spacing w:after="0" w:line="175" w:lineRule="exact"/>
              <w:rPr>
                <w:sz w:val="20"/>
                <w:szCs w:val="20"/>
                <w:color w:val="auto"/>
              </w:rPr>
            </w:pPr>
            <w:r>
              <w:rPr>
                <w:rFonts w:ascii="Arial" w:cs="Arial" w:eastAsia="Arial" w:hAnsi="Arial"/>
                <w:sz w:val="16"/>
                <w:szCs w:val="16"/>
                <w:color w:val="auto"/>
              </w:rPr>
              <w:t>Revenue</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59,567</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69,642</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line="175" w:lineRule="exact"/>
              <w:rPr>
                <w:sz w:val="20"/>
                <w:szCs w:val="20"/>
                <w:color w:val="auto"/>
              </w:rPr>
            </w:pPr>
            <w:r>
              <w:rPr>
                <w:rFonts w:ascii="Arial" w:cs="Arial" w:eastAsia="Arial" w:hAnsi="Arial"/>
                <w:sz w:val="16"/>
                <w:szCs w:val="16"/>
                <w:color w:val="auto"/>
              </w:rPr>
              <w:t>65,472</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63,540</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Arial" w:cs="Arial" w:eastAsia="Arial" w:hAnsi="Arial"/>
                <w:sz w:val="16"/>
                <w:szCs w:val="16"/>
                <w:color w:val="auto"/>
              </w:rPr>
              <w:t>Net income (loss)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4,176</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2,431</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3,209</w:t>
            </w:r>
          </w:p>
        </w:tc>
        <w:tc>
          <w:tcPr>
            <w:tcW w:w="0" w:type="dxa"/>
            <w:vAlign w:val="bottom"/>
          </w:tcPr>
          <w:p>
            <w:pPr>
              <w:spacing w:after="0"/>
              <w:rPr>
                <w:sz w:val="1"/>
                <w:szCs w:val="1"/>
                <w:color w:val="auto"/>
              </w:rPr>
            </w:pPr>
          </w:p>
        </w:tc>
      </w:tr>
      <w:tr>
        <w:trPr>
          <w:trHeight w:val="364"/>
        </w:trPr>
        <w:tc>
          <w:tcPr>
            <w:tcW w:w="4900" w:type="dxa"/>
            <w:vAlign w:val="bottom"/>
          </w:tcPr>
          <w:p>
            <w:pPr>
              <w:spacing w:after="0"/>
              <w:rPr>
                <w:sz w:val="20"/>
                <w:szCs w:val="20"/>
                <w:color w:val="auto"/>
              </w:rPr>
            </w:pPr>
            <w:r>
              <w:rPr>
                <w:rFonts w:ascii="Arial" w:cs="Arial" w:eastAsia="Arial" w:hAnsi="Arial"/>
                <w:sz w:val="16"/>
                <w:szCs w:val="16"/>
                <w:color w:val="auto"/>
                <w:w w:val="94"/>
              </w:rPr>
              <w:t>Net income (loss) attributable to Reading International, Inc. shareholders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4,135</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2,393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Basic earnings (loss) per share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0.18</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0.10</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Arial" w:cs="Arial" w:eastAsia="Arial" w:hAnsi="Arial"/>
                <w:sz w:val="16"/>
                <w:szCs w:val="16"/>
                <w:color w:val="auto"/>
              </w:rPr>
              <w:t>Diluted earnings (loss) per share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0.18</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0.10</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line="175" w:lineRule="exact"/>
              <w:rPr>
                <w:sz w:val="20"/>
                <w:szCs w:val="20"/>
                <w:color w:val="auto"/>
              </w:rPr>
            </w:pPr>
            <w:r>
              <w:rPr>
                <w:rFonts w:ascii="Arial" w:cs="Arial" w:eastAsia="Arial" w:hAnsi="Arial"/>
                <w:sz w:val="16"/>
                <w:szCs w:val="16"/>
                <w:color w:val="auto"/>
              </w:rPr>
              <w:t>Revenue</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62,431</w:t>
            </w:r>
          </w:p>
        </w:tc>
        <w:tc>
          <w:tcPr>
            <w:tcW w:w="2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62,948</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line="175" w:lineRule="exact"/>
              <w:rPr>
                <w:sz w:val="20"/>
                <w:szCs w:val="20"/>
                <w:color w:val="auto"/>
              </w:rPr>
            </w:pPr>
            <w:r>
              <w:rPr>
                <w:rFonts w:ascii="Arial" w:cs="Arial" w:eastAsia="Arial" w:hAnsi="Arial"/>
                <w:sz w:val="16"/>
                <w:szCs w:val="16"/>
                <w:color w:val="auto"/>
              </w:rPr>
              <w:t>63,934</w:t>
            </w:r>
          </w:p>
        </w:tc>
        <w:tc>
          <w:tcPr>
            <w:tcW w:w="24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65,117</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Net income (loss)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224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396</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Arial" w:cs="Arial" w:eastAsia="Arial" w:hAnsi="Arial"/>
                <w:sz w:val="16"/>
                <w:szCs w:val="16"/>
                <w:color w:val="auto"/>
                <w:w w:val="94"/>
              </w:rPr>
              <w:t>Net income (loss) attributable to Reading International, Inc. shareholders</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(239)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2"/>
              <w:spacing w:after="0"/>
              <w:rPr>
                <w:sz w:val="20"/>
                <w:szCs w:val="20"/>
                <w:color w:val="auto"/>
              </w:rPr>
            </w:pPr>
            <w:r>
              <w:rPr>
                <w:rFonts w:ascii="Arial" w:cs="Arial" w:eastAsia="Arial" w:hAnsi="Arial"/>
                <w:sz w:val="16"/>
                <w:szCs w:val="16"/>
                <w:color w:val="auto"/>
              </w:rPr>
              <w:t>239</w:t>
            </w:r>
          </w:p>
        </w:tc>
        <w:tc>
          <w:tcPr>
            <w:tcW w:w="2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363</w:t>
            </w:r>
          </w:p>
        </w:tc>
        <w:tc>
          <w:tcPr>
            <w:tcW w:w="2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Basic earnings (loss) per share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0.01</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0.02</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0"/>
        </w:trPr>
        <w:tc>
          <w:tcPr>
            <w:tcW w:w="4900" w:type="dxa"/>
            <w:vAlign w:val="bottom"/>
          </w:tcPr>
          <w:p>
            <w:pPr>
              <w:spacing w:after="0"/>
              <w:rPr>
                <w:sz w:val="20"/>
                <w:szCs w:val="20"/>
                <w:color w:val="auto"/>
              </w:rPr>
            </w:pPr>
            <w:r>
              <w:rPr>
                <w:rFonts w:ascii="Arial" w:cs="Arial" w:eastAsia="Arial" w:hAnsi="Arial"/>
                <w:sz w:val="16"/>
                <w:szCs w:val="16"/>
                <w:color w:val="auto"/>
              </w:rPr>
              <w:t>Diluted earnings (loss) per share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0.01</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0.02</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24 - Future Minimum Rental Income</w:t>
      </w:r>
    </w:p>
    <w:p>
      <w:pPr>
        <w:spacing w:after="0" w:line="161"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Real estate revenue amounted to $18.8 million, $19.7 million, and $19.1 million, for the years ended December 31, 2013, 2012, and 2011, respectively. Future minimum rental income under all contractual operating leases is summarized as follows (dollars in thousands):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p>
    <w:tbl>
      <w:tblPr>
        <w:tblLayout w:type="fixed"/>
        <w:tblInd w:w="720" w:type="dxa"/>
        <w:tblCellMar>
          <w:top w:w="0" w:type="dxa"/>
          <w:left w:w="0" w:type="dxa"/>
          <w:bottom w:w="0" w:type="dxa"/>
          <w:right w:w="0" w:type="dxa"/>
        </w:tblCellMar>
      </w:tblPr>
      <w:tr>
        <w:trPr>
          <w:trHeight w:val="180"/>
        </w:trPr>
        <w:tc>
          <w:tcPr>
            <w:tcW w:w="44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2014</w:t>
            </w:r>
          </w:p>
        </w:tc>
        <w:tc>
          <w:tcPr>
            <w:tcW w:w="2540" w:type="dxa"/>
            <w:vAlign w:val="bottom"/>
            <w:tcBorders>
              <w:top w:val="single" w:sz="8" w:color="auto"/>
            </w:tcBorders>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8,605</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2015</w:t>
            </w:r>
          </w:p>
        </w:tc>
        <w:tc>
          <w:tcPr>
            <w:tcW w:w="2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7,934</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2016</w:t>
            </w:r>
          </w:p>
        </w:tc>
        <w:tc>
          <w:tcPr>
            <w:tcW w:w="2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6,662</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2017</w:t>
            </w:r>
          </w:p>
        </w:tc>
        <w:tc>
          <w:tcPr>
            <w:tcW w:w="2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5,216</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2018</w:t>
            </w:r>
          </w:p>
        </w:tc>
        <w:tc>
          <w:tcPr>
            <w:tcW w:w="2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4,125</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2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21,203</w:t>
            </w:r>
          </w:p>
        </w:tc>
      </w:tr>
      <w:tr>
        <w:trPr>
          <w:trHeight w:val="184"/>
        </w:trPr>
        <w:tc>
          <w:tcPr>
            <w:tcW w:w="44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future minimum rental income</w:t>
            </w:r>
          </w:p>
        </w:tc>
        <w:tc>
          <w:tcPr>
            <w:tcW w:w="2540" w:type="dxa"/>
            <w:vAlign w:val="bottom"/>
            <w:tcBorders>
              <w:bottom w:val="single" w:sz="8" w:color="auto"/>
            </w:tcBorders>
          </w:tcPr>
          <w:p>
            <w:pPr>
              <w:jc w:val="right"/>
              <w:ind w:right="202"/>
              <w:spacing w:after="0" w:line="181"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53,745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25 – Related Parties and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Sutton Hill Capital</w:t>
      </w:r>
    </w:p>
    <w:p>
      <w:pPr>
        <w:spacing w:after="0" w:line="157"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In 2001, we entered into a transaction with Sutton Hill Capital, LLC (“SHC”) regarding the leasing with an option to purchase of certain cinemas located in Manhattan including our Village East and Cinemas 1, 2 &amp; 3 theaters.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a third party and of which Mr. Cotter is the managing member. The Village East is the only cinema that remains subject to this lease and during 2013, 2012, and 2011, we paid rent to SHC for this cinema in the amount of $590,000, $590,000, and $590,000, respectively.</w:t>
      </w:r>
    </w:p>
    <w:p>
      <w:pPr>
        <w:spacing w:after="0" w:line="107"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16"/>
          <w:szCs w:val="16"/>
          <w:color w:val="auto"/>
        </w:rPr>
        <w:t>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$5.9 million presented under other liabilities (see Note 15 – Other Liabilities).</w:t>
      </w:r>
    </w:p>
    <w:p>
      <w:pPr>
        <w:spacing w:after="0" w:line="146"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In 2005, we acquired from a third party the fee interest and from SHC its interest in the ground lease estate underlying and the improvements constituting the Cinemas 1, 2 &amp; 3. In connection with that transaction, we granted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OBI Management Agreement</w:t>
      </w:r>
    </w:p>
    <w:p>
      <w:pPr>
        <w:spacing w:after="0" w:line="15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spacing w:after="0" w:line="14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5"/>
          <w:szCs w:val="15"/>
          <w:color w:val="auto"/>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2013, OBI Management earned $401,000, which was 20.1% of net cash flows for the year. In 2012, OBI Management earned $390,000, which was 19.7% of net cash flows for the year. In 2011, OBI Management earned $398,000, which was 19.4% of net cash flows for the year. In each year, we reimbursed travel related expenses for OBI Management personnel with respect to travel between New York City and Chicago in connection with the management of the Royal George complex.</w:t>
      </w:r>
    </w:p>
    <w:p>
      <w:pPr>
        <w:spacing w:after="0" w:line="127"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Live Theater Play Investment</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From time to time, our officers and directors may invest in plays that lease our live theaters. 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Shadow View Land and Farming LLC</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During 2012, Mr. James J. Cotter, our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Mr. Cotter owns a 50% interest. We are the managing member of Shadow View Land and Farming, LLC (see Note 20 – </w:t>
      </w:r>
      <w:r>
        <w:rPr>
          <w:rFonts w:ascii="Arial" w:cs="Arial" w:eastAsia="Arial" w:hAnsi="Arial"/>
          <w:sz w:val="15"/>
          <w:szCs w:val="15"/>
          <w:i w:val="1"/>
          <w:iCs w:val="1"/>
          <w:color w:val="auto"/>
        </w:rPr>
        <w:t>Noncontrolling Interests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auto"/>
        </w:rPr>
        <w:t>Note 26 – Casualty Loss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Wellington, New Zealand Parking Structure</w:t>
      </w:r>
    </w:p>
    <w:p>
      <w:pPr>
        <w:spacing w:after="0" w:line="157" w:lineRule="exact"/>
        <w:rPr>
          <w:sz w:val="20"/>
          <w:szCs w:val="20"/>
          <w:color w:val="auto"/>
        </w:rPr>
      </w:pPr>
    </w:p>
    <w:p>
      <w:pPr>
        <w:jc w:val="both"/>
        <w:ind w:firstLine="564"/>
        <w:spacing w:after="0" w:line="267" w:lineRule="auto"/>
        <w:rPr>
          <w:sz w:val="20"/>
          <w:szCs w:val="20"/>
          <w:color w:val="auto"/>
        </w:rPr>
      </w:pPr>
      <w:r>
        <w:rPr>
          <w:rFonts w:ascii="Arial" w:cs="Arial" w:eastAsia="Arial" w:hAnsi="Arial"/>
          <w:sz w:val="15"/>
          <w:szCs w:val="15"/>
          <w:color w:val="auto"/>
        </w:rPr>
        <w:t>On July 21, 2013, Wellington, New Zealand experienced a strong earthquake that damaged our parking structure adjacent to our Courtenay Central shopping center. The parking structure has been closed pending repairs to the structure. We estimate the cost to repair the structure will be approximately $2.0 million (NZ$2.5 million) of which our earthquake insurance will cover approximately $1.5 million (NZ$1.8 million) after our $584,000 (NZ$710,000) insurance deductible. For the year ended December 31, 2013, we recorded a casualty loss of $49,000 (NZ$59,000) based on the associated net book value of the property as an other income (expense) and a $1.5 million (NZ$1.8 million) insurance receivable in our current receivables at December 31, 2013. Our reduction in operating income will also be offset somewhat by our business interruption insurance subject to the relevant deductible.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Christchurch, New Zealand Cinemas</w:t>
      </w:r>
    </w:p>
    <w:p>
      <w:pPr>
        <w:spacing w:after="0" w:line="168"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Our 8-screen complex in Christchurch, New Zealand, was damaged as a result of the devastating earthquake suffered by that city on February 22, 2011. We have earthquake and lost profits insurance on that facility for which we have received to date $1.1 million (NZ$1.3 million) which is included in our 2011 other income (expense). We are awaiting a final settlement payment on this claim for a nominally estimated amount to be received in 2014. This cinema was reopened on November 17, 2011, but, as a result of a December 23, 2011 earthquake, the cinema was again temporarily closed for approximately two weeks.</w:t>
      </w:r>
    </w:p>
    <w:p>
      <w:pPr>
        <w:spacing w:after="0" w:line="134" w:lineRule="exact"/>
        <w:rPr>
          <w:sz w:val="20"/>
          <w:szCs w:val="20"/>
          <w:color w:val="auto"/>
        </w:rPr>
      </w:pPr>
    </w:p>
    <w:p>
      <w:pPr>
        <w:jc w:val="both"/>
        <w:ind w:firstLine="564"/>
        <w:spacing w:after="0" w:line="270" w:lineRule="auto"/>
        <w:rPr>
          <w:sz w:val="20"/>
          <w:szCs w:val="20"/>
          <w:color w:val="auto"/>
        </w:rPr>
      </w:pPr>
      <w:r>
        <w:rPr>
          <w:rFonts w:ascii="Arial" w:cs="Arial" w:eastAsia="Arial" w:hAnsi="Arial"/>
          <w:sz w:val="15"/>
          <w:szCs w:val="15"/>
          <w:color w:val="auto"/>
        </w:rPr>
        <w:t>Additionally, the 3-screen complex in Christchurch, New Zealand owned by our Rialto Cinemas joint venture entity (“Rialto Cinemas”), was damaged as a result of the devastating earthquake suffered by that city on February 22, 2011, and has been closed since that date. Pursuant to the lease on the property, in May 2011, Rialto Cinemas gave notice to the landlord that Rialto Cinemas would be terminating the cinema lease. Rialto Cinemas and the landlord have terminated the lease under agreeable terms and did not result in a significant reduction to the value of our investment in the Rialto Cinemas joint venture relative to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38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w w:val="88"/>
              </w:rPr>
              <w:t>Schedule II – Valuation and Qualifying Accounts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Additions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Balance at</w:t>
            </w:r>
          </w:p>
        </w:tc>
        <w:tc>
          <w:tcPr>
            <w:tcW w:w="24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charged to</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
              <w:spacing w:after="0"/>
              <w:rPr>
                <w:sz w:val="20"/>
                <w:szCs w:val="20"/>
                <w:color w:val="auto"/>
              </w:rPr>
            </w:pPr>
            <w:r>
              <w:rPr>
                <w:rFonts w:ascii="Arial" w:cs="Arial" w:eastAsia="Arial" w:hAnsi="Arial"/>
                <w:sz w:val="16"/>
                <w:szCs w:val="16"/>
                <w:b w:val="1"/>
                <w:bCs w:val="1"/>
                <w:color w:val="auto"/>
                <w:w w:val="87"/>
              </w:rPr>
              <w:t>beginning of</w:t>
            </w:r>
          </w:p>
        </w:tc>
        <w:tc>
          <w:tcPr>
            <w:tcW w:w="24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2"/>
              </w:rPr>
              <w:t>costs and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6"/>
              </w:rPr>
              <w:t>Balance at end</w:t>
            </w:r>
          </w:p>
        </w:tc>
        <w:tc>
          <w:tcPr>
            <w:tcW w:w="20" w:type="dxa"/>
            <w:vAlign w:val="bottom"/>
          </w:tcPr>
          <w:p>
            <w:pPr>
              <w:spacing w:after="0"/>
              <w:rPr>
                <w:sz w:val="16"/>
                <w:szCs w:val="16"/>
                <w:color w:val="auto"/>
              </w:rPr>
            </w:pPr>
          </w:p>
        </w:tc>
      </w:tr>
      <w:tr>
        <w:trPr>
          <w:trHeight w:val="208"/>
        </w:trPr>
        <w:tc>
          <w:tcPr>
            <w:tcW w:w="4360" w:type="dxa"/>
            <w:vAlign w:val="bottom"/>
            <w:tcBorders>
              <w:bottom w:val="single" w:sz="8" w:color="auto"/>
            </w:tcBorders>
            <w:gridSpan w:val="2"/>
          </w:tcPr>
          <w:p>
            <w:pPr>
              <w:ind w:left="1780"/>
              <w:spacing w:after="0"/>
              <w:rPr>
                <w:sz w:val="20"/>
                <w:szCs w:val="20"/>
                <w:color w:val="auto"/>
              </w:rPr>
            </w:pPr>
            <w:r>
              <w:rPr>
                <w:rFonts w:ascii="Arial" w:cs="Arial" w:eastAsia="Arial" w:hAnsi="Arial"/>
                <w:sz w:val="16"/>
                <w:szCs w:val="16"/>
                <w:b w:val="1"/>
                <w:bCs w:val="1"/>
                <w:color w:val="auto"/>
              </w:rPr>
              <w:t>Description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4"/>
              </w:rPr>
              <w:t>year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79"/>
              </w:rPr>
              <w:t>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1"/>
              </w:rPr>
              <w:t>Deductions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of year</w:t>
            </w:r>
          </w:p>
        </w:tc>
        <w:tc>
          <w:tcPr>
            <w:tcW w:w="20" w:type="dxa"/>
            <w:vAlign w:val="bottom"/>
          </w:tcPr>
          <w:p>
            <w:pPr>
              <w:spacing w:after="0"/>
              <w:rPr>
                <w:sz w:val="18"/>
                <w:szCs w:val="18"/>
                <w:color w:val="auto"/>
              </w:rPr>
            </w:pPr>
          </w:p>
        </w:tc>
      </w:tr>
      <w:tr>
        <w:trPr>
          <w:trHeight w:val="257"/>
        </w:trPr>
        <w:tc>
          <w:tcPr>
            <w:tcW w:w="436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52"/>
        </w:trPr>
        <w:tc>
          <w:tcPr>
            <w:tcW w:w="4360" w:type="dxa"/>
            <w:vAlign w:val="bottom"/>
            <w:gridSpan w:val="2"/>
          </w:tcPr>
          <w:p>
            <w:pPr>
              <w:ind w:left="100"/>
              <w:spacing w:after="0"/>
              <w:rPr>
                <w:sz w:val="20"/>
                <w:szCs w:val="20"/>
                <w:color w:val="auto"/>
              </w:rPr>
            </w:pPr>
            <w:r>
              <w:rPr>
                <w:rFonts w:ascii="Arial" w:cs="Arial" w:eastAsia="Arial" w:hAnsi="Arial"/>
                <w:sz w:val="16"/>
                <w:szCs w:val="16"/>
                <w:color w:val="auto"/>
                <w:w w:val="89"/>
              </w:rPr>
              <w:t>Year-ended December 31, 2013 – Allowance for doubtful accounts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505</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24"/>
                <w:szCs w:val="24"/>
                <w:color w:val="auto"/>
              </w:rPr>
            </w:pPr>
          </w:p>
        </w:tc>
      </w:tr>
      <w:tr>
        <w:trPr>
          <w:trHeight w:val="352"/>
        </w:trPr>
        <w:tc>
          <w:tcPr>
            <w:tcW w:w="4360" w:type="dxa"/>
            <w:vAlign w:val="bottom"/>
            <w:gridSpan w:val="2"/>
          </w:tcPr>
          <w:p>
            <w:pPr>
              <w:ind w:left="100"/>
              <w:spacing w:after="0"/>
              <w:rPr>
                <w:sz w:val="20"/>
                <w:szCs w:val="20"/>
                <w:color w:val="auto"/>
              </w:rPr>
            </w:pPr>
            <w:r>
              <w:rPr>
                <w:rFonts w:ascii="Arial" w:cs="Arial" w:eastAsia="Arial" w:hAnsi="Arial"/>
                <w:sz w:val="16"/>
                <w:szCs w:val="16"/>
                <w:color w:val="auto"/>
                <w:w w:val="89"/>
              </w:rPr>
              <w:t>Year-ended December 31, 2012 – Allowance for doubtful accounts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367</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c>
          <w:tcPr>
            <w:tcW w:w="20" w:type="dxa"/>
            <w:vAlign w:val="bottom"/>
          </w:tcPr>
          <w:p>
            <w:pPr>
              <w:spacing w:after="0"/>
              <w:rPr>
                <w:sz w:val="24"/>
                <w:szCs w:val="24"/>
                <w:color w:val="auto"/>
              </w:rPr>
            </w:pPr>
          </w:p>
        </w:tc>
      </w:tr>
      <w:tr>
        <w:trPr>
          <w:trHeight w:val="352"/>
        </w:trPr>
        <w:tc>
          <w:tcPr>
            <w:tcW w:w="4360" w:type="dxa"/>
            <w:vAlign w:val="bottom"/>
            <w:gridSpan w:val="2"/>
          </w:tcPr>
          <w:p>
            <w:pPr>
              <w:ind w:left="100"/>
              <w:spacing w:after="0"/>
              <w:rPr>
                <w:sz w:val="20"/>
                <w:szCs w:val="20"/>
                <w:color w:val="auto"/>
              </w:rPr>
            </w:pPr>
            <w:r>
              <w:rPr>
                <w:rFonts w:ascii="Arial" w:cs="Arial" w:eastAsia="Arial" w:hAnsi="Arial"/>
                <w:sz w:val="16"/>
                <w:szCs w:val="16"/>
                <w:color w:val="auto"/>
                <w:w w:val="89"/>
              </w:rPr>
              <w:t>Year-ended December 31, 2011 – Allowance for doubtful accounts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153</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4"/>
                <w:szCs w:val="24"/>
                <w:color w:val="auto"/>
              </w:rPr>
            </w:pPr>
          </w:p>
        </w:tc>
      </w:tr>
      <w:tr>
        <w:trPr>
          <w:trHeight w:val="352"/>
        </w:trPr>
        <w:tc>
          <w:tcPr>
            <w:tcW w:w="4360" w:type="dxa"/>
            <w:vAlign w:val="bottom"/>
            <w:gridSpan w:val="2"/>
          </w:tcPr>
          <w:p>
            <w:pPr>
              <w:spacing w:after="0"/>
              <w:rPr>
                <w:sz w:val="20"/>
                <w:szCs w:val="20"/>
                <w:color w:val="auto"/>
              </w:rPr>
            </w:pPr>
            <w:r>
              <w:rPr>
                <w:rFonts w:ascii="Arial" w:cs="Arial" w:eastAsia="Arial" w:hAnsi="Arial"/>
                <w:sz w:val="16"/>
                <w:szCs w:val="16"/>
                <w:color w:val="auto"/>
              </w:rPr>
              <w:t>Tax valuation allowance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4360" w:type="dxa"/>
            <w:vAlign w:val="bottom"/>
            <w:gridSpan w:val="2"/>
          </w:tcPr>
          <w:p>
            <w:pPr>
              <w:ind w:left="100"/>
              <w:spacing w:after="0"/>
              <w:rPr>
                <w:sz w:val="20"/>
                <w:szCs w:val="20"/>
                <w:color w:val="auto"/>
              </w:rPr>
            </w:pPr>
            <w:r>
              <w:rPr>
                <w:rFonts w:ascii="Arial" w:cs="Arial" w:eastAsia="Arial" w:hAnsi="Arial"/>
                <w:sz w:val="16"/>
                <w:szCs w:val="16"/>
                <w:color w:val="auto"/>
              </w:rPr>
              <w:t>Year-ended December 31, 2013 – Tax valuation allowance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37,903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34,983</w:t>
            </w:r>
          </w:p>
        </w:tc>
        <w:tc>
          <w:tcPr>
            <w:tcW w:w="20" w:type="dxa"/>
            <w:vAlign w:val="bottom"/>
          </w:tcPr>
          <w:p>
            <w:pPr>
              <w:spacing w:after="0"/>
              <w:rPr>
                <w:sz w:val="24"/>
                <w:szCs w:val="24"/>
                <w:color w:val="auto"/>
              </w:rPr>
            </w:pPr>
          </w:p>
        </w:tc>
      </w:tr>
      <w:tr>
        <w:trPr>
          <w:trHeight w:val="352"/>
        </w:trPr>
        <w:tc>
          <w:tcPr>
            <w:tcW w:w="4360" w:type="dxa"/>
            <w:vAlign w:val="bottom"/>
            <w:gridSpan w:val="2"/>
          </w:tcPr>
          <w:p>
            <w:pPr>
              <w:ind w:left="100"/>
              <w:spacing w:after="0"/>
              <w:rPr>
                <w:sz w:val="20"/>
                <w:szCs w:val="20"/>
                <w:color w:val="auto"/>
              </w:rPr>
            </w:pPr>
            <w:r>
              <w:rPr>
                <w:rFonts w:ascii="Arial" w:cs="Arial" w:eastAsia="Arial" w:hAnsi="Arial"/>
                <w:sz w:val="16"/>
                <w:szCs w:val="16"/>
                <w:color w:val="auto"/>
              </w:rPr>
              <w:t>Year-ended December 31, 2012 – Tax valuation allowance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38,461</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37,903</w:t>
            </w:r>
          </w:p>
        </w:tc>
        <w:tc>
          <w:tcPr>
            <w:tcW w:w="20" w:type="dxa"/>
            <w:vAlign w:val="bottom"/>
          </w:tcPr>
          <w:p>
            <w:pPr>
              <w:spacing w:after="0"/>
              <w:rPr>
                <w:sz w:val="24"/>
                <w:szCs w:val="24"/>
                <w:color w:val="auto"/>
              </w:rPr>
            </w:pPr>
          </w:p>
        </w:tc>
      </w:tr>
      <w:tr>
        <w:trPr>
          <w:trHeight w:val="352"/>
        </w:trPr>
        <w:tc>
          <w:tcPr>
            <w:tcW w:w="4360" w:type="dxa"/>
            <w:vAlign w:val="bottom"/>
            <w:gridSpan w:val="2"/>
          </w:tcPr>
          <w:p>
            <w:pPr>
              <w:ind w:left="100"/>
              <w:spacing w:after="0"/>
              <w:rPr>
                <w:sz w:val="20"/>
                <w:szCs w:val="20"/>
                <w:color w:val="auto"/>
              </w:rPr>
            </w:pPr>
            <w:r>
              <w:rPr>
                <w:rFonts w:ascii="Arial" w:cs="Arial" w:eastAsia="Arial" w:hAnsi="Arial"/>
                <w:sz w:val="16"/>
                <w:szCs w:val="16"/>
                <w:color w:val="auto"/>
              </w:rPr>
              <w:t>Year-ended December 31, 2011 – Tax valuation allowance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54,513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16,052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38,461</w:t>
            </w:r>
          </w:p>
        </w:tc>
        <w:tc>
          <w:tcPr>
            <w:tcW w:w="20" w:type="dxa"/>
            <w:vAlign w:val="bottom"/>
          </w:tcPr>
          <w:p>
            <w:pPr>
              <w:spacing w:after="0"/>
              <w:rPr>
                <w:sz w:val="24"/>
                <w:szCs w:val="24"/>
                <w:color w:val="auto"/>
              </w:rPr>
            </w:pPr>
          </w:p>
        </w:tc>
      </w:tr>
      <w:tr>
        <w:trPr>
          <w:trHeight w:val="928"/>
        </w:trPr>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gridSpan w:val="2"/>
          </w:tcPr>
          <w:p>
            <w:pPr>
              <w:jc w:val="right"/>
              <w:ind w:right="782"/>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29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672" w:right="1339" w:bottom="1440" w:gutter="0" w:footer="0" w:header="0"/>
        </w:sectPr>
      </w:pPr>
    </w:p>
    <w:bookmarkStart w:id="102" w:name="page103"/>
    <w:bookmarkEnd w:id="102"/>
    <w:p>
      <w:pPr>
        <w:jc w:val="center"/>
        <w:ind w:right="-100"/>
        <w:spacing w:after="0"/>
        <w:rPr>
          <w:sz w:val="20"/>
          <w:szCs w:val="20"/>
          <w:color w:val="auto"/>
        </w:rPr>
      </w:pPr>
      <w:r>
        <w:rPr>
          <w:rFonts w:ascii="Arial" w:cs="Arial" w:eastAsia="Arial" w:hAnsi="Arial"/>
          <w:sz w:val="13"/>
          <w:szCs w:val="13"/>
          <w:b w:val="1"/>
          <w:bCs w:val="1"/>
          <w:u w:val="single" w:color="auto"/>
          <w:color w:val="auto"/>
        </w:rPr>
        <w:t>Item 9 – Change in and Disagreements with Accountants on Accounting and Financial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464" w:right="1440" w:bottom="1440" w:gutter="0" w:footer="0" w:header="0"/>
        </w:sectPr>
      </w:pPr>
    </w:p>
    <w:bookmarkStart w:id="103" w:name="page104"/>
    <w:bookmarkEnd w:id="103"/>
    <w:p>
      <w:pPr>
        <w:ind w:left="3380"/>
        <w:spacing w:after="0"/>
        <w:rPr>
          <w:sz w:val="20"/>
          <w:szCs w:val="20"/>
          <w:color w:val="auto"/>
        </w:rPr>
      </w:pPr>
      <w:r>
        <w:rPr>
          <w:rFonts w:ascii="Arial" w:cs="Arial" w:eastAsia="Arial" w:hAnsi="Arial"/>
          <w:sz w:val="16"/>
          <w:szCs w:val="16"/>
          <w:b w:val="1"/>
          <w:bCs w:val="1"/>
          <w:u w:val="single" w:color="auto"/>
          <w:color w:val="auto"/>
        </w:rPr>
        <w:t>Item 9A — 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90" w:lineRule="exact"/>
        <w:rPr>
          <w:sz w:val="20"/>
          <w:szCs w:val="20"/>
          <w:color w:val="auto"/>
        </w:rPr>
      </w:pPr>
    </w:p>
    <w:p>
      <w:pPr>
        <w:jc w:val="both"/>
        <w:ind w:firstLine="564"/>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55" w:lineRule="exact"/>
        <w:rPr>
          <w:sz w:val="20"/>
          <w:szCs w:val="20"/>
          <w:color w:val="auto"/>
        </w:rPr>
      </w:pPr>
    </w:p>
    <w:p>
      <w:pPr>
        <w:jc w:val="both"/>
        <w:ind w:firstLine="564"/>
        <w:spacing w:after="0" w:line="317" w:lineRule="auto"/>
        <w:rPr>
          <w:sz w:val="20"/>
          <w:szCs w:val="20"/>
          <w:color w:val="auto"/>
        </w:rPr>
      </w:pPr>
      <w:r>
        <w:rPr>
          <w:rFonts w:ascii="Arial" w:cs="Arial" w:eastAsia="Arial" w:hAnsi="Arial"/>
          <w:sz w:val="13"/>
          <w:szCs w:val="13"/>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5" w:lineRule="exact"/>
        <w:rPr>
          <w:sz w:val="20"/>
          <w:szCs w:val="20"/>
          <w:color w:val="auto"/>
        </w:rPr>
      </w:pPr>
    </w:p>
    <w:p>
      <w:pPr>
        <w:jc w:val="both"/>
        <w:ind w:firstLine="564"/>
        <w:spacing w:after="0" w:line="269" w:lineRule="auto"/>
        <w:rPr>
          <w:sz w:val="20"/>
          <w:szCs w:val="20"/>
          <w:color w:val="auto"/>
        </w:rPr>
      </w:pPr>
      <w:r>
        <w:rPr>
          <w:rFonts w:ascii="Arial" w:cs="Arial" w:eastAsia="Arial" w:hAnsi="Arial"/>
          <w:sz w:val="15"/>
          <w:szCs w:val="15"/>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Control—Integrated Framework </w:t>
      </w:r>
      <w:r>
        <w:rPr>
          <w:rFonts w:ascii="Arial" w:cs="Arial" w:eastAsia="Arial" w:hAnsi="Arial"/>
          <w:sz w:val="15"/>
          <w:szCs w:val="15"/>
          <w:color w:val="auto"/>
        </w:rPr>
        <w:t>issued by the Committee of Sponsoring Organizations (COSO) of the Treadway Commission. Based on our</w:t>
      </w:r>
      <w:r>
        <w:rPr>
          <w:rFonts w:ascii="Arial" w:cs="Arial" w:eastAsia="Arial" w:hAnsi="Arial"/>
          <w:sz w:val="15"/>
          <w:szCs w:val="15"/>
          <w:i w:val="1"/>
          <w:iCs w:val="1"/>
          <w:color w:val="auto"/>
        </w:rPr>
        <w:t xml:space="preserve"> </w:t>
      </w:r>
      <w:r>
        <w:rPr>
          <w:rFonts w:ascii="Arial" w:cs="Arial" w:eastAsia="Arial" w:hAnsi="Arial"/>
          <w:sz w:val="15"/>
          <w:szCs w:val="15"/>
          <w:color w:val="auto"/>
        </w:rPr>
        <w:t>evaluation under the COSO framework, our management concluded that our internal control over financial reporting was effective as of December 31, 2013. The effectiveness of our internal control over financial reporting as of December 31, 2013 has been audited by Grant Thornton LLP, an independent registered public accounting firm, as stated in their report, which is included herein.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Disclosure Controls and Procedures</w:t>
      </w:r>
    </w:p>
    <w:p>
      <w:pPr>
        <w:spacing w:after="0" w:line="78" w:lineRule="exact"/>
        <w:rPr>
          <w:sz w:val="20"/>
          <w:szCs w:val="20"/>
          <w:color w:val="auto"/>
        </w:rPr>
      </w:pPr>
    </w:p>
    <w:p>
      <w:pPr>
        <w:jc w:val="both"/>
        <w:ind w:firstLine="564"/>
        <w:spacing w:after="0" w:line="308" w:lineRule="auto"/>
        <w:rPr>
          <w:sz w:val="20"/>
          <w:szCs w:val="20"/>
          <w:color w:val="auto"/>
        </w:rPr>
      </w:pPr>
      <w:r>
        <w:rPr>
          <w:rFonts w:ascii="Arial" w:cs="Arial" w:eastAsia="Arial" w:hAnsi="Arial"/>
          <w:sz w:val="13"/>
          <w:szCs w:val="13"/>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general counsel, senior officers of each significant business line and other select employees assisted the Chief Executive Officer and the Chief Financial Officer in this evaluation. Based upon that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Changes in Internal Controls Over Financial Reporting</w:t>
      </w:r>
    </w:p>
    <w:p>
      <w:pPr>
        <w:spacing w:after="0" w:line="9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No changes in internal control over financial reporting occurred during the quarter ended December 31, 2013, that have materially affected, or are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263"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We have audited the internal control over financial reporting of Reading International, Inc. and subsidiaries (the “Company”) as of December 31, 2013, based on criteria established in the 1992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jc w:val="both"/>
        <w:ind w:firstLine="564"/>
        <w:spacing w:after="0" w:line="31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7"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8"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2013, based on criteria established in the 1992 Internal Control—Integrated Framework issued by COSO.</w:t>
      </w:r>
    </w:p>
    <w:p>
      <w:pPr>
        <w:spacing w:after="0" w:line="5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financial statements of the Company as of and for the year ended December 31, 2013 and our report dated March 7, 2014 expressed an unqualified opinion on those financial statements.</w:t>
      </w:r>
    </w:p>
    <w:p>
      <w:pPr>
        <w:spacing w:after="0" w:line="6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3"/>
          <w:szCs w:val="13"/>
          <w:color w:val="auto"/>
        </w:rPr>
        <w:t>Grant Thornton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u w:val="single" w:color="auto"/>
          <w:color w:val="auto"/>
        </w:rPr>
        <w:t>PART 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Items 10, 11, 12, 13 and 14</w:t>
      </w:r>
    </w:p>
    <w:p>
      <w:pPr>
        <w:spacing w:after="0" w:line="90"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Information required by Part II (Items 10, 11, 12, 13 and 14) of this From 10-K is hereby incorporated by reference from the Reading International, Inc.’s definitive Proxy Statement for its 2014 Annual Meeting of Stockholders, which will be filed with the Securities and Exchange Commission, pursuant to Regulation 14A, not later than 120 days after the end of the fiscal year.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06" w:name="page107"/>
    <w:bookmarkEnd w:id="106"/>
    <w:p>
      <w:pPr>
        <w:ind w:left="4280"/>
        <w:spacing w:after="0"/>
        <w:rPr>
          <w:sz w:val="20"/>
          <w:szCs w:val="20"/>
          <w:color w:val="auto"/>
        </w:rPr>
      </w:pPr>
      <w:r>
        <w:rPr>
          <w:rFonts w:ascii="Arial" w:cs="Arial" w:eastAsia="Arial" w:hAnsi="Arial"/>
          <w:sz w:val="16"/>
          <w:szCs w:val="16"/>
          <w:b w:val="1"/>
          <w:bCs w:val="1"/>
          <w:u w:val="single" w:color="auto"/>
          <w:color w:val="auto"/>
        </w:rPr>
        <w:t>PART IV</w:t>
      </w:r>
    </w:p>
    <w:p>
      <w:pPr>
        <w:spacing w:after="0" w:line="86" w:lineRule="exact"/>
        <w:rPr>
          <w:sz w:val="20"/>
          <w:szCs w:val="20"/>
          <w:color w:val="auto"/>
        </w:rPr>
      </w:pPr>
    </w:p>
    <w:p>
      <w:pPr>
        <w:ind w:left="2920"/>
        <w:spacing w:after="0"/>
        <w:rPr>
          <w:sz w:val="20"/>
          <w:szCs w:val="20"/>
          <w:color w:val="auto"/>
        </w:rPr>
      </w:pPr>
      <w:r>
        <w:rPr>
          <w:rFonts w:ascii="Arial" w:cs="Arial" w:eastAsia="Arial" w:hAnsi="Arial"/>
          <w:sz w:val="16"/>
          <w:szCs w:val="16"/>
          <w:b w:val="1"/>
          <w:bCs w:val="1"/>
          <w:u w:val="single" w:color="auto"/>
          <w:color w:val="auto"/>
        </w:rPr>
        <w:t>Item 15 – Exhibits,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documents are filed as a part of this report:</w:t>
      </w:r>
    </w:p>
    <w:p>
      <w:pPr>
        <w:spacing w:after="0" w:line="157" w:lineRule="exact"/>
        <w:rPr>
          <w:sz w:val="20"/>
          <w:szCs w:val="20"/>
          <w:color w:val="auto"/>
        </w:rPr>
      </w:pPr>
    </w:p>
    <w:p>
      <w:pPr>
        <w:ind w:left="840" w:hanging="557"/>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Financial Statements</w:t>
      </w:r>
    </w:p>
    <w:p>
      <w:pPr>
        <w:spacing w:after="0" w:line="86" w:lineRule="exact"/>
        <w:rPr>
          <w:sz w:val="20"/>
          <w:szCs w:val="20"/>
          <w:color w:val="auto"/>
        </w:rPr>
      </w:pPr>
    </w:p>
    <w:p>
      <w:pPr>
        <w:ind w:right="1039" w:firstLine="59"/>
        <w:spacing w:after="0" w:line="344" w:lineRule="auto"/>
        <w:rPr>
          <w:sz w:val="20"/>
          <w:szCs w:val="20"/>
          <w:color w:val="auto"/>
        </w:rPr>
      </w:pPr>
      <w:r>
        <w:rPr>
          <w:rFonts w:ascii="Arial" w:cs="Arial" w:eastAsia="Arial" w:hAnsi="Arial"/>
          <w:sz w:val="16"/>
          <w:szCs w:val="16"/>
          <w:color w:val="auto"/>
        </w:rPr>
        <w:t xml:space="preserve">The following financial statements are filed as part of this report under Item 8 –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Description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Reports of Independent Registered Accounting Firm (page 55)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as of December 31, 2013 and 2012 (page 56)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for the Three Years Ended December 31, 2013 (page 57)</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Comprehensive Income (Loss) for the Three Years Ended December 31, 2012 (page 58)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Stockholders’ Equity for the Three Years Ended December 31, 2013 (page 59)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 for the Three Years Ended December 31, 2013 (page 60)</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Notes to Consolidated Financial Statements (page 61)</w:t>
      </w:r>
    </w:p>
    <w:p>
      <w:pPr>
        <w:spacing w:after="0" w:line="239" w:lineRule="exact"/>
        <w:rPr>
          <w:sz w:val="20"/>
          <w:szCs w:val="20"/>
          <w:color w:val="auto"/>
        </w:rPr>
      </w:pPr>
    </w:p>
    <w:p>
      <w:pPr>
        <w:ind w:left="720" w:hanging="437"/>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Financial Statements and Schedules for the years ended December 31, 2013, 2012, and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40" w:hanging="557"/>
        <w:spacing w:after="0"/>
        <w:tabs>
          <w:tab w:leader="none" w:pos="840"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Exhibits (Listed by numbers corresponding to Item 601 of Regulation S-K (page </w:t>
      </w:r>
      <w:r>
        <w:rPr>
          <w:rFonts w:ascii="Arial" w:cs="Arial" w:eastAsia="Arial" w:hAnsi="Arial"/>
          <w:sz w:val="16"/>
          <w:szCs w:val="16"/>
          <w:color w:val="auto"/>
        </w:rPr>
        <w:t>125)</w:t>
      </w:r>
    </w:p>
    <w:p>
      <w:pPr>
        <w:spacing w:after="0" w:line="74" w:lineRule="exact"/>
        <w:rPr>
          <w:rFonts w:ascii="Arial" w:cs="Arial" w:eastAsia="Arial" w:hAnsi="Arial"/>
          <w:sz w:val="16"/>
          <w:szCs w:val="16"/>
          <w:color w:val="auto"/>
        </w:rPr>
      </w:pPr>
    </w:p>
    <w:p>
      <w:pPr>
        <w:ind w:left="220" w:hanging="218"/>
        <w:spacing w:after="0"/>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Exhibits Required by Item 601 of Regulation S-K</w:t>
      </w:r>
    </w:p>
    <w:p>
      <w:pPr>
        <w:spacing w:after="0" w:line="200" w:lineRule="exact"/>
        <w:rPr>
          <w:sz w:val="20"/>
          <w:szCs w:val="20"/>
          <w:color w:val="auto"/>
        </w:rPr>
      </w:pPr>
    </w:p>
    <w:p>
      <w:pPr>
        <w:spacing w:after="0" w:line="309" w:lineRule="exact"/>
        <w:rPr>
          <w:sz w:val="20"/>
          <w:szCs w:val="20"/>
          <w:color w:val="auto"/>
        </w:rPr>
      </w:pPr>
    </w:p>
    <w:p>
      <w:pPr>
        <w:ind w:right="7019" w:firstLine="2"/>
        <w:spacing w:after="0" w:line="627" w:lineRule="auto"/>
        <w:tabs>
          <w:tab w:leader="none" w:pos="213"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Financial Statement Schedule See Item (a) 2. above.</w:t>
      </w: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463" w:right="1440"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6"/>
          <w:szCs w:val="16"/>
          <w:color w:val="auto"/>
        </w:rPr>
        <w:t>Following are financial statements and notes of Mt. Gravatt Cinemas Joint Venture for the periods indicated. We are required to include in our Report on Form 10-K audited financial statements for the years ended December 31, 2012, and 2011. The financial statements for 2013 are unaudited.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Income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2013, 2012 and 2011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Note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8"/>
              </w:rPr>
              <w:t>(unaudited)</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2011</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Revenue from rendering services</w:t>
            </w:r>
          </w:p>
        </w:tc>
        <w:tc>
          <w:tcPr>
            <w:tcW w:w="1240" w:type="dxa"/>
            <w:vAlign w:val="bottom"/>
          </w:tcPr>
          <w:p>
            <w:pPr>
              <w:jc w:val="center"/>
              <w:ind w:left="562"/>
              <w:spacing w:after="0" w:line="175" w:lineRule="exact"/>
              <w:rPr>
                <w:sz w:val="20"/>
                <w:szCs w:val="20"/>
                <w:color w:val="auto"/>
              </w:rPr>
            </w:pPr>
            <w:r>
              <w:rPr>
                <w:rFonts w:ascii="Arial" w:cs="Arial" w:eastAsia="Arial" w:hAnsi="Arial"/>
                <w:sz w:val="16"/>
                <w:szCs w:val="16"/>
                <w:color w:val="auto"/>
                <w:w w:val="89"/>
              </w:rPr>
              <w:t>5</w:t>
            </w:r>
          </w:p>
        </w:tc>
        <w:tc>
          <w:tcPr>
            <w:tcW w:w="3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9,765,087</w:t>
            </w:r>
          </w:p>
        </w:tc>
        <w:tc>
          <w:tcPr>
            <w:tcW w:w="4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10,689,440</w:t>
            </w:r>
          </w:p>
        </w:tc>
        <w:tc>
          <w:tcPr>
            <w:tcW w:w="42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10,022,854</w:t>
            </w:r>
          </w:p>
        </w:tc>
      </w:tr>
      <w:tr>
        <w:trPr>
          <w:trHeight w:val="200"/>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Revenue from sale of concession</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3,605,822</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4,015,329</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3,625,410</w:t>
            </w:r>
          </w:p>
        </w:tc>
      </w:tr>
      <w:tr>
        <w:trPr>
          <w:trHeight w:val="180"/>
        </w:trPr>
        <w:tc>
          <w:tcPr>
            <w:tcW w:w="3560" w:type="dxa"/>
            <w:vAlign w:val="bottom"/>
            <w:tcBorders>
              <w:bottom w:val="single" w:sz="8" w:color="auto"/>
            </w:tcBorders>
          </w:tcPr>
          <w:p>
            <w:pPr>
              <w:ind w:left="200"/>
              <w:spacing w:after="0" w:line="181" w:lineRule="exact"/>
              <w:rPr>
                <w:sz w:val="20"/>
                <w:szCs w:val="20"/>
                <w:color w:val="auto"/>
              </w:rPr>
            </w:pPr>
            <w:r>
              <w:rPr>
                <w:rFonts w:ascii="Arial" w:cs="Arial" w:eastAsia="Arial" w:hAnsi="Arial"/>
                <w:sz w:val="16"/>
                <w:szCs w:val="16"/>
                <w:b w:val="1"/>
                <w:bCs w:val="1"/>
                <w:color w:val="auto"/>
              </w:rPr>
              <w:t>Total revenue</w:t>
            </w:r>
          </w:p>
        </w:tc>
        <w:tc>
          <w:tcPr>
            <w:tcW w:w="1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13,370,909</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14,704,769</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13,648,264</w:t>
            </w:r>
          </w:p>
        </w:tc>
      </w:tr>
      <w:tr>
        <w:trPr>
          <w:trHeight w:val="285"/>
        </w:trPr>
        <w:tc>
          <w:tcPr>
            <w:tcW w:w="3560" w:type="dxa"/>
            <w:vAlign w:val="bottom"/>
          </w:tcPr>
          <w:p>
            <w:pPr>
              <w:spacing w:after="0"/>
              <w:rPr>
                <w:sz w:val="20"/>
                <w:szCs w:val="20"/>
                <w:color w:val="auto"/>
              </w:rPr>
            </w:pPr>
            <w:r>
              <w:rPr>
                <w:rFonts w:ascii="Arial" w:cs="Arial" w:eastAsia="Arial" w:hAnsi="Arial"/>
                <w:sz w:val="16"/>
                <w:szCs w:val="16"/>
                <w:color w:val="auto"/>
              </w:rPr>
              <w:t>Film expenses</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(3,797,873)</w:t>
            </w:r>
          </w:p>
        </w:tc>
        <w:tc>
          <w:tcPr>
            <w:tcW w:w="420" w:type="dxa"/>
            <w:vAlign w:val="bottom"/>
          </w:tcPr>
          <w:p>
            <w:pPr>
              <w:spacing w:after="0"/>
              <w:rPr>
                <w:sz w:val="24"/>
                <w:szCs w:val="24"/>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(4,311,436)</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(3,974,267)</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Personnel expenses</w:t>
            </w:r>
          </w:p>
        </w:tc>
        <w:tc>
          <w:tcPr>
            <w:tcW w:w="1240" w:type="dxa"/>
            <w:vAlign w:val="bottom"/>
          </w:tcPr>
          <w:p>
            <w:pPr>
              <w:jc w:val="center"/>
              <w:ind w:left="562"/>
              <w:spacing w:after="0"/>
              <w:rPr>
                <w:sz w:val="20"/>
                <w:szCs w:val="20"/>
                <w:color w:val="auto"/>
              </w:rPr>
            </w:pPr>
            <w:r>
              <w:rPr>
                <w:rFonts w:ascii="Arial" w:cs="Arial" w:eastAsia="Arial" w:hAnsi="Arial"/>
                <w:sz w:val="16"/>
                <w:szCs w:val="16"/>
                <w:color w:val="auto"/>
                <w:w w:val="89"/>
              </w:rPr>
              <w:t>6</w:t>
            </w: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(1,681,870)</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(1,845,515)</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(1,925,190)</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Occupancy expenses</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(1,603,302)</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(1,584,751)</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(1,521,307)</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House expenses</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(1,174,667)</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(1,260,328)</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(1,159,484)</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Cost of concession</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(853,553)</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(944,355)</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(851,575)</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1240" w:type="dxa"/>
            <w:vAlign w:val="bottom"/>
          </w:tcPr>
          <w:p>
            <w:pPr>
              <w:jc w:val="center"/>
              <w:ind w:left="542"/>
              <w:spacing w:after="0"/>
              <w:rPr>
                <w:sz w:val="20"/>
                <w:szCs w:val="20"/>
                <w:color w:val="auto"/>
              </w:rPr>
            </w:pPr>
            <w:r>
              <w:rPr>
                <w:rFonts w:ascii="Arial" w:cs="Arial" w:eastAsia="Arial" w:hAnsi="Arial"/>
                <w:sz w:val="16"/>
                <w:szCs w:val="16"/>
                <w:color w:val="auto"/>
                <w:w w:val="78"/>
              </w:rPr>
              <w:t>11</w:t>
            </w: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(544,270)</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(597,349)</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(555,594)</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Advertising and marketing costs</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(285,815)</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(313,791)</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(334,325)</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Management fees</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(267,902)</w:t>
            </w:r>
          </w:p>
        </w:tc>
        <w:tc>
          <w:tcPr>
            <w:tcW w:w="42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(261,004)</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(253,914)</w:t>
            </w:r>
          </w:p>
        </w:tc>
      </w:tr>
      <w:tr>
        <w:trPr>
          <w:trHeight w:val="200"/>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Repairs and maintenance expense</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(155,198)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(217,289)</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(182,566)</w:t>
            </w:r>
          </w:p>
        </w:tc>
      </w:tr>
      <w:tr>
        <w:trPr>
          <w:trHeight w:val="180"/>
        </w:trPr>
        <w:tc>
          <w:tcPr>
            <w:tcW w:w="3560" w:type="dxa"/>
            <w:vAlign w:val="bottom"/>
            <w:tcBorders>
              <w:bottom w:val="single" w:sz="8" w:color="auto"/>
            </w:tcBorders>
          </w:tcPr>
          <w:p>
            <w:pPr>
              <w:ind w:left="240"/>
              <w:spacing w:after="0" w:line="181" w:lineRule="exact"/>
              <w:rPr>
                <w:sz w:val="20"/>
                <w:szCs w:val="20"/>
                <w:color w:val="auto"/>
              </w:rPr>
            </w:pPr>
            <w:r>
              <w:rPr>
                <w:rFonts w:ascii="Arial" w:cs="Arial" w:eastAsia="Arial" w:hAnsi="Arial"/>
                <w:sz w:val="16"/>
                <w:szCs w:val="16"/>
                <w:b w:val="1"/>
                <w:bCs w:val="1"/>
                <w:color w:val="auto"/>
              </w:rPr>
              <w:t>Results for operating activities</w:t>
            </w:r>
          </w:p>
        </w:tc>
        <w:tc>
          <w:tcPr>
            <w:tcW w:w="1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3,006,459</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3,368,951</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2,890,042</w:t>
            </w:r>
          </w:p>
        </w:tc>
      </w:tr>
      <w:tr>
        <w:trPr>
          <w:trHeight w:val="297"/>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Finance income</w:t>
            </w: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11,922</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21,256</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58,301</w:t>
            </w:r>
          </w:p>
        </w:tc>
      </w:tr>
      <w:tr>
        <w:trPr>
          <w:trHeight w:val="180"/>
        </w:trPr>
        <w:tc>
          <w:tcPr>
            <w:tcW w:w="3560" w:type="dxa"/>
            <w:vAlign w:val="bottom"/>
            <w:tcBorders>
              <w:bottom w:val="single" w:sz="8" w:color="auto"/>
            </w:tcBorders>
          </w:tcPr>
          <w:p>
            <w:pPr>
              <w:ind w:left="240"/>
              <w:spacing w:after="0" w:line="181" w:lineRule="exact"/>
              <w:rPr>
                <w:sz w:val="20"/>
                <w:szCs w:val="20"/>
                <w:color w:val="auto"/>
              </w:rPr>
            </w:pPr>
            <w:r>
              <w:rPr>
                <w:rFonts w:ascii="Arial" w:cs="Arial" w:eastAsia="Arial" w:hAnsi="Arial"/>
                <w:sz w:val="16"/>
                <w:szCs w:val="16"/>
                <w:b w:val="1"/>
                <w:bCs w:val="1"/>
                <w:color w:val="auto"/>
              </w:rPr>
              <w:t>Net finance income</w:t>
            </w:r>
          </w:p>
        </w:tc>
        <w:tc>
          <w:tcPr>
            <w:tcW w:w="1240" w:type="dxa"/>
            <w:vAlign w:val="bottom"/>
            <w:tcBorders>
              <w:bottom w:val="single" w:sz="8" w:color="auto"/>
            </w:tcBorders>
          </w:tcPr>
          <w:p>
            <w:pPr>
              <w:jc w:val="center"/>
              <w:ind w:left="562"/>
              <w:spacing w:after="0" w:line="181" w:lineRule="exact"/>
              <w:rPr>
                <w:sz w:val="20"/>
                <w:szCs w:val="20"/>
                <w:color w:val="auto"/>
              </w:rPr>
            </w:pPr>
            <w:r>
              <w:rPr>
                <w:rFonts w:ascii="Arial" w:cs="Arial" w:eastAsia="Arial" w:hAnsi="Arial"/>
                <w:sz w:val="16"/>
                <w:szCs w:val="16"/>
                <w:color w:val="auto"/>
                <w:w w:val="89"/>
              </w:rPr>
              <w:t>7</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11,922</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21,256</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58,301</w:t>
            </w:r>
          </w:p>
        </w:tc>
      </w:tr>
      <w:tr>
        <w:trPr>
          <w:trHeight w:val="180"/>
        </w:trPr>
        <w:tc>
          <w:tcPr>
            <w:tcW w:w="356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Profit for the period</w:t>
            </w:r>
          </w:p>
        </w:tc>
        <w:tc>
          <w:tcPr>
            <w:tcW w:w="1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3,018,381</w:t>
            </w:r>
          </w:p>
        </w:tc>
        <w:tc>
          <w:tcPr>
            <w:tcW w:w="420" w:type="dxa"/>
            <w:vAlign w:val="bottom"/>
            <w:tcBorders>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3,390,207</w:t>
            </w:r>
          </w:p>
        </w:tc>
        <w:tc>
          <w:tcPr>
            <w:tcW w:w="420" w:type="dxa"/>
            <w:vAlign w:val="bottom"/>
            <w:tcBorders>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2,948,343</w:t>
            </w:r>
          </w:p>
        </w:tc>
      </w:tr>
      <w:tr>
        <w:trPr>
          <w:trHeight w:val="285"/>
        </w:trPr>
        <w:tc>
          <w:tcPr>
            <w:tcW w:w="356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0"/>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comprehensive income for the period</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35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Total comprehensive income for the period</w:t>
            </w:r>
          </w:p>
        </w:tc>
        <w:tc>
          <w:tcPr>
            <w:tcW w:w="1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3,018,381</w:t>
            </w:r>
          </w:p>
        </w:tc>
        <w:tc>
          <w:tcPr>
            <w:tcW w:w="42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3,390,207</w:t>
            </w:r>
          </w:p>
        </w:tc>
        <w:tc>
          <w:tcPr>
            <w:tcW w:w="42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2,948,343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Equity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2013, 2012 and 2011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Village</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3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center"/>
              <w:ind w:right="42"/>
              <w:spacing w:after="0"/>
              <w:rPr>
                <w:sz w:val="20"/>
                <w:szCs w:val="20"/>
                <w:color w:val="auto"/>
              </w:rPr>
            </w:pPr>
            <w:r>
              <w:rPr>
                <w:rFonts w:ascii="Arial" w:cs="Arial" w:eastAsia="Arial" w:hAnsi="Arial"/>
                <w:sz w:val="16"/>
                <w:szCs w:val="16"/>
                <w:b w:val="1"/>
                <w:bCs w:val="1"/>
                <w:color w:val="auto"/>
                <w:w w:val="92"/>
              </w:rPr>
              <w:t>Birch Carroll</w:t>
            </w:r>
          </w:p>
        </w:tc>
        <w:tc>
          <w:tcPr>
            <w:tcW w:w="18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6"/>
                <w:szCs w:val="16"/>
                <w:b w:val="1"/>
                <w:bCs w:val="1"/>
                <w:color w:val="auto"/>
                <w:w w:val="85"/>
              </w:rPr>
              <w:t>Reading</w:t>
            </w:r>
          </w:p>
        </w:tc>
        <w:tc>
          <w:tcPr>
            <w:tcW w:w="1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Roadshow</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3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center"/>
              <w:ind w:right="22"/>
              <w:spacing w:after="0"/>
              <w:rPr>
                <w:sz w:val="20"/>
                <w:szCs w:val="20"/>
                <w:color w:val="auto"/>
              </w:rPr>
            </w:pPr>
            <w:r>
              <w:rPr>
                <w:rFonts w:ascii="Arial" w:cs="Arial" w:eastAsia="Arial" w:hAnsi="Arial"/>
                <w:sz w:val="16"/>
                <w:szCs w:val="16"/>
                <w:b w:val="1"/>
                <w:bCs w:val="1"/>
                <w:color w:val="auto"/>
                <w:w w:val="93"/>
              </w:rPr>
              <w:t>&amp; Coyle</w:t>
            </w:r>
          </w:p>
        </w:tc>
        <w:tc>
          <w:tcPr>
            <w:tcW w:w="18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Exhibition Pty</w:t>
            </w:r>
          </w:p>
        </w:tc>
        <w:tc>
          <w:tcPr>
            <w:tcW w:w="160" w:type="dxa"/>
            <w:vAlign w:val="bottom"/>
          </w:tcPr>
          <w:p>
            <w:pPr>
              <w:spacing w:after="0"/>
              <w:rPr>
                <w:sz w:val="16"/>
                <w:szCs w:val="16"/>
                <w:color w:val="auto"/>
              </w:rPr>
            </w:pPr>
          </w:p>
        </w:tc>
        <w:tc>
          <w:tcPr>
            <w:tcW w:w="108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Exhibition Pty</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4"/>
              </w:rPr>
              <w:t>Limited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rPr>
              <w:t>Ltd</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96"/>
              </w:rPr>
              <w:t>Ltd</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Total</w:t>
            </w:r>
          </w:p>
        </w:tc>
      </w:tr>
      <w:tr>
        <w:trPr>
          <w:trHeight w:val="191"/>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Members’ Equity at December 31, 2010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1,297,924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1,297,924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1,297,924</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3,893,772</w:t>
            </w:r>
          </w:p>
        </w:tc>
      </w:tr>
      <w:tr>
        <w:trPr>
          <w:trHeight w:val="352"/>
        </w:trPr>
        <w:tc>
          <w:tcPr>
            <w:tcW w:w="3900" w:type="dxa"/>
            <w:vAlign w:val="bottom"/>
          </w:tcPr>
          <w:p>
            <w:pPr>
              <w:spacing w:after="0"/>
              <w:rPr>
                <w:sz w:val="20"/>
                <w:szCs w:val="20"/>
                <w:color w:val="auto"/>
              </w:rPr>
            </w:pPr>
            <w:r>
              <w:rPr>
                <w:rFonts w:ascii="Arial" w:cs="Arial" w:eastAsia="Arial" w:hAnsi="Arial"/>
                <w:sz w:val="16"/>
                <w:szCs w:val="16"/>
                <w:color w:val="auto"/>
              </w:rPr>
              <w:t>Member distributions</w:t>
            </w: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(700,000)</w:t>
            </w:r>
          </w:p>
        </w:tc>
        <w:tc>
          <w:tcPr>
            <w:tcW w:w="18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(700,000)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(2,100,000)</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5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Profit for the period</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982,781</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982,781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982,781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2,948,343</w:t>
            </w:r>
          </w:p>
        </w:tc>
      </w:tr>
      <w:tr>
        <w:trPr>
          <w:trHeight w:val="180"/>
        </w:trPr>
        <w:tc>
          <w:tcPr>
            <w:tcW w:w="39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comprehensive income for the period</w:t>
            </w: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982,781</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982,781</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982,781</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2,948,343</w:t>
            </w:r>
          </w:p>
        </w:tc>
      </w:tr>
      <w:tr>
        <w:trPr>
          <w:trHeight w:val="183"/>
        </w:trPr>
        <w:tc>
          <w:tcPr>
            <w:tcW w:w="39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Members’ Equity at December 31, 2011</w:t>
            </w:r>
          </w:p>
        </w:tc>
        <w:tc>
          <w:tcPr>
            <w:tcW w:w="5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1,580,705</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1,580,705</w:t>
            </w: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1,580,705</w:t>
            </w:r>
          </w:p>
        </w:tc>
        <w:tc>
          <w:tcPr>
            <w:tcW w:w="30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4,742,115</w:t>
            </w:r>
          </w:p>
        </w:tc>
      </w:tr>
      <w:tr>
        <w:trPr>
          <w:trHeight w:val="352"/>
        </w:trPr>
        <w:tc>
          <w:tcPr>
            <w:tcW w:w="3900" w:type="dxa"/>
            <w:vAlign w:val="bottom"/>
          </w:tcPr>
          <w:p>
            <w:pPr>
              <w:spacing w:after="0"/>
              <w:rPr>
                <w:sz w:val="20"/>
                <w:szCs w:val="20"/>
                <w:color w:val="auto"/>
              </w:rPr>
            </w:pPr>
            <w:r>
              <w:rPr>
                <w:rFonts w:ascii="Arial" w:cs="Arial" w:eastAsia="Arial" w:hAnsi="Arial"/>
                <w:sz w:val="16"/>
                <w:szCs w:val="16"/>
                <w:color w:val="auto"/>
              </w:rPr>
              <w:t>Member distributions</w:t>
            </w: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(1,350,000)</w:t>
            </w:r>
          </w:p>
        </w:tc>
        <w:tc>
          <w:tcPr>
            <w:tcW w:w="18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(1,350,000)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(1,350,000)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(4,050,000)</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5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Profit for the period</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1,130,069</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1,130,069</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1,130,069</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3,390,207</w:t>
            </w:r>
          </w:p>
        </w:tc>
      </w:tr>
      <w:tr>
        <w:trPr>
          <w:trHeight w:val="180"/>
        </w:trPr>
        <w:tc>
          <w:tcPr>
            <w:tcW w:w="39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 comprehensive income for the period</w:t>
            </w: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1,130,069</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1,130,069</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1,130,069</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3,390,207</w:t>
            </w:r>
          </w:p>
        </w:tc>
      </w:tr>
      <w:tr>
        <w:trPr>
          <w:trHeight w:val="183"/>
        </w:trPr>
        <w:tc>
          <w:tcPr>
            <w:tcW w:w="39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Members’ Equity at December 31, 2012</w:t>
            </w:r>
          </w:p>
        </w:tc>
        <w:tc>
          <w:tcPr>
            <w:tcW w:w="5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1,360,774</w:t>
            </w:r>
          </w:p>
        </w:tc>
        <w:tc>
          <w:tcPr>
            <w:tcW w:w="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1,360,774</w:t>
            </w: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color w:val="auto"/>
              </w:rPr>
              <w:t>1,360,774</w:t>
            </w:r>
          </w:p>
        </w:tc>
        <w:tc>
          <w:tcPr>
            <w:tcW w:w="30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4,082,322</w:t>
            </w:r>
          </w:p>
        </w:tc>
      </w:tr>
      <w:tr>
        <w:trPr>
          <w:trHeight w:val="352"/>
        </w:trPr>
        <w:tc>
          <w:tcPr>
            <w:tcW w:w="3900" w:type="dxa"/>
            <w:vAlign w:val="bottom"/>
          </w:tcPr>
          <w:p>
            <w:pPr>
              <w:spacing w:after="0"/>
              <w:rPr>
                <w:sz w:val="20"/>
                <w:szCs w:val="20"/>
                <w:color w:val="auto"/>
              </w:rPr>
            </w:pPr>
            <w:r>
              <w:rPr>
                <w:rFonts w:ascii="Arial" w:cs="Arial" w:eastAsia="Arial" w:hAnsi="Arial"/>
                <w:sz w:val="16"/>
                <w:szCs w:val="16"/>
                <w:color w:val="auto"/>
              </w:rPr>
              <w:t>Member distributions (unaudited)</w:t>
            </w: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(1,100,000)</w:t>
            </w:r>
          </w:p>
        </w:tc>
        <w:tc>
          <w:tcPr>
            <w:tcW w:w="18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(1,100,000)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(1,100,000)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(3,300,000)</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Total other comprehensive income (unaudited)</w:t>
            </w:r>
          </w:p>
        </w:tc>
        <w:tc>
          <w:tcPr>
            <w:tcW w:w="56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Profit for the period (unaudited)</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1,006,127</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1,006,127</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1,006,127</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3,018,381</w:t>
            </w:r>
          </w:p>
        </w:tc>
      </w:tr>
      <w:tr>
        <w:trPr>
          <w:trHeight w:val="379"/>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Total comprehensive income for the period (unaudited)</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1,006,127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1,006,127</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1,006,127</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3,018,381</w:t>
            </w:r>
          </w:p>
        </w:tc>
      </w:tr>
      <w:tr>
        <w:trPr>
          <w:trHeight w:val="372"/>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Members’ Equity at December 31, 2013 (unaudited)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1,266,901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1,266,901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1,266,901</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3,800,703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Financial Position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at December 31, 2013 and 2012</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jc w:val="right"/>
              <w:ind w:right="662"/>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30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Note</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2012</w:t>
            </w: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b w:val="1"/>
                <w:bCs w:val="1"/>
                <w:color w:val="auto"/>
              </w:rPr>
              <w:t>ASSETS</w:t>
            </w:r>
          </w:p>
        </w:tc>
        <w:tc>
          <w:tcPr>
            <w:tcW w:w="2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300" w:type="dxa"/>
            <w:vAlign w:val="bottom"/>
          </w:tcPr>
          <w:p>
            <w:pPr>
              <w:jc w:val="center"/>
              <w:ind w:left="782"/>
              <w:spacing w:after="0"/>
              <w:rPr>
                <w:sz w:val="20"/>
                <w:szCs w:val="20"/>
                <w:color w:val="auto"/>
              </w:rPr>
            </w:pPr>
            <w:r>
              <w:rPr>
                <w:rFonts w:ascii="Arial" w:cs="Arial" w:eastAsia="Arial" w:hAnsi="Arial"/>
                <w:sz w:val="16"/>
                <w:szCs w:val="16"/>
                <w:color w:val="auto"/>
                <w:w w:val="89"/>
              </w:rPr>
              <w:t>8</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694,392</w:t>
            </w: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898,217</w:t>
            </w: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Trade receivables</w:t>
            </w:r>
          </w:p>
        </w:tc>
        <w:tc>
          <w:tcPr>
            <w:tcW w:w="2300" w:type="dxa"/>
            <w:vAlign w:val="bottom"/>
          </w:tcPr>
          <w:p>
            <w:pPr>
              <w:jc w:val="center"/>
              <w:ind w:left="782"/>
              <w:spacing w:after="0"/>
              <w:rPr>
                <w:sz w:val="20"/>
                <w:szCs w:val="20"/>
                <w:color w:val="auto"/>
              </w:rPr>
            </w:pPr>
            <w:r>
              <w:rPr>
                <w:rFonts w:ascii="Arial" w:cs="Arial" w:eastAsia="Arial" w:hAnsi="Arial"/>
                <w:sz w:val="16"/>
                <w:szCs w:val="16"/>
                <w:color w:val="auto"/>
                <w:w w:val="89"/>
              </w:rPr>
              <w:t>9</w:t>
            </w:r>
          </w:p>
        </w:tc>
        <w:tc>
          <w:tcPr>
            <w:tcW w:w="700" w:type="dxa"/>
            <w:vAlign w:val="bottom"/>
          </w:tcPr>
          <w:p>
            <w:pPr>
              <w:spacing w:after="0"/>
              <w:rPr>
                <w:sz w:val="16"/>
                <w:szCs w:val="16"/>
                <w:color w:val="auto"/>
              </w:rPr>
            </w:pP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172,293</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196,598</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Inventories</w:t>
            </w:r>
          </w:p>
        </w:tc>
        <w:tc>
          <w:tcPr>
            <w:tcW w:w="230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89"/>
              </w:rPr>
              <w:t>10</w:t>
            </w: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126,947</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173,411</w:t>
            </w:r>
          </w:p>
        </w:tc>
      </w:tr>
      <w:tr>
        <w:trPr>
          <w:trHeight w:val="168"/>
        </w:trPr>
        <w:tc>
          <w:tcPr>
            <w:tcW w:w="3300" w:type="dxa"/>
            <w:vAlign w:val="bottom"/>
          </w:tcPr>
          <w:p>
            <w:pPr>
              <w:spacing w:after="0" w:line="168" w:lineRule="exact"/>
              <w:rPr>
                <w:sz w:val="20"/>
                <w:szCs w:val="20"/>
                <w:color w:val="auto"/>
              </w:rPr>
            </w:pPr>
            <w:r>
              <w:rPr>
                <w:rFonts w:ascii="Arial" w:cs="Arial" w:eastAsia="Arial" w:hAnsi="Arial"/>
                <w:sz w:val="16"/>
                <w:szCs w:val="16"/>
                <w:b w:val="1"/>
                <w:bCs w:val="1"/>
                <w:color w:val="auto"/>
              </w:rPr>
              <w:t>Total current assets</w:t>
            </w:r>
          </w:p>
        </w:tc>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jc w:val="right"/>
              <w:ind w:right="342"/>
              <w:spacing w:after="0" w:line="168" w:lineRule="exact"/>
              <w:rPr>
                <w:sz w:val="20"/>
                <w:szCs w:val="20"/>
                <w:color w:val="auto"/>
              </w:rPr>
            </w:pPr>
            <w:r>
              <w:rPr>
                <w:rFonts w:ascii="Arial" w:cs="Arial" w:eastAsia="Arial" w:hAnsi="Arial"/>
                <w:sz w:val="16"/>
                <w:szCs w:val="16"/>
                <w:color w:val="auto"/>
              </w:rPr>
              <w:t>993,632</w:t>
            </w:r>
          </w:p>
        </w:tc>
        <w:tc>
          <w:tcPr>
            <w:tcW w:w="6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1,268,226</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Property, plant and equipment</w:t>
            </w:r>
          </w:p>
        </w:tc>
        <w:tc>
          <w:tcPr>
            <w:tcW w:w="230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89"/>
              </w:rPr>
              <w:t>11</w:t>
            </w: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3,681,951</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3,923,871</w:t>
            </w:r>
          </w:p>
        </w:tc>
      </w:tr>
      <w:tr>
        <w:trPr>
          <w:trHeight w:val="180"/>
        </w:trPr>
        <w:tc>
          <w:tcPr>
            <w:tcW w:w="33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Total non-current assets</w:t>
            </w:r>
          </w:p>
        </w:tc>
        <w:tc>
          <w:tcPr>
            <w:tcW w:w="2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color w:val="auto"/>
              </w:rPr>
              <w:t>3,681,951</w:t>
            </w: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3,923,871</w:t>
            </w:r>
          </w:p>
        </w:tc>
      </w:tr>
      <w:tr>
        <w:trPr>
          <w:trHeight w:val="183"/>
        </w:trPr>
        <w:tc>
          <w:tcPr>
            <w:tcW w:w="33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Total assets</w:t>
            </w:r>
          </w:p>
        </w:tc>
        <w:tc>
          <w:tcPr>
            <w:tcW w:w="2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42"/>
              <w:spacing w:after="0" w:line="180" w:lineRule="exact"/>
              <w:rPr>
                <w:sz w:val="20"/>
                <w:szCs w:val="20"/>
                <w:color w:val="auto"/>
              </w:rPr>
            </w:pPr>
            <w:r>
              <w:rPr>
                <w:rFonts w:ascii="Arial" w:cs="Arial" w:eastAsia="Arial" w:hAnsi="Arial"/>
                <w:sz w:val="16"/>
                <w:szCs w:val="16"/>
                <w:color w:val="auto"/>
              </w:rPr>
              <w:t>4,675,583</w:t>
            </w:r>
          </w:p>
        </w:tc>
        <w:tc>
          <w:tcPr>
            <w:tcW w:w="680" w:type="dxa"/>
            <w:vAlign w:val="bottom"/>
            <w:tcBorders>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5,192,097</w:t>
            </w:r>
          </w:p>
        </w:tc>
      </w:tr>
      <w:tr>
        <w:trPr>
          <w:trHeight w:val="340"/>
        </w:trPr>
        <w:tc>
          <w:tcPr>
            <w:tcW w:w="330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2300" w:type="dxa"/>
            <w:vAlign w:val="bottom"/>
          </w:tcPr>
          <w:p>
            <w:pPr>
              <w:jc w:val="center"/>
              <w:ind w:left="782"/>
              <w:spacing w:after="0"/>
              <w:rPr>
                <w:sz w:val="20"/>
                <w:szCs w:val="20"/>
                <w:color w:val="auto"/>
              </w:rPr>
            </w:pPr>
            <w:r>
              <w:rPr>
                <w:rFonts w:ascii="Arial" w:cs="Arial" w:eastAsia="Arial" w:hAnsi="Arial"/>
                <w:sz w:val="16"/>
                <w:szCs w:val="16"/>
                <w:color w:val="auto"/>
                <w:w w:val="89"/>
              </w:rPr>
              <w:t>12</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636,832</w:t>
            </w: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878,026</w:t>
            </w: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Employee benefits</w:t>
            </w:r>
          </w:p>
        </w:tc>
        <w:tc>
          <w:tcPr>
            <w:tcW w:w="2300" w:type="dxa"/>
            <w:vAlign w:val="bottom"/>
          </w:tcPr>
          <w:p>
            <w:pPr>
              <w:jc w:val="center"/>
              <w:ind w:left="782"/>
              <w:spacing w:after="0"/>
              <w:rPr>
                <w:sz w:val="20"/>
                <w:szCs w:val="20"/>
                <w:color w:val="auto"/>
              </w:rPr>
            </w:pPr>
            <w:r>
              <w:rPr>
                <w:rFonts w:ascii="Arial" w:cs="Arial" w:eastAsia="Arial" w:hAnsi="Arial"/>
                <w:sz w:val="16"/>
                <w:szCs w:val="16"/>
                <w:color w:val="auto"/>
                <w:w w:val="89"/>
              </w:rPr>
              <w:t>13</w:t>
            </w:r>
          </w:p>
        </w:tc>
        <w:tc>
          <w:tcPr>
            <w:tcW w:w="700" w:type="dxa"/>
            <w:vAlign w:val="bottom"/>
          </w:tcPr>
          <w:p>
            <w:pPr>
              <w:spacing w:after="0"/>
              <w:rPr>
                <w:sz w:val="16"/>
                <w:szCs w:val="16"/>
                <w:color w:val="auto"/>
              </w:rPr>
            </w:pP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172,496</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162,961</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revenue</w:t>
            </w:r>
          </w:p>
        </w:tc>
        <w:tc>
          <w:tcPr>
            <w:tcW w:w="230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89"/>
              </w:rPr>
              <w:t>14</w:t>
            </w: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32,297</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27,683</w:t>
            </w:r>
          </w:p>
        </w:tc>
      </w:tr>
      <w:tr>
        <w:trPr>
          <w:trHeight w:val="168"/>
        </w:trPr>
        <w:tc>
          <w:tcPr>
            <w:tcW w:w="3300" w:type="dxa"/>
            <w:vAlign w:val="bottom"/>
          </w:tcPr>
          <w:p>
            <w:pPr>
              <w:spacing w:after="0" w:line="168" w:lineRule="exact"/>
              <w:rPr>
                <w:sz w:val="20"/>
                <w:szCs w:val="20"/>
                <w:color w:val="auto"/>
              </w:rPr>
            </w:pPr>
            <w:r>
              <w:rPr>
                <w:rFonts w:ascii="Arial" w:cs="Arial" w:eastAsia="Arial" w:hAnsi="Arial"/>
                <w:sz w:val="16"/>
                <w:szCs w:val="16"/>
                <w:b w:val="1"/>
                <w:bCs w:val="1"/>
                <w:color w:val="auto"/>
              </w:rPr>
              <w:t>Total current liabilities</w:t>
            </w:r>
          </w:p>
        </w:tc>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jc w:val="right"/>
              <w:ind w:right="342"/>
              <w:spacing w:after="0" w:line="168" w:lineRule="exact"/>
              <w:rPr>
                <w:sz w:val="20"/>
                <w:szCs w:val="20"/>
                <w:color w:val="auto"/>
              </w:rPr>
            </w:pPr>
            <w:r>
              <w:rPr>
                <w:rFonts w:ascii="Arial" w:cs="Arial" w:eastAsia="Arial" w:hAnsi="Arial"/>
                <w:sz w:val="16"/>
                <w:szCs w:val="16"/>
                <w:color w:val="auto"/>
              </w:rPr>
              <w:t>841,625</w:t>
            </w:r>
          </w:p>
        </w:tc>
        <w:tc>
          <w:tcPr>
            <w:tcW w:w="6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1,068,670</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Employee benefits</w:t>
            </w:r>
          </w:p>
        </w:tc>
        <w:tc>
          <w:tcPr>
            <w:tcW w:w="230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89"/>
              </w:rPr>
              <w:t>13</w:t>
            </w: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33,255</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41,105</w:t>
            </w:r>
          </w:p>
        </w:tc>
      </w:tr>
      <w:tr>
        <w:trPr>
          <w:trHeight w:val="180"/>
        </w:trPr>
        <w:tc>
          <w:tcPr>
            <w:tcW w:w="33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Total non-current liabilities</w:t>
            </w:r>
          </w:p>
        </w:tc>
        <w:tc>
          <w:tcPr>
            <w:tcW w:w="2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color w:val="auto"/>
              </w:rPr>
              <w:t>33,255</w:t>
            </w: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41,105</w:t>
            </w:r>
          </w:p>
        </w:tc>
      </w:tr>
      <w:tr>
        <w:trPr>
          <w:trHeight w:val="183"/>
        </w:trPr>
        <w:tc>
          <w:tcPr>
            <w:tcW w:w="33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Total liabilities</w:t>
            </w:r>
          </w:p>
        </w:tc>
        <w:tc>
          <w:tcPr>
            <w:tcW w:w="2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42"/>
              <w:spacing w:after="0" w:line="180" w:lineRule="exact"/>
              <w:rPr>
                <w:sz w:val="20"/>
                <w:szCs w:val="20"/>
                <w:color w:val="auto"/>
              </w:rPr>
            </w:pPr>
            <w:r>
              <w:rPr>
                <w:rFonts w:ascii="Arial" w:cs="Arial" w:eastAsia="Arial" w:hAnsi="Arial"/>
                <w:sz w:val="16"/>
                <w:szCs w:val="16"/>
                <w:color w:val="auto"/>
              </w:rPr>
              <w:t>874,880</w:t>
            </w: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1,109,775</w:t>
            </w:r>
          </w:p>
        </w:tc>
      </w:tr>
      <w:tr>
        <w:trPr>
          <w:trHeight w:val="356"/>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assets</w:t>
            </w:r>
          </w:p>
        </w:tc>
        <w:tc>
          <w:tcPr>
            <w:tcW w:w="2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3,800,703</w:t>
            </w: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4,082,322</w:t>
            </w:r>
          </w:p>
        </w:tc>
      </w:tr>
      <w:tr>
        <w:trPr>
          <w:trHeight w:val="340"/>
        </w:trPr>
        <w:tc>
          <w:tcPr>
            <w:tcW w:w="330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Contributed equity</w:t>
            </w:r>
          </w:p>
        </w:tc>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202,593</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202,593</w:t>
            </w:r>
          </w:p>
        </w:tc>
      </w:tr>
      <w:tr>
        <w:trPr>
          <w:trHeight w:val="20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2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3,598,110</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3,879,729</w:t>
            </w:r>
          </w:p>
        </w:tc>
      </w:tr>
      <w:tr>
        <w:trPr>
          <w:trHeight w:val="184"/>
        </w:trPr>
        <w:tc>
          <w:tcPr>
            <w:tcW w:w="33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Total equity</w:t>
            </w:r>
          </w:p>
        </w:tc>
        <w:tc>
          <w:tcPr>
            <w:tcW w:w="2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color w:val="auto"/>
              </w:rPr>
              <w:t>3,800,703</w:t>
            </w:r>
          </w:p>
        </w:tc>
        <w:tc>
          <w:tcPr>
            <w:tcW w:w="68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4,082,322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2013, 2012 and 2011</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8"/>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Note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6"/>
              </w:rPr>
              <w:t>(unaudited)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2011</w:t>
            </w:r>
          </w:p>
        </w:tc>
      </w:tr>
      <w:tr>
        <w:trPr>
          <w:trHeight w:val="175"/>
        </w:trPr>
        <w:tc>
          <w:tcPr>
            <w:tcW w:w="4060" w:type="dxa"/>
            <w:vAlign w:val="bottom"/>
          </w:tcPr>
          <w:p>
            <w:pPr>
              <w:spacing w:after="0" w:line="175" w:lineRule="exact"/>
              <w:rPr>
                <w:sz w:val="20"/>
                <w:szCs w:val="20"/>
                <w:color w:val="auto"/>
              </w:rPr>
            </w:pPr>
            <w:r>
              <w:rPr>
                <w:rFonts w:ascii="Arial" w:cs="Arial" w:eastAsia="Arial" w:hAnsi="Arial"/>
                <w:sz w:val="16"/>
                <w:szCs w:val="16"/>
                <w:b w:val="1"/>
                <w:bCs w:val="1"/>
                <w:color w:val="auto"/>
              </w:rPr>
              <w:t>Cash flows from operating activities</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4060" w:type="dxa"/>
            <w:vAlign w:val="bottom"/>
          </w:tcPr>
          <w:p>
            <w:pPr>
              <w:spacing w:after="0"/>
              <w:rPr>
                <w:sz w:val="20"/>
                <w:szCs w:val="20"/>
                <w:color w:val="auto"/>
              </w:rPr>
            </w:pPr>
            <w:r>
              <w:rPr>
                <w:rFonts w:ascii="Arial" w:cs="Arial" w:eastAsia="Arial" w:hAnsi="Arial"/>
                <w:sz w:val="16"/>
                <w:szCs w:val="16"/>
                <w:color w:val="auto"/>
              </w:rPr>
              <w:t>Cash receipts from customers</w:t>
            </w:r>
          </w:p>
        </w:tc>
        <w:tc>
          <w:tcPr>
            <w:tcW w:w="1180" w:type="dxa"/>
            <w:vAlign w:val="bottom"/>
          </w:tcPr>
          <w:p>
            <w:pPr>
              <w:spacing w:after="0"/>
              <w:rPr>
                <w:sz w:val="16"/>
                <w:szCs w:val="16"/>
                <w:color w:val="auto"/>
              </w:rPr>
            </w:pP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14,986,613</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16,091,198</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14,889,678</w:t>
            </w:r>
          </w:p>
        </w:tc>
      </w:tr>
      <w:tr>
        <w:trPr>
          <w:trHeight w:val="200"/>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paid to suppliers and employees</w:t>
            </w: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(11,600,009)</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(11,971,304)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(11,450,521)</w:t>
            </w:r>
          </w:p>
        </w:tc>
      </w:tr>
      <w:tr>
        <w:trPr>
          <w:trHeight w:val="180"/>
        </w:trPr>
        <w:tc>
          <w:tcPr>
            <w:tcW w:w="40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Net cash provided from operating activities</w:t>
            </w:r>
          </w:p>
        </w:tc>
        <w:tc>
          <w:tcPr>
            <w:tcW w:w="1180" w:type="dxa"/>
            <w:vAlign w:val="bottom"/>
            <w:tcBorders>
              <w:bottom w:val="single" w:sz="8" w:color="auto"/>
            </w:tcBorders>
          </w:tcPr>
          <w:p>
            <w:pPr>
              <w:jc w:val="center"/>
              <w:ind w:left="564"/>
              <w:spacing w:after="0" w:line="181" w:lineRule="exact"/>
              <w:rPr>
                <w:sz w:val="20"/>
                <w:szCs w:val="20"/>
                <w:color w:val="auto"/>
              </w:rPr>
            </w:pPr>
            <w:r>
              <w:rPr>
                <w:rFonts w:ascii="Arial" w:cs="Arial" w:eastAsia="Arial" w:hAnsi="Arial"/>
                <w:sz w:val="16"/>
                <w:szCs w:val="16"/>
                <w:color w:val="auto"/>
                <w:w w:val="78"/>
              </w:rPr>
              <w:t>18</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3,386,604</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4,119,894</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3,439,157</w:t>
            </w:r>
          </w:p>
        </w:tc>
      </w:tr>
      <w:tr>
        <w:trPr>
          <w:trHeight w:val="343"/>
        </w:trPr>
        <w:tc>
          <w:tcPr>
            <w:tcW w:w="40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4060" w:type="dxa"/>
            <w:vAlign w:val="bottom"/>
          </w:tcPr>
          <w:p>
            <w:pPr>
              <w:spacing w:after="0"/>
              <w:rPr>
                <w:sz w:val="20"/>
                <w:szCs w:val="20"/>
                <w:color w:val="auto"/>
              </w:rPr>
            </w:pPr>
            <w:r>
              <w:rPr>
                <w:rFonts w:ascii="Arial" w:cs="Arial" w:eastAsia="Arial" w:hAnsi="Arial"/>
                <w:sz w:val="16"/>
                <w:szCs w:val="16"/>
                <w:color w:val="auto"/>
              </w:rPr>
              <w:t>Acquisition of property, plant and equipment</w:t>
            </w:r>
          </w:p>
        </w:tc>
        <w:tc>
          <w:tcPr>
            <w:tcW w:w="1180" w:type="dxa"/>
            <w:vAlign w:val="bottom"/>
          </w:tcPr>
          <w:p>
            <w:pPr>
              <w:jc w:val="center"/>
              <w:ind w:left="564"/>
              <w:spacing w:after="0"/>
              <w:rPr>
                <w:sz w:val="20"/>
                <w:szCs w:val="20"/>
                <w:color w:val="auto"/>
              </w:rPr>
            </w:pPr>
            <w:r>
              <w:rPr>
                <w:rFonts w:ascii="Arial" w:cs="Arial" w:eastAsia="Arial" w:hAnsi="Arial"/>
                <w:sz w:val="16"/>
                <w:szCs w:val="16"/>
                <w:color w:val="auto"/>
                <w:w w:val="78"/>
              </w:rPr>
              <w:t>11</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(302,351)</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(783,266)</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(1,309,432)</w:t>
            </w:r>
          </w:p>
        </w:tc>
      </w:tr>
      <w:tr>
        <w:trPr>
          <w:trHeight w:val="200"/>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received</w:t>
            </w:r>
          </w:p>
        </w:tc>
        <w:tc>
          <w:tcPr>
            <w:tcW w:w="1180" w:type="dxa"/>
            <w:vAlign w:val="bottom"/>
            <w:tcBorders>
              <w:bottom w:val="single" w:sz="8" w:color="auto"/>
            </w:tcBorders>
          </w:tcPr>
          <w:p>
            <w:pPr>
              <w:jc w:val="center"/>
              <w:ind w:left="564"/>
              <w:spacing w:after="0"/>
              <w:rPr>
                <w:sz w:val="20"/>
                <w:szCs w:val="20"/>
                <w:color w:val="auto"/>
              </w:rPr>
            </w:pPr>
            <w:r>
              <w:rPr>
                <w:rFonts w:ascii="Arial" w:cs="Arial" w:eastAsia="Arial" w:hAnsi="Arial"/>
                <w:sz w:val="15"/>
                <w:szCs w:val="15"/>
                <w:color w:val="auto"/>
                <w:w w:val="71"/>
              </w:rPr>
              <w:t>7</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11,922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21,256</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58,301</w:t>
            </w:r>
          </w:p>
        </w:tc>
      </w:tr>
      <w:tr>
        <w:trPr>
          <w:trHeight w:val="180"/>
        </w:trPr>
        <w:tc>
          <w:tcPr>
            <w:tcW w:w="40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Net cash used in investing activities</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(290,429)</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(762,010)</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(1,251,131)</w:t>
            </w:r>
          </w:p>
        </w:tc>
      </w:tr>
      <w:tr>
        <w:trPr>
          <w:trHeight w:val="343"/>
        </w:trPr>
        <w:tc>
          <w:tcPr>
            <w:tcW w:w="40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Distributions to Joint Venturers</w:t>
            </w: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(3,300,000)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(4,050,000)</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(2,100,000)</w:t>
            </w:r>
          </w:p>
        </w:tc>
      </w:tr>
      <w:tr>
        <w:trPr>
          <w:trHeight w:val="180"/>
        </w:trPr>
        <w:tc>
          <w:tcPr>
            <w:tcW w:w="40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Net cash used in financing activities</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(3,300,000)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(4,050,000)</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(2,100,000)</w:t>
            </w:r>
          </w:p>
        </w:tc>
      </w:tr>
      <w:tr>
        <w:trPr>
          <w:trHeight w:val="343"/>
        </w:trPr>
        <w:tc>
          <w:tcPr>
            <w:tcW w:w="40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(203,825)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(692,116)</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88,024</w:t>
            </w:r>
          </w:p>
        </w:tc>
      </w:tr>
      <w:tr>
        <w:trPr>
          <w:trHeight w:val="200"/>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1 January</w:t>
            </w: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898,217</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1,590,333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1,502,309</w:t>
            </w:r>
          </w:p>
        </w:tc>
      </w:tr>
      <w:tr>
        <w:trPr>
          <w:trHeight w:val="184"/>
        </w:trPr>
        <w:tc>
          <w:tcPr>
            <w:tcW w:w="40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Cash and cash equivalents at 31 December</w:t>
            </w:r>
          </w:p>
        </w:tc>
        <w:tc>
          <w:tcPr>
            <w:tcW w:w="1180" w:type="dxa"/>
            <w:vAlign w:val="bottom"/>
            <w:tcBorders>
              <w:bottom w:val="single" w:sz="8" w:color="auto"/>
            </w:tcBorders>
          </w:tcPr>
          <w:p>
            <w:pPr>
              <w:jc w:val="center"/>
              <w:ind w:left="564"/>
              <w:spacing w:after="0"/>
              <w:rPr>
                <w:sz w:val="20"/>
                <w:szCs w:val="20"/>
                <w:color w:val="auto"/>
              </w:rPr>
            </w:pPr>
            <w:r>
              <w:rPr>
                <w:rFonts w:ascii="Arial" w:cs="Arial" w:eastAsia="Arial" w:hAnsi="Arial"/>
                <w:sz w:val="15"/>
                <w:szCs w:val="15"/>
                <w:color w:val="auto"/>
                <w:w w:val="71"/>
              </w:rPr>
              <w:t>8</w:t>
            </w:r>
          </w:p>
        </w:tc>
        <w:tc>
          <w:tcPr>
            <w:tcW w:w="30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694,392</w:t>
            </w:r>
          </w:p>
        </w:tc>
        <w:tc>
          <w:tcPr>
            <w:tcW w:w="3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898,217</w:t>
            </w:r>
          </w:p>
        </w:tc>
        <w:tc>
          <w:tcPr>
            <w:tcW w:w="30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1,590,333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Mt. Gravatt Cinemas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Reporting entity</w:t>
      </w:r>
    </w:p>
    <w:p>
      <w:pPr>
        <w:spacing w:after="0" w:line="17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Mt. Gravatt Cinemas Joint Venture (the “Joint Venture”) is a legal joint venture between Birch Carrol &amp; Coyle Ltd, Reading Exhibition Pty Ltd and Village Roadshow Exhibition Pty Ltd. The Joint Venture is domiciled and provides services solely in Australia. The address of the Joint Venture’s registered office is 227 Elizabeth Street, Sydney NSW 2000. The Joint Venture primarily is involved in the exhibition of motion pictures at one cinema site.</w:t>
      </w:r>
    </w:p>
    <w:p>
      <w:pPr>
        <w:spacing w:after="0" w:line="135"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The joint venture is to continue in existence until the Joint Venture is terminated and associated underlying assets have been sold and the proceeds of sale distributed upon agreement of the members. All distributions of earnings are required to be agreed upon and distributed evenly to the three Joint Venturers. The three Joint Venturers will evenly contribute any future required contributions.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(a) Statement of compliance</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These financial statements are general purpose financial statements which have been prepared in accordance with the International Financial Reporting Standards (IFRSs) as issued by the International Accounting Standards Board.</w:t>
      </w:r>
    </w:p>
    <w:p>
      <w:pPr>
        <w:spacing w:after="0" w:line="12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financial year end of the Joint Venture is 30 June. For purposes of the use of these financial statements by one of the Joint Venturers, these financial statements have been prepared on a 12-month period basis ending on 31 December.</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(b) Basis of measurement</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financial statements have been prepared on the historical cost basis. The methods used to measure fair values are discussed further in Note 4, </w:t>
      </w:r>
      <w:r>
        <w:rPr>
          <w:rFonts w:ascii="Arial" w:cs="Arial" w:eastAsia="Arial" w:hAnsi="Arial"/>
          <w:sz w:val="16"/>
          <w:szCs w:val="16"/>
          <w:i w:val="1"/>
          <w:iCs w:val="1"/>
          <w:color w:val="auto"/>
        </w:rPr>
        <w:t>Determination of fair values</w:t>
      </w:r>
      <w:r>
        <w:rPr>
          <w:rFonts w:ascii="Arial" w:cs="Arial" w:eastAsia="Arial" w:hAnsi="Arial"/>
          <w:sz w:val="16"/>
          <w:szCs w:val="16"/>
          <w:color w:val="auto"/>
        </w:rPr>
        <w: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 Functional and presentation currency</w:t>
      </w:r>
    </w:p>
    <w:p>
      <w:pPr>
        <w:spacing w:after="0" w:line="1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These financial statements are presented in Australian dollars, which is also the Joint Venture’s functional currency. Amounts in the financial statements have been rounded to the nearest dollar, unless otherwise stated.</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 Use of estimates and judgments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preparation of financial statements in accordance with IFRS requires management to make judgements, estimates and assumptions that affect the application of accounting policies and the reported amounts of assets, liabilities, income and expenses. Actual results may differ from these estimates.</w:t>
      </w:r>
    </w:p>
    <w:p>
      <w:pPr>
        <w:spacing w:after="0" w:line="14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Estimates and underlying assumptions are reviewed on an ongoing basis. Revisions to accounting estimates are recognised in the period in which the estimate is revised and in any future periods affected.</w:t>
      </w:r>
    </w:p>
    <w:p>
      <w:pPr>
        <w:spacing w:after="0" w:line="122"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 xml:space="preserve">In particular, information about significant areas of estimation uncertainty and critical judgements in applying accounting policies that have the most significant effect on the amount recognised in the financial statements are described in Note 15 </w:t>
      </w:r>
      <w:r>
        <w:rPr>
          <w:rFonts w:ascii="Arial" w:cs="Arial" w:eastAsia="Arial" w:hAnsi="Arial"/>
          <w:sz w:val="15"/>
          <w:szCs w:val="15"/>
          <w:i w:val="1"/>
          <w:iCs w:val="1"/>
          <w:color w:val="auto"/>
        </w:rPr>
        <w:t>Financial instruments</w:t>
      </w:r>
      <w:r>
        <w:rPr>
          <w:rFonts w:ascii="Arial" w:cs="Arial" w:eastAsia="Arial" w:hAnsi="Arial"/>
          <w:sz w:val="15"/>
          <w:szCs w:val="15"/>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Significant accounting policies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accounting policies set out below have been applied consistently to all periods presented in these financial statements.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 has not elected to early adopt any accounting standards and amendments. See Note 3(n).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2" w:name="page113"/>
    <w:bookmarkEnd w:id="112"/>
    <w:p>
      <w:pPr>
        <w:ind w:left="560"/>
        <w:spacing w:after="0"/>
        <w:rPr>
          <w:sz w:val="20"/>
          <w:szCs w:val="20"/>
          <w:color w:val="auto"/>
        </w:rPr>
      </w:pPr>
      <w:r>
        <w:rPr>
          <w:rFonts w:ascii="Arial" w:cs="Arial" w:eastAsia="Arial" w:hAnsi="Arial"/>
          <w:sz w:val="16"/>
          <w:szCs w:val="16"/>
          <w:b w:val="1"/>
          <w:bCs w:val="1"/>
          <w:color w:val="auto"/>
        </w:rPr>
        <w:t>(a) Financial instruments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Non-derivative financial instruments comprise trade receivables, cash and cash equivalents, and trade payables.</w:t>
      </w:r>
    </w:p>
    <w:p>
      <w:pPr>
        <w:spacing w:after="0" w:line="157"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Non-derivative financial instruments are recognised initially at fair value plus, for instruments not at fair value through profit or loss, any directly attributable transaction costs. Subsequent to initial recognition non-derivative financial instruments are measured as described below.</w:t>
      </w:r>
    </w:p>
    <w:p>
      <w:pPr>
        <w:spacing w:after="0" w:line="54" w:lineRule="exact"/>
        <w:rPr>
          <w:sz w:val="20"/>
          <w:szCs w:val="20"/>
          <w:color w:val="auto"/>
        </w:rPr>
      </w:pPr>
    </w:p>
    <w:p>
      <w:pPr>
        <w:jc w:val="both"/>
        <w:ind w:firstLine="564"/>
        <w:spacing w:after="0" w:line="321" w:lineRule="auto"/>
        <w:rPr>
          <w:sz w:val="20"/>
          <w:szCs w:val="20"/>
          <w:color w:val="auto"/>
        </w:rPr>
      </w:pPr>
      <w:r>
        <w:rPr>
          <w:rFonts w:ascii="Arial" w:cs="Arial" w:eastAsia="Arial" w:hAnsi="Arial"/>
          <w:sz w:val="13"/>
          <w:szCs w:val="13"/>
          <w:color w:val="auto"/>
        </w:rPr>
        <w:t>A financial instrument is recognised if the Joint Venture becomes a party to the contractual provisions of the instrument. Financial assets are derecognised if the Joint Venture’s contractual rights to the cash flows from the financial assets expire or if the Joint Venture transfers the financial asset to another party without retaining control or substantially all risks and rewards of the asset. Regular way purchases and sales of financial assets are accounted for at trade date, i.e., the date that the Joint Venture commits itself to purchase or sell the asset. Financial liabilities are derecognised if the Joint Venture’s obligations specified in the contract expire, are discharged or cancelled.</w:t>
      </w:r>
    </w:p>
    <w:p>
      <w:pPr>
        <w:spacing w:after="0" w:line="104"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Cash and cash equivalents comprise cash balances and call deposits. Bank overdrafts that are repayable on demand and form an integral part of the Joint Venture’s cash management are included as a component of cash and cash equivalents for the purpose of the statement of cash flows.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Accounting for finance income and expense is discussed in Note 3(k), </w:t>
      </w:r>
      <w:r>
        <w:rPr>
          <w:rFonts w:ascii="Arial" w:cs="Arial" w:eastAsia="Arial" w:hAnsi="Arial"/>
          <w:sz w:val="16"/>
          <w:szCs w:val="16"/>
          <w:i w:val="1"/>
          <w:iCs w:val="1"/>
          <w:color w:val="auto"/>
        </w:rPr>
        <w:t>Finance income</w:t>
      </w:r>
      <w:r>
        <w:rPr>
          <w:rFonts w:ascii="Arial" w:cs="Arial" w:eastAsia="Arial" w:hAnsi="Arial"/>
          <w:sz w:val="16"/>
          <w:szCs w:val="16"/>
          <w:color w:val="auto"/>
        </w:rPr>
        <w: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(b) Property, plant and equipment</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 Recognition and measurement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Items of property, plant and equipment are measured at cost less accumulated depreciation.</w:t>
      </w:r>
    </w:p>
    <w:p>
      <w:pPr>
        <w:spacing w:after="0" w:line="157"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Cost includes expenditures that are directly attributable to the acquisition of the asset. The cost of self-constructed assets includes the cost of materials and direct labour, any other costs directly attributable to bringing the asset to a working condition for its intended use. Costs also may include purchases of property, plant and equipment. Purchased software that is integral to the functionality of the related equipment is capitalised as part of that equipment. Borrowing costs related to the acquisition or construction of qualifying assets are capitalised as part of the cost of that asset.</w:t>
      </w:r>
    </w:p>
    <w:p>
      <w:pPr>
        <w:spacing w:after="0" w:line="146"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When parts of an item of property, plant and equipment have different useful lives, they are accounted for as separate items (major components) of property, plant and equipment.</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Subsequent costs</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The cost of replacing part of an item of property, plant and equipment is recognised in the carrying amount of the item if it is probable that the future economic benefits embodied within the part will flow to the Joint Venture and its cost can be measured reliably. The carrying amount of the replaced part is derecognised. The costs of the day-to-day servicing of property, plant and equipment are recognised in profit or loss as incurred.</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(iii) Depreciation</w:t>
      </w:r>
    </w:p>
    <w:p>
      <w:pPr>
        <w:spacing w:after="0" w:line="161" w:lineRule="exact"/>
        <w:rPr>
          <w:sz w:val="20"/>
          <w:szCs w:val="20"/>
          <w:color w:val="auto"/>
        </w:rPr>
      </w:pPr>
    </w:p>
    <w:p>
      <w:pPr>
        <w:jc w:val="both"/>
        <w:ind w:firstLine="564"/>
        <w:spacing w:after="0" w:line="381" w:lineRule="auto"/>
        <w:rPr>
          <w:sz w:val="20"/>
          <w:szCs w:val="20"/>
          <w:color w:val="auto"/>
        </w:rPr>
      </w:pPr>
      <w:r>
        <w:rPr>
          <w:rFonts w:ascii="Arial" w:cs="Arial" w:eastAsia="Arial" w:hAnsi="Arial"/>
          <w:sz w:val="13"/>
          <w:szCs w:val="13"/>
          <w:color w:val="auto"/>
        </w:rPr>
        <w:t>Depreciation is recognised in profit or loss on a straight-line basis over the estimated useful lives of each part of an item of property, plant and equipment. Leased assets are depreciated over the shorter of the lease term and their useful lives. Land is not depreciated.</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estimated useful lives for the current and comparative periods are as follows:</w:t>
      </w:r>
    </w:p>
    <w:p>
      <w:pPr>
        <w:spacing w:after="0" w:line="168" w:lineRule="exact"/>
        <w:rPr>
          <w:sz w:val="20"/>
          <w:szCs w:val="20"/>
          <w:color w:val="auto"/>
        </w:rPr>
      </w:pPr>
    </w:p>
    <w:p>
      <w:pPr>
        <w:ind w:left="560" w:right="3980"/>
        <w:spacing w:after="0" w:line="265" w:lineRule="auto"/>
        <w:rPr>
          <w:sz w:val="20"/>
          <w:szCs w:val="20"/>
          <w:color w:val="auto"/>
        </w:rPr>
      </w:pPr>
      <w:r>
        <w:rPr>
          <w:rFonts w:ascii="Arial" w:cs="Arial" w:eastAsia="Arial" w:hAnsi="Arial"/>
          <w:sz w:val="16"/>
          <w:szCs w:val="16"/>
          <w:color w:val="auto"/>
        </w:rPr>
        <w:t>Leasehold improvementsShorter of estimated useful life and term of lease Plant and equipment3 to 20 years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Depreciation methods, useful lives and residual values are reviewed at each financial year end and adjusted if appropriate.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13" w:name="page114"/>
    <w:bookmarkEnd w:id="113"/>
    <w:p>
      <w:pPr>
        <w:ind w:left="560"/>
        <w:spacing w:after="0"/>
        <w:rPr>
          <w:sz w:val="20"/>
          <w:szCs w:val="20"/>
          <w:color w:val="auto"/>
        </w:rPr>
      </w:pPr>
      <w:r>
        <w:rPr>
          <w:rFonts w:ascii="Arial" w:cs="Arial" w:eastAsia="Arial" w:hAnsi="Arial"/>
          <w:sz w:val="16"/>
          <w:szCs w:val="16"/>
          <w:b w:val="1"/>
          <w:bCs w:val="1"/>
          <w:color w:val="auto"/>
        </w:rPr>
        <w:t>(c) Leased assets</w:t>
      </w:r>
    </w:p>
    <w:p>
      <w:pPr>
        <w:spacing w:after="0" w:line="172"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Leases in which the Joint Venture assumes substantially all the risks and rewards of ownership are classified as finance leases. Upon initial recognition the leased asset is measured at an amount equal to the lower of its fair value and the present value of the minimum lease payments. Subsequent to initial recognition, the asset is accounted for in accordance with the accounting policy applicable to that asset.</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leases are operating leases and are not recognised on the Joint Venture’s statement of financial position.</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 Inventories</w:t>
      </w:r>
    </w:p>
    <w:p>
      <w:pPr>
        <w:spacing w:after="0" w:line="172"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Inventories are measured at the lower of cost and net realisable value. The cost of inventories is based on the first-in first-out principle, and includes expenditure incurred in acquiring the inventories, and other costs incurred in bringing them to their existing location and condition. Net realizable value is the estimated selling price in the ordinary course of business, less the estimated costs of completion and selling expenses.</w:t>
      </w:r>
    </w:p>
    <w:p>
      <w:pPr>
        <w:spacing w:after="0" w:line="131" w:lineRule="exact"/>
        <w:rPr>
          <w:sz w:val="20"/>
          <w:szCs w:val="20"/>
          <w:color w:val="auto"/>
        </w:rPr>
      </w:pPr>
    </w:p>
    <w:p>
      <w:pPr>
        <w:ind w:left="780" w:hanging="215"/>
        <w:spacing w:after="0"/>
        <w:tabs>
          <w:tab w:leader="none" w:pos="7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w:t>
      </w:r>
    </w:p>
    <w:p>
      <w:pPr>
        <w:spacing w:after="0" w:line="156" w:lineRule="exact"/>
        <w:rPr>
          <w:rFonts w:ascii="Arial" w:cs="Arial" w:eastAsia="Arial" w:hAnsi="Arial"/>
          <w:sz w:val="16"/>
          <w:szCs w:val="16"/>
          <w:b w:val="1"/>
          <w:bCs w:val="1"/>
          <w:color w:val="auto"/>
        </w:rPr>
      </w:pPr>
    </w:p>
    <w:p>
      <w:pPr>
        <w:ind w:left="1320" w:hanging="191"/>
        <w:spacing w:after="0"/>
        <w:tabs>
          <w:tab w:leader="none" w:pos="1320"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assets</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A financial asset is assessed at each reporting date to determine whether there is any objective evidence that it is impaired. A financial asset is impaired if objective evidence indicates that a loss event has occurred after the initial recognition of the asset, and that loss event had a negative effect on the estimated future cash flows of that asset that can be estimated reliably.</w:t>
      </w:r>
    </w:p>
    <w:p>
      <w:pPr>
        <w:spacing w:after="0" w:line="130"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An impairment loss in respect of a financial asset measured at amortised cost is calculated as the difference between its carrying amount, and the present value of the estimated future cash flows discounted at the original effective interest rate. Losses are recognised in profit or loss and reflected in an allowance against the relevant asset. When a subsequent event causes the amount of impairment loss to decrease, the decrease in impairment loss is reversed through profit or loss.</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Non-financial assets</w:t>
      </w:r>
    </w:p>
    <w:p>
      <w:pPr>
        <w:spacing w:after="0" w:line="172"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The carrying amounts of the Joint Venture’s non-financial assets, other than inventories, are reviewed at each reporting date to determine whether there is any indication of impairment. If any such indication exists then the asset’s recoverable amount is estimated.</w:t>
      </w:r>
    </w:p>
    <w:p>
      <w:pPr>
        <w:spacing w:after="0" w:line="99"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An impairment loss is recognised if the carrying amount of an asset or its cash-generating unit exceeds its recoverable amount. Impairment losses are recognised in profit or loss.</w:t>
      </w:r>
    </w:p>
    <w:p>
      <w:pPr>
        <w:spacing w:after="0" w:line="134" w:lineRule="exact"/>
        <w:rPr>
          <w:sz w:val="20"/>
          <w:szCs w:val="20"/>
          <w:color w:val="auto"/>
        </w:rPr>
      </w:pPr>
    </w:p>
    <w:p>
      <w:pPr>
        <w:jc w:val="both"/>
        <w:ind w:firstLine="564"/>
        <w:spacing w:after="0" w:line="274" w:lineRule="auto"/>
        <w:rPr>
          <w:sz w:val="20"/>
          <w:szCs w:val="20"/>
          <w:color w:val="auto"/>
        </w:rPr>
      </w:pPr>
      <w:r>
        <w:rPr>
          <w:rFonts w:ascii="Arial" w:cs="Arial" w:eastAsia="Arial" w:hAnsi="Arial"/>
          <w:sz w:val="15"/>
          <w:szCs w:val="15"/>
          <w:color w:val="auto"/>
        </w:rPr>
        <w:t>In respect of other assets, impairment losses recognised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amortisation, if no impairment loss had been recognised.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4" w:name="page115"/>
    <w:bookmarkEnd w:id="114"/>
    <w:p>
      <w:pPr>
        <w:ind w:left="560"/>
        <w:spacing w:after="0"/>
        <w:rPr>
          <w:sz w:val="20"/>
          <w:szCs w:val="20"/>
          <w:color w:val="auto"/>
        </w:rPr>
      </w:pPr>
      <w:r>
        <w:rPr>
          <w:rFonts w:ascii="Arial" w:cs="Arial" w:eastAsia="Arial" w:hAnsi="Arial"/>
          <w:sz w:val="16"/>
          <w:szCs w:val="16"/>
          <w:b w:val="1"/>
          <w:bCs w:val="1"/>
          <w:color w:val="auto"/>
        </w:rPr>
        <w:t>(f) Employee benefits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 Long-term employee benefits</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Venture’s net obligation in respect of long-term employee benefits is the amount of future benefit that employees have earned in return for their service in the current and prior periods plus related on-costs; that benefit is discounted to determine its present value and the fair value of any related assets is deducted.</w:t>
      </w:r>
    </w:p>
    <w:p>
      <w:pPr>
        <w:spacing w:after="0" w:line="12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Termination benefits</w:t>
      </w:r>
    </w:p>
    <w:p>
      <w:pPr>
        <w:spacing w:after="0" w:line="17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Termination benefits are recognised as an expense when the Joint Venture is demonstrably committed,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recognised as an expense if the Joint Venture has made an offer of voluntary redundancy, it is probable that the offer will be accepted, and the number of acceptances can be estimated reliably.</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(iii) Short-term benefits</w:t>
      </w:r>
    </w:p>
    <w:p>
      <w:pPr>
        <w:spacing w:after="0" w:line="161"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Liabilities for employee benefits for wages, salaries, and annual leave represent present obligations resulting from employees’ services provided to reporting date and are calculated at undiscounted amounts based on remuneration wage and salary rates that the Joint Venture expects to pay as at reporting date including related on-costs, such as workers compensation insurance and payroll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 Provisions</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A provision is recognised if, as a result of a past event, the Joint Venture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(h) Contributed equity</w:t>
      </w:r>
    </w:p>
    <w:p>
      <w:pPr>
        <w:spacing w:after="0" w:line="17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 is comprised of three parties who share an equal ownership over the Joint Venture. The Contributed Equity amount represents the initial investment in the partnership. Distribution to the partners are made on behalf of the Joint Venture and are recognised through retained earnings.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 Revenue</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Rendering of service/sale of concessions</w:t>
      </w:r>
    </w:p>
    <w:p>
      <w:pPr>
        <w:spacing w:after="0" w:line="172" w:lineRule="exact"/>
        <w:rPr>
          <w:sz w:val="20"/>
          <w:szCs w:val="20"/>
          <w:color w:val="auto"/>
        </w:rPr>
      </w:pPr>
    </w:p>
    <w:p>
      <w:pPr>
        <w:jc w:val="both"/>
        <w:ind w:firstLine="564"/>
        <w:spacing w:after="0" w:line="250" w:lineRule="auto"/>
        <w:rPr>
          <w:sz w:val="20"/>
          <w:szCs w:val="20"/>
          <w:color w:val="auto"/>
        </w:rPr>
      </w:pPr>
      <w:r>
        <w:rPr>
          <w:rFonts w:ascii="Arial" w:cs="Arial" w:eastAsia="Arial" w:hAnsi="Arial"/>
          <w:sz w:val="16"/>
          <w:szCs w:val="16"/>
          <w:color w:val="auto"/>
        </w:rPr>
        <w:t>Revenue is measured at the fair value of the consideration received or receivable, net of returns, trade discounts and value rebates. Revenues are generated principally through admissions and concession sales with proceeds received in cash at the point of sale. Service revenue also includes product advertising and other ancillary revenues, such as booking fees, which are recognised as income in the period earned. The Joint Venture recognises payments received attributable to the advertising services provided by the Joint Venture under certain vendor programs as revenue in the period in which services are delivered.</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(j) Lease payments</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Payments made under operating leases are recognised in profit or loss on a straight-line basis over the term of the lease on a basis that is representative of the pattern of benefit derived from the leased property.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(k) Finance income</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Finance income comprises interest income on cash held in financial institutions. Interest income is recognised as it accrues in profit or loss using the effective interest method.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15" w:name="page116"/>
    <w:bookmarkEnd w:id="115"/>
    <w:p>
      <w:pPr>
        <w:ind w:left="560"/>
        <w:spacing w:after="0"/>
        <w:rPr>
          <w:sz w:val="20"/>
          <w:szCs w:val="20"/>
          <w:color w:val="auto"/>
        </w:rPr>
      </w:pPr>
      <w:r>
        <w:rPr>
          <w:rFonts w:ascii="Arial" w:cs="Arial" w:eastAsia="Arial" w:hAnsi="Arial"/>
          <w:sz w:val="16"/>
          <w:szCs w:val="16"/>
          <w:b w:val="1"/>
          <w:bCs w:val="1"/>
          <w:color w:val="auto"/>
        </w:rPr>
        <w:t>(l) Taxes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 Goods and service tax</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Revenue, expenses and assets are recognised net of the amount of goods and services tax (GST), except where the amount of GST incurred is not recoverable from the taxation authority. In these circumstances, the GST is recognised as part of the cost of acquisition of the asset or as part of the expense.</w:t>
      </w:r>
    </w:p>
    <w:p>
      <w:pPr>
        <w:spacing w:after="0" w:line="130"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Receivables and payables are stated with the amount of GST included. The net amount of GST recoverable from, or payable to, the ATO is included as a current asset or liability in the balance sheet.</w:t>
      </w:r>
    </w:p>
    <w:p>
      <w:pPr>
        <w:spacing w:after="0" w:line="134"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Cash flows are included in the statement of cash flows on a gross basis. The GST components of cash flows arising from investing and financing activities which are recoverable from, or payable to, the ATO are classified as operating cash flows.</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Income tax</w:t>
      </w:r>
    </w:p>
    <w:p>
      <w:pPr>
        <w:spacing w:after="0" w:line="161"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Under applicable Australian law, the Joint Venture is not subject to tax on earnings generated. Accordingly the Joint Venture does not recognise any income tax expense, or deferred tax balances. Earnings of the Joint Venture are taxed at the Joint Venturer level.</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(m) Film expense</w:t>
      </w:r>
    </w:p>
    <w:p>
      <w:pPr>
        <w:spacing w:after="0" w:line="161" w:lineRule="exact"/>
        <w:rPr>
          <w:sz w:val="20"/>
          <w:szCs w:val="20"/>
          <w:color w:val="auto"/>
        </w:rPr>
      </w:pPr>
    </w:p>
    <w:p>
      <w:pPr>
        <w:jc w:val="both"/>
        <w:ind w:firstLine="564"/>
        <w:spacing w:after="0" w:line="251" w:lineRule="auto"/>
        <w:rPr>
          <w:sz w:val="20"/>
          <w:szCs w:val="20"/>
          <w:color w:val="auto"/>
        </w:rPr>
      </w:pPr>
      <w:r>
        <w:rPr>
          <w:rFonts w:ascii="Arial" w:cs="Arial" w:eastAsia="Arial" w:hAnsi="Arial"/>
          <w:sz w:val="16"/>
          <w:szCs w:val="16"/>
          <w:color w:val="auto"/>
        </w:rPr>
        <w:t>Film expense is incurred based on a contracted percentage of box office results for each film. The Joint Venture negotiates terms with each film distributor on a film-by-film basis. Percentage terms are based on a sliding scale, with the Joint Venture subject to a higher percentage of box office results when the film is initially released and declining each subsequent week. Different films have different rates dependent upon the expected popularity of the film, and forecasted success.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 New standards and interpretations not yet adopted</w:t>
      </w:r>
    </w:p>
    <w:p>
      <w:pPr>
        <w:spacing w:after="0" w:line="1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Joint Venture does not consider that any standards of interpretations issued by IASB or the IFRIC, either applicable in the current year or not yet applicable, have, or will have, a significant impact on the financial statements.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(o) Amounts paid or payable to the auditor</w:t>
      </w:r>
    </w:p>
    <w:p>
      <w:pPr>
        <w:spacing w:after="0" w:line="161"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amounts paid or payable to the auditor for the audit of these financial statements has been borne by one of the Joint Venturers for which these financial statements have been prepared. The auditor provided non-audit service in the current period to the value of $19,700 (unaudited).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4120" w:type="dxa"/>
            <w:vAlign w:val="bottom"/>
          </w:tcPr>
          <w:p>
            <w:pPr>
              <w:jc w:val="right"/>
              <w:ind w:right="162"/>
              <w:spacing w:after="0"/>
              <w:rPr>
                <w:sz w:val="20"/>
                <w:szCs w:val="20"/>
                <w:color w:val="auto"/>
              </w:rPr>
            </w:pPr>
            <w:r>
              <w:rPr>
                <w:rFonts w:ascii="Arial" w:cs="Arial" w:eastAsia="Arial" w:hAnsi="Arial"/>
                <w:sz w:val="16"/>
                <w:szCs w:val="16"/>
                <w:b w:val="1"/>
                <w:bCs w:val="1"/>
                <w:color w:val="auto"/>
              </w:rPr>
              <w:t>2013</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4120" w:type="dxa"/>
            <w:vAlign w:val="bottom"/>
            <w:tcBorders>
              <w:bottom w:val="single" w:sz="8" w:color="auto"/>
            </w:tcBorders>
          </w:tcPr>
          <w:p>
            <w:pPr>
              <w:jc w:val="center"/>
              <w:ind w:left="3242"/>
              <w:spacing w:after="0"/>
              <w:rPr>
                <w:sz w:val="20"/>
                <w:szCs w:val="20"/>
                <w:color w:val="auto"/>
              </w:rPr>
            </w:pPr>
            <w:r>
              <w:rPr>
                <w:rFonts w:ascii="Arial" w:cs="Arial" w:eastAsia="Arial" w:hAnsi="Arial"/>
                <w:sz w:val="16"/>
                <w:szCs w:val="16"/>
                <w:b w:val="1"/>
                <w:bCs w:val="1"/>
                <w:color w:val="auto"/>
                <w:w w:val="91"/>
              </w:rPr>
              <w:t>(unaudited)</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200"/>
        </w:trPr>
        <w:tc>
          <w:tcPr>
            <w:tcW w:w="3600" w:type="dxa"/>
            <w:vAlign w:val="bottom"/>
          </w:tcPr>
          <w:p>
            <w:pPr>
              <w:spacing w:after="0"/>
              <w:rPr>
                <w:sz w:val="20"/>
                <w:szCs w:val="20"/>
                <w:color w:val="auto"/>
              </w:rPr>
            </w:pPr>
            <w:r>
              <w:rPr>
                <w:rFonts w:ascii="Arial" w:cs="Arial" w:eastAsia="Arial" w:hAnsi="Arial"/>
                <w:sz w:val="16"/>
                <w:szCs w:val="16"/>
                <w:color w:val="auto"/>
              </w:rPr>
              <w:t>Audit fees</w:t>
            </w:r>
          </w:p>
        </w:tc>
        <w:tc>
          <w:tcPr>
            <w:tcW w:w="4120" w:type="dxa"/>
            <w:vAlign w:val="bottom"/>
          </w:tcPr>
          <w:p>
            <w:pPr>
              <w:jc w:val="right"/>
              <w:ind w:right="100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22"/>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57,500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763"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3" cy="76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Determination of fair values</w:t>
      </w:r>
    </w:p>
    <w:p>
      <w:pPr>
        <w:spacing w:after="0" w:line="172" w:lineRule="exact"/>
        <w:rPr>
          <w:sz w:val="20"/>
          <w:szCs w:val="20"/>
          <w:color w:val="auto"/>
        </w:rPr>
      </w:pPr>
    </w:p>
    <w:p>
      <w:pPr>
        <w:jc w:val="both"/>
        <w:ind w:right="20" w:firstLine="564"/>
        <w:spacing w:after="0" w:line="251" w:lineRule="auto"/>
        <w:rPr>
          <w:sz w:val="20"/>
          <w:szCs w:val="20"/>
          <w:color w:val="auto"/>
        </w:rPr>
      </w:pPr>
      <w:r>
        <w:rPr>
          <w:rFonts w:ascii="Arial" w:cs="Arial" w:eastAsia="Arial" w:hAnsi="Arial"/>
          <w:sz w:val="16"/>
          <w:szCs w:val="16"/>
          <w:color w:val="auto"/>
        </w:rPr>
        <w:t>A number of the Joint Venture’s accounting policies and disclosures require the determination of fair value, for both financial and non-financial assets and liabilities. Fair values have been determined for measurement and disclosure purposes based on the following methods. Where applicable, further information about the assumptions made in determining fair values is disclosed in the notes specific to that asset or liability.</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 Trade and other receivables</w:t>
      </w:r>
    </w:p>
    <w:p>
      <w:pPr>
        <w:spacing w:after="0" w:line="16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The fair value of trade and other receivables is estimated as the present value of future cash flows, discounted at the market rate of interest at the reporting date.</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(ii) Non-derivative financial liabilities</w:t>
      </w:r>
    </w:p>
    <w:p>
      <w:pPr>
        <w:spacing w:after="0" w:line="161"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Fair value, which is determined for disclosure purposes, is calculated based on the present value of future principal and interest cash flows, discounted at the market rate of interest at the reporting date.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Revenue from rendering of services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2011</w:t>
            </w:r>
          </w:p>
        </w:tc>
      </w:tr>
      <w:tr>
        <w:trPr>
          <w:trHeight w:val="187"/>
        </w:trPr>
        <w:tc>
          <w:tcPr>
            <w:tcW w:w="5540" w:type="dxa"/>
            <w:vAlign w:val="bottom"/>
          </w:tcPr>
          <w:p>
            <w:pPr>
              <w:spacing w:after="0"/>
              <w:rPr>
                <w:sz w:val="20"/>
                <w:szCs w:val="20"/>
                <w:color w:val="auto"/>
              </w:rPr>
            </w:pPr>
            <w:r>
              <w:rPr>
                <w:rFonts w:ascii="Arial" w:cs="Arial" w:eastAsia="Arial" w:hAnsi="Arial"/>
                <w:sz w:val="16"/>
                <w:szCs w:val="16"/>
                <w:color w:val="auto"/>
              </w:rPr>
              <w:t>Box office revenue</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8,526,341</w:t>
            </w:r>
          </w:p>
        </w:tc>
        <w:tc>
          <w:tcPr>
            <w:tcW w:w="34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9,508,154</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9,019,423</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Screen advertising</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331,472</w:t>
            </w: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286,501</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249,524</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Booking fees</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218,025</w:t>
            </w: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268,180</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200,017</w:t>
            </w:r>
          </w:p>
        </w:tc>
      </w:tr>
      <w:tr>
        <w:trPr>
          <w:trHeight w:val="200"/>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cinema services</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689,249</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626,605</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553,890</w:t>
            </w:r>
          </w:p>
        </w:tc>
      </w:tr>
      <w:tr>
        <w:trPr>
          <w:trHeight w:val="184"/>
        </w:trPr>
        <w:tc>
          <w:tcPr>
            <w:tcW w:w="5540" w:type="dxa"/>
            <w:vAlign w:val="bottom"/>
            <w:tcBorders>
              <w:bottom w:val="single" w:sz="8" w:color="auto"/>
            </w:tcBorders>
          </w:tcPr>
          <w:p>
            <w:pPr>
              <w:ind w:left="5380"/>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9,765,087</w:t>
            </w:r>
          </w:p>
        </w:tc>
        <w:tc>
          <w:tcPr>
            <w:tcW w:w="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10,689,440</w:t>
            </w:r>
          </w:p>
        </w:tc>
        <w:tc>
          <w:tcPr>
            <w:tcW w:w="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10,022,854</w:t>
            </w:r>
          </w:p>
        </w:tc>
      </w:tr>
      <w:tr>
        <w:trPr>
          <w:trHeight w:val="293"/>
        </w:trPr>
        <w:tc>
          <w:tcPr>
            <w:tcW w:w="5540" w:type="dxa"/>
            <w:vAlign w:val="bottom"/>
          </w:tcPr>
          <w:p>
            <w:pPr>
              <w:spacing w:after="0"/>
              <w:rPr>
                <w:sz w:val="20"/>
                <w:szCs w:val="20"/>
                <w:color w:val="auto"/>
              </w:rPr>
            </w:pPr>
            <w:r>
              <w:rPr>
                <w:rFonts w:ascii="Arial" w:cs="Arial" w:eastAsia="Arial" w:hAnsi="Arial"/>
                <w:sz w:val="16"/>
                <w:szCs w:val="16"/>
                <w:b w:val="1"/>
                <w:bCs w:val="1"/>
                <w:color w:val="auto"/>
              </w:rPr>
              <w:t>6. Personnel expenses</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2011</w:t>
            </w:r>
          </w:p>
        </w:tc>
      </w:tr>
      <w:tr>
        <w:trPr>
          <w:trHeight w:val="187"/>
        </w:trPr>
        <w:tc>
          <w:tcPr>
            <w:tcW w:w="5540" w:type="dxa"/>
            <w:vAlign w:val="bottom"/>
          </w:tcPr>
          <w:p>
            <w:pPr>
              <w:spacing w:after="0"/>
              <w:rPr>
                <w:sz w:val="20"/>
                <w:szCs w:val="20"/>
                <w:color w:val="auto"/>
              </w:rPr>
            </w:pPr>
            <w:r>
              <w:rPr>
                <w:rFonts w:ascii="Arial" w:cs="Arial" w:eastAsia="Arial" w:hAnsi="Arial"/>
                <w:sz w:val="16"/>
                <w:szCs w:val="16"/>
                <w:color w:val="auto"/>
              </w:rPr>
              <w:t>Wages and salaries</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1,603,620</w:t>
            </w:r>
          </w:p>
        </w:tc>
        <w:tc>
          <w:tcPr>
            <w:tcW w:w="3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1,767,789</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1,846,267</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Change in liability for annual leave</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56,011</w:t>
            </w:r>
          </w:p>
        </w:tc>
        <w:tc>
          <w:tcPr>
            <w:tcW w:w="36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65,274</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57,628</w:t>
            </w:r>
          </w:p>
        </w:tc>
      </w:tr>
      <w:tr>
        <w:trPr>
          <w:trHeight w:val="200"/>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liability for long-service leave</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22,239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12,452</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21,295</w:t>
            </w:r>
          </w:p>
        </w:tc>
      </w:tr>
      <w:tr>
        <w:trPr>
          <w:trHeight w:val="184"/>
        </w:trPr>
        <w:tc>
          <w:tcPr>
            <w:tcW w:w="5540" w:type="dxa"/>
            <w:vAlign w:val="bottom"/>
            <w:tcBorders>
              <w:bottom w:val="single" w:sz="8" w:color="auto"/>
            </w:tcBorders>
          </w:tcPr>
          <w:p>
            <w:pPr>
              <w:ind w:left="5380"/>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1,681,870</w:t>
            </w:r>
          </w:p>
        </w:tc>
        <w:tc>
          <w:tcPr>
            <w:tcW w:w="36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1,845,515</w:t>
            </w:r>
          </w:p>
        </w:tc>
        <w:tc>
          <w:tcPr>
            <w:tcW w:w="36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1,925,190</w:t>
            </w:r>
          </w:p>
        </w:tc>
      </w:tr>
      <w:tr>
        <w:trPr>
          <w:trHeight w:val="293"/>
        </w:trPr>
        <w:tc>
          <w:tcPr>
            <w:tcW w:w="5540" w:type="dxa"/>
            <w:vAlign w:val="bottom"/>
          </w:tcPr>
          <w:p>
            <w:pPr>
              <w:spacing w:after="0"/>
              <w:rPr>
                <w:sz w:val="20"/>
                <w:szCs w:val="20"/>
                <w:color w:val="auto"/>
              </w:rPr>
            </w:pPr>
            <w:r>
              <w:rPr>
                <w:rFonts w:ascii="Arial" w:cs="Arial" w:eastAsia="Arial" w:hAnsi="Arial"/>
                <w:sz w:val="16"/>
                <w:szCs w:val="16"/>
                <w:b w:val="1"/>
                <w:bCs w:val="1"/>
                <w:color w:val="auto"/>
              </w:rPr>
              <w:t>7. Finance income</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6"/>
              </w:rPr>
              <w:t>(unaudited)</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8"/>
                <w:szCs w:val="18"/>
                <w:color w:val="auto"/>
              </w:rPr>
            </w:pPr>
          </w:p>
        </w:tc>
      </w:tr>
      <w:tr>
        <w:trPr>
          <w:trHeight w:val="18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income on cash at bank:</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11,922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21,256</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58,301</w:t>
            </w:r>
          </w:p>
        </w:tc>
        <w:tc>
          <w:tcPr>
            <w:tcW w:w="20" w:type="dxa"/>
            <w:vAlign w:val="bottom"/>
          </w:tcPr>
          <w:p>
            <w:pPr>
              <w:spacing w:after="0"/>
              <w:rPr>
                <w:sz w:val="16"/>
                <w:szCs w:val="16"/>
                <w:color w:val="auto"/>
              </w:rPr>
            </w:pPr>
          </w:p>
        </w:tc>
      </w:tr>
      <w:tr>
        <w:trPr>
          <w:trHeight w:val="183"/>
        </w:trPr>
        <w:tc>
          <w:tcPr>
            <w:tcW w:w="554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11,922</w:t>
            </w:r>
          </w:p>
        </w:tc>
        <w:tc>
          <w:tcPr>
            <w:tcW w:w="3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21,256</w:t>
            </w:r>
          </w:p>
        </w:tc>
        <w:tc>
          <w:tcPr>
            <w:tcW w:w="3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58,301</w:t>
            </w:r>
          </w:p>
        </w:tc>
        <w:tc>
          <w:tcPr>
            <w:tcW w:w="20" w:type="dxa"/>
            <w:vAlign w:val="bottom"/>
          </w:tcPr>
          <w:p>
            <w:pPr>
              <w:spacing w:after="0"/>
              <w:rPr>
                <w:sz w:val="15"/>
                <w:szCs w:val="15"/>
                <w:color w:val="auto"/>
              </w:rPr>
            </w:pPr>
          </w:p>
        </w:tc>
      </w:tr>
      <w:tr>
        <w:trPr>
          <w:trHeight w:val="739"/>
        </w:trPr>
        <w:tc>
          <w:tcPr>
            <w:tcW w:w="5540" w:type="dxa"/>
            <w:vAlign w:val="bottom"/>
          </w:tcPr>
          <w:p>
            <w:pPr>
              <w:jc w:val="right"/>
              <w:ind w:right="762"/>
              <w:spacing w:after="0"/>
              <w:rPr>
                <w:sz w:val="20"/>
                <w:szCs w:val="20"/>
                <w:color w:val="auto"/>
              </w:rPr>
            </w:pPr>
            <w:r>
              <w:rPr>
                <w:rFonts w:ascii="Arial" w:cs="Arial" w:eastAsia="Arial" w:hAnsi="Arial"/>
                <w:sz w:val="16"/>
                <w:szCs w:val="16"/>
                <w:color w:val="auto"/>
              </w:rPr>
              <w:t>117</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5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55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558" w:right="1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4"/>
        </w:trPr>
        <w:tc>
          <w:tcPr>
            <w:tcW w:w="4200" w:type="dxa"/>
            <w:vAlign w:val="bottom"/>
          </w:tcPr>
          <w:p>
            <w:pPr>
              <w:spacing w:after="0"/>
              <w:rPr>
                <w:sz w:val="20"/>
                <w:szCs w:val="20"/>
                <w:color w:val="auto"/>
              </w:rPr>
            </w:pPr>
            <w:r>
              <w:rPr>
                <w:rFonts w:ascii="Arial" w:cs="Arial" w:eastAsia="Arial" w:hAnsi="Arial"/>
                <w:sz w:val="16"/>
                <w:szCs w:val="16"/>
                <w:b w:val="1"/>
                <w:bCs w:val="1"/>
                <w:color w:val="auto"/>
              </w:rPr>
              <w:t>8. Cash and cash equivalents</w:t>
            </w:r>
          </w:p>
        </w:tc>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42"/>
        </w:trPr>
        <w:tc>
          <w:tcPr>
            <w:tcW w:w="4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8"/>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40" w:type="dxa"/>
            <w:vAlign w:val="bottom"/>
            <w:tcBorders>
              <w:bottom w:val="single" w:sz="8" w:color="auto"/>
            </w:tcBorders>
          </w:tcPr>
          <w:p>
            <w:pPr>
              <w:jc w:val="center"/>
              <w:ind w:right="962"/>
              <w:spacing w:after="0"/>
              <w:rPr>
                <w:sz w:val="20"/>
                <w:szCs w:val="20"/>
                <w:color w:val="auto"/>
              </w:rPr>
            </w:pPr>
            <w:r>
              <w:rPr>
                <w:rFonts w:ascii="Arial" w:cs="Arial" w:eastAsia="Arial" w:hAnsi="Arial"/>
                <w:sz w:val="16"/>
                <w:szCs w:val="16"/>
                <w:b w:val="1"/>
                <w:bCs w:val="1"/>
                <w:i w:val="1"/>
                <w:iCs w:val="1"/>
                <w:color w:val="auto"/>
                <w:w w:val="89"/>
              </w:rPr>
              <w:t>Note</w:t>
            </w: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8"/>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at bank and on hand</w:t>
            </w:r>
          </w:p>
        </w:tc>
        <w:tc>
          <w:tcPr>
            <w:tcW w:w="2640" w:type="dxa"/>
            <w:vAlign w:val="bottom"/>
            <w:tcBorders>
              <w:bottom w:val="single" w:sz="8" w:color="auto"/>
            </w:tcBorders>
          </w:tcPr>
          <w:p>
            <w:pPr>
              <w:jc w:val="right"/>
              <w:ind w:right="1682"/>
              <w:spacing w:after="0"/>
              <w:rPr>
                <w:sz w:val="20"/>
                <w:szCs w:val="20"/>
                <w:color w:val="auto"/>
              </w:rPr>
            </w:pPr>
            <w:r>
              <w:rPr>
                <w:rFonts w:ascii="Arial" w:cs="Arial" w:eastAsia="Arial" w:hAnsi="Arial"/>
                <w:sz w:val="16"/>
                <w:szCs w:val="16"/>
                <w:color w:val="auto"/>
              </w:rPr>
              <w:t>15</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694,392</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898,217</w:t>
            </w:r>
          </w:p>
        </w:tc>
      </w:tr>
      <w:tr>
        <w:trPr>
          <w:trHeight w:val="183"/>
        </w:trPr>
        <w:tc>
          <w:tcPr>
            <w:tcW w:w="42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Cash and cash equivalents in the statement of cash flows</w:t>
            </w:r>
          </w:p>
        </w:tc>
        <w:tc>
          <w:tcPr>
            <w:tcW w:w="264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694,392</w:t>
            </w:r>
          </w:p>
        </w:tc>
        <w:tc>
          <w:tcPr>
            <w:tcW w:w="3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898,217</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Joint Venture’s exposure to interest rate risk is disclosed in Note 15(e), </w:t>
      </w:r>
      <w:r>
        <w:rPr>
          <w:rFonts w:ascii="Arial" w:cs="Arial" w:eastAsia="Arial" w:hAnsi="Arial"/>
          <w:sz w:val="16"/>
          <w:szCs w:val="16"/>
          <w:i w:val="1"/>
          <w:iCs w:val="1"/>
          <w:color w:val="auto"/>
        </w:rPr>
        <w:t>Financial instruments, Market risk</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Trade and other receivables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386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b w:val="1"/>
                <w:bCs w:val="1"/>
                <w:i w:val="1"/>
                <w:iCs w:val="1"/>
                <w:color w:val="auto"/>
                <w:w w:val="89"/>
              </w:rPr>
              <w:t>Note</w:t>
            </w: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8"/>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Trade receivables</w:t>
            </w:r>
          </w:p>
        </w:tc>
        <w:tc>
          <w:tcPr>
            <w:tcW w:w="3860" w:type="dxa"/>
            <w:vAlign w:val="bottom"/>
            <w:tcBorders>
              <w:bottom w:val="single" w:sz="8" w:color="auto"/>
            </w:tcBorders>
          </w:tcPr>
          <w:p>
            <w:pPr>
              <w:jc w:val="right"/>
              <w:ind w:right="1682"/>
              <w:spacing w:after="0"/>
              <w:rPr>
                <w:sz w:val="20"/>
                <w:szCs w:val="20"/>
                <w:color w:val="auto"/>
              </w:rPr>
            </w:pPr>
            <w:r>
              <w:rPr>
                <w:rFonts w:ascii="Arial" w:cs="Arial" w:eastAsia="Arial" w:hAnsi="Arial"/>
                <w:sz w:val="16"/>
                <w:szCs w:val="16"/>
                <w:color w:val="auto"/>
              </w:rPr>
              <w:t>15</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172,293</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196,598</w:t>
            </w:r>
          </w:p>
        </w:tc>
      </w:tr>
      <w:tr>
        <w:trPr>
          <w:trHeight w:val="183"/>
        </w:trPr>
        <w:tc>
          <w:tcPr>
            <w:tcW w:w="29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172,293</w:t>
            </w:r>
          </w:p>
        </w:tc>
        <w:tc>
          <w:tcPr>
            <w:tcW w:w="3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196,598</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Venture’s trade receivables relate mainly to the Joint Venture’s screen advertiser and credit card companies.</w:t>
      </w:r>
    </w:p>
    <w:p>
      <w:pPr>
        <w:spacing w:after="0" w:line="168" w:lineRule="exact"/>
        <w:rPr>
          <w:sz w:val="20"/>
          <w:szCs w:val="20"/>
          <w:color w:val="auto"/>
        </w:rPr>
      </w:pPr>
    </w:p>
    <w:p>
      <w:pPr>
        <w:jc w:val="both"/>
        <w:ind w:right="20" w:firstLine="564"/>
        <w:spacing w:after="0" w:line="265" w:lineRule="auto"/>
        <w:rPr>
          <w:sz w:val="20"/>
          <w:szCs w:val="20"/>
          <w:color w:val="auto"/>
        </w:rPr>
      </w:pPr>
      <w:r>
        <w:rPr>
          <w:rFonts w:ascii="Arial" w:cs="Arial" w:eastAsia="Arial" w:hAnsi="Arial"/>
          <w:sz w:val="16"/>
          <w:szCs w:val="16"/>
          <w:color w:val="auto"/>
        </w:rPr>
        <w:t xml:space="preserve">The Joint Venture’s exposure to credit risk and impairment losses related to trade receivables is disclosed in Note 15(c),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Credit risk</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Inventories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(unaudited)</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8"/>
                <w:szCs w:val="18"/>
                <w:color w:val="auto"/>
              </w:rPr>
            </w:pPr>
          </w:p>
        </w:tc>
      </w:tr>
      <w:tr>
        <w:trPr>
          <w:trHeight w:val="18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Concession stores at cost</w:t>
            </w: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126,947</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173,411</w:t>
            </w:r>
          </w:p>
        </w:tc>
        <w:tc>
          <w:tcPr>
            <w:tcW w:w="20" w:type="dxa"/>
            <w:vAlign w:val="bottom"/>
          </w:tcPr>
          <w:p>
            <w:pPr>
              <w:spacing w:after="0"/>
              <w:rPr>
                <w:sz w:val="16"/>
                <w:szCs w:val="16"/>
                <w:color w:val="auto"/>
              </w:rPr>
            </w:pPr>
          </w:p>
        </w:tc>
      </w:tr>
      <w:tr>
        <w:trPr>
          <w:trHeight w:val="183"/>
        </w:trPr>
        <w:tc>
          <w:tcPr>
            <w:tcW w:w="3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126,947</w:t>
            </w:r>
          </w:p>
        </w:tc>
        <w:tc>
          <w:tcPr>
            <w:tcW w:w="3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173,411</w:t>
            </w:r>
          </w:p>
        </w:tc>
        <w:tc>
          <w:tcPr>
            <w:tcW w:w="20" w:type="dxa"/>
            <w:vAlign w:val="bottom"/>
          </w:tcPr>
          <w:p>
            <w:pPr>
              <w:spacing w:after="0"/>
              <w:rPr>
                <w:sz w:val="15"/>
                <w:szCs w:val="15"/>
                <w:color w:val="auto"/>
              </w:rPr>
            </w:pPr>
          </w:p>
        </w:tc>
      </w:tr>
      <w:tr>
        <w:trPr>
          <w:trHeight w:val="375"/>
        </w:trPr>
        <w:tc>
          <w:tcPr>
            <w:tcW w:w="3220" w:type="dxa"/>
            <w:vAlign w:val="bottom"/>
          </w:tcPr>
          <w:p>
            <w:pPr>
              <w:spacing w:after="0"/>
              <w:rPr>
                <w:sz w:val="20"/>
                <w:szCs w:val="20"/>
                <w:color w:val="auto"/>
              </w:rPr>
            </w:pPr>
            <w:r>
              <w:rPr>
                <w:rFonts w:ascii="Arial" w:cs="Arial" w:eastAsia="Arial" w:hAnsi="Arial"/>
                <w:sz w:val="16"/>
                <w:szCs w:val="16"/>
                <w:b w:val="1"/>
                <w:bCs w:val="1"/>
                <w:color w:val="auto"/>
              </w:rPr>
              <w:t>11. Property, Plant, and Equipment</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center"/>
              <w:ind w:right="102"/>
              <w:spacing w:after="0"/>
              <w:rPr>
                <w:sz w:val="20"/>
                <w:szCs w:val="20"/>
                <w:color w:val="auto"/>
              </w:rPr>
            </w:pPr>
            <w:r>
              <w:rPr>
                <w:rFonts w:ascii="Arial" w:cs="Arial" w:eastAsia="Arial" w:hAnsi="Arial"/>
                <w:sz w:val="16"/>
                <w:szCs w:val="16"/>
                <w:b w:val="1"/>
                <w:bCs w:val="1"/>
                <w:color w:val="auto"/>
                <w:w w:val="88"/>
              </w:rPr>
              <w:t>Plant and</w:t>
            </w:r>
          </w:p>
        </w:tc>
        <w:tc>
          <w:tcPr>
            <w:tcW w:w="200" w:type="dxa"/>
            <w:vAlign w:val="bottom"/>
          </w:tcPr>
          <w:p>
            <w:pPr>
              <w:spacing w:after="0"/>
              <w:rPr>
                <w:sz w:val="24"/>
                <w:szCs w:val="24"/>
                <w:color w:val="auto"/>
              </w:rPr>
            </w:pPr>
          </w:p>
        </w:tc>
        <w:tc>
          <w:tcPr>
            <w:tcW w:w="1220" w:type="dxa"/>
            <w:vAlign w:val="bottom"/>
          </w:tcPr>
          <w:p>
            <w:pPr>
              <w:jc w:val="center"/>
              <w:ind w:right="62"/>
              <w:spacing w:after="0"/>
              <w:rPr>
                <w:sz w:val="20"/>
                <w:szCs w:val="20"/>
                <w:color w:val="auto"/>
              </w:rPr>
            </w:pPr>
            <w:r>
              <w:rPr>
                <w:rFonts w:ascii="Arial" w:cs="Arial" w:eastAsia="Arial" w:hAnsi="Arial"/>
                <w:sz w:val="16"/>
                <w:szCs w:val="16"/>
                <w:b w:val="1"/>
                <w:bCs w:val="1"/>
                <w:color w:val="auto"/>
                <w:w w:val="85"/>
              </w:rPr>
              <w:t>Leasehold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1"/>
              </w:rPr>
              <w:t>Equipment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Improvements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7"/>
              </w:rPr>
              <w:t>Capital WIP</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87"/>
        </w:trPr>
        <w:tc>
          <w:tcPr>
            <w:tcW w:w="3220" w:type="dxa"/>
            <w:vAlign w:val="bottom"/>
          </w:tcPr>
          <w:p>
            <w:pPr>
              <w:spacing w:after="0"/>
              <w:rPr>
                <w:sz w:val="20"/>
                <w:szCs w:val="20"/>
                <w:color w:val="auto"/>
              </w:rPr>
            </w:pPr>
            <w:r>
              <w:rPr>
                <w:rFonts w:ascii="Arial" w:cs="Arial" w:eastAsia="Arial" w:hAnsi="Arial"/>
                <w:sz w:val="16"/>
                <w:szCs w:val="16"/>
                <w:b w:val="1"/>
                <w:bCs w:val="1"/>
                <w:color w:val="auto"/>
              </w:rPr>
              <w:t>Cost</w:t>
            </w: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Balance at January 1, 2012</w:t>
            </w:r>
          </w:p>
        </w:tc>
        <w:tc>
          <w:tcPr>
            <w:tcW w:w="72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10,458,263</w:t>
            </w:r>
          </w:p>
        </w:tc>
        <w:tc>
          <w:tcPr>
            <w:tcW w:w="20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2,787,784</w:t>
            </w:r>
          </w:p>
        </w:tc>
        <w:tc>
          <w:tcPr>
            <w:tcW w:w="2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242,446</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13,488,493</w:t>
            </w:r>
          </w:p>
        </w:tc>
        <w:tc>
          <w:tcPr>
            <w:tcW w:w="20" w:type="dxa"/>
            <w:vAlign w:val="bottom"/>
          </w:tcPr>
          <w:p>
            <w:pPr>
              <w:spacing w:after="0"/>
              <w:rPr>
                <w:sz w:val="17"/>
                <w:szCs w:val="17"/>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Additions</w:t>
            </w:r>
          </w:p>
        </w:tc>
        <w:tc>
          <w:tcPr>
            <w:tcW w:w="72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783,266</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783,266</w:t>
            </w:r>
          </w:p>
        </w:tc>
        <w:tc>
          <w:tcPr>
            <w:tcW w:w="20" w:type="dxa"/>
            <w:vAlign w:val="bottom"/>
          </w:tcPr>
          <w:p>
            <w:pPr>
              <w:spacing w:after="0"/>
              <w:rPr>
                <w:sz w:val="17"/>
                <w:szCs w:val="17"/>
                <w:color w:val="auto"/>
              </w:rPr>
            </w:pPr>
          </w:p>
        </w:tc>
      </w:tr>
      <w:tr>
        <w:trPr>
          <w:trHeight w:val="20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Transfers</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94,123</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4,900</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(99,023)</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80"/>
        </w:trPr>
        <w:tc>
          <w:tcPr>
            <w:tcW w:w="3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Balance at December 31, 2012</w:t>
            </w:r>
          </w:p>
        </w:tc>
        <w:tc>
          <w:tcPr>
            <w:tcW w:w="7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10,552,386</w:t>
            </w:r>
          </w:p>
        </w:tc>
        <w:tc>
          <w:tcPr>
            <w:tcW w:w="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2,792,684</w:t>
            </w:r>
          </w:p>
        </w:tc>
        <w:tc>
          <w:tcPr>
            <w:tcW w:w="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926,689</w:t>
            </w:r>
          </w:p>
        </w:tc>
        <w:tc>
          <w:tcPr>
            <w:tcW w:w="36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14,271,759</w:t>
            </w:r>
          </w:p>
        </w:tc>
        <w:tc>
          <w:tcPr>
            <w:tcW w:w="20" w:type="dxa"/>
            <w:vAlign w:val="bottom"/>
          </w:tcPr>
          <w:p>
            <w:pPr>
              <w:spacing w:after="0"/>
              <w:rPr>
                <w:sz w:val="15"/>
                <w:szCs w:val="15"/>
                <w:color w:val="auto"/>
              </w:rPr>
            </w:pPr>
          </w:p>
        </w:tc>
      </w:tr>
      <w:tr>
        <w:trPr>
          <w:trHeight w:val="378"/>
        </w:trPr>
        <w:tc>
          <w:tcPr>
            <w:tcW w:w="3220" w:type="dxa"/>
            <w:vAlign w:val="bottom"/>
          </w:tcPr>
          <w:p>
            <w:pPr>
              <w:spacing w:after="0"/>
              <w:rPr>
                <w:sz w:val="20"/>
                <w:szCs w:val="20"/>
                <w:color w:val="auto"/>
              </w:rPr>
            </w:pPr>
            <w:r>
              <w:rPr>
                <w:rFonts w:ascii="Arial" w:cs="Arial" w:eastAsia="Arial" w:hAnsi="Arial"/>
                <w:sz w:val="16"/>
                <w:szCs w:val="16"/>
                <w:color w:val="auto"/>
              </w:rPr>
              <w:t>Balance at January 1, 2013 (unaudited)</w:t>
            </w:r>
          </w:p>
        </w:tc>
        <w:tc>
          <w:tcPr>
            <w:tcW w:w="720" w:type="dxa"/>
            <w:vAlign w:val="bottom"/>
          </w:tcPr>
          <w:p>
            <w:pPr>
              <w:spacing w:after="0"/>
              <w:rPr>
                <w:sz w:val="24"/>
                <w:szCs w:val="24"/>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10,552,386</w:t>
            </w:r>
          </w:p>
        </w:tc>
        <w:tc>
          <w:tcPr>
            <w:tcW w:w="20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2,792,684</w:t>
            </w:r>
          </w:p>
        </w:tc>
        <w:tc>
          <w:tcPr>
            <w:tcW w:w="280" w:type="dxa"/>
            <w:vAlign w:val="bottom"/>
          </w:tcPr>
          <w:p>
            <w:pPr>
              <w:spacing w:after="0"/>
              <w:rPr>
                <w:sz w:val="24"/>
                <w:szCs w:val="24"/>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926,689</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14,271,759</w:t>
            </w:r>
          </w:p>
        </w:tc>
        <w:tc>
          <w:tcPr>
            <w:tcW w:w="20" w:type="dxa"/>
            <w:vAlign w:val="bottom"/>
          </w:tcPr>
          <w:p>
            <w:pPr>
              <w:spacing w:after="0"/>
              <w:rPr>
                <w:sz w:val="24"/>
                <w:szCs w:val="24"/>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Additions (unaudited)</w:t>
            </w:r>
          </w:p>
        </w:tc>
        <w:tc>
          <w:tcPr>
            <w:tcW w:w="72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1,106,833</w:t>
            </w:r>
          </w:p>
        </w:tc>
        <w:tc>
          <w:tcPr>
            <w:tcW w:w="20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118,843</w:t>
            </w:r>
          </w:p>
        </w:tc>
        <w:tc>
          <w:tcPr>
            <w:tcW w:w="28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1,225,676</w:t>
            </w:r>
          </w:p>
        </w:tc>
        <w:tc>
          <w:tcPr>
            <w:tcW w:w="20" w:type="dxa"/>
            <w:vAlign w:val="bottom"/>
          </w:tcPr>
          <w:p>
            <w:pPr>
              <w:spacing w:after="0"/>
              <w:rPr>
                <w:sz w:val="17"/>
                <w:szCs w:val="17"/>
                <w:color w:val="auto"/>
              </w:rPr>
            </w:pPr>
          </w:p>
        </w:tc>
      </w:tr>
      <w:tr>
        <w:trPr>
          <w:trHeight w:val="20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Transfers (unaudited)</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(923,325)</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(923,325)</w:t>
            </w:r>
          </w:p>
        </w:tc>
        <w:tc>
          <w:tcPr>
            <w:tcW w:w="20" w:type="dxa"/>
            <w:vAlign w:val="bottom"/>
          </w:tcPr>
          <w:p>
            <w:pPr>
              <w:spacing w:after="0"/>
              <w:rPr>
                <w:sz w:val="17"/>
                <w:szCs w:val="17"/>
                <w:color w:val="auto"/>
              </w:rPr>
            </w:pPr>
          </w:p>
        </w:tc>
      </w:tr>
      <w:tr>
        <w:trPr>
          <w:trHeight w:val="184"/>
        </w:trPr>
        <w:tc>
          <w:tcPr>
            <w:tcW w:w="3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Balance at December 31, 2013 (unaudited)</w:t>
            </w:r>
          </w:p>
        </w:tc>
        <w:tc>
          <w:tcPr>
            <w:tcW w:w="7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11,659,219</w:t>
            </w:r>
          </w:p>
        </w:tc>
        <w:tc>
          <w:tcPr>
            <w:tcW w:w="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2,911,527</w:t>
            </w:r>
          </w:p>
        </w:tc>
        <w:tc>
          <w:tcPr>
            <w:tcW w:w="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3,364</w:t>
            </w:r>
          </w:p>
        </w:tc>
        <w:tc>
          <w:tcPr>
            <w:tcW w:w="36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14,574,110</w:t>
            </w:r>
          </w:p>
        </w:tc>
        <w:tc>
          <w:tcPr>
            <w:tcW w:w="20" w:type="dxa"/>
            <w:vAlign w:val="bottom"/>
          </w:tcPr>
          <w:p>
            <w:pPr>
              <w:spacing w:after="0"/>
              <w:rPr>
                <w:sz w:val="15"/>
                <w:szCs w:val="15"/>
                <w:color w:val="auto"/>
              </w:rPr>
            </w:pPr>
          </w:p>
        </w:tc>
      </w:tr>
      <w:tr>
        <w:trPr>
          <w:trHeight w:val="395"/>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center"/>
              <w:ind w:right="102"/>
              <w:spacing w:after="0"/>
              <w:rPr>
                <w:sz w:val="20"/>
                <w:szCs w:val="20"/>
                <w:color w:val="auto"/>
              </w:rPr>
            </w:pPr>
            <w:r>
              <w:rPr>
                <w:rFonts w:ascii="Arial" w:cs="Arial" w:eastAsia="Arial" w:hAnsi="Arial"/>
                <w:sz w:val="16"/>
                <w:szCs w:val="16"/>
                <w:b w:val="1"/>
                <w:bCs w:val="1"/>
                <w:color w:val="auto"/>
                <w:w w:val="88"/>
              </w:rPr>
              <w:t>Plant and</w:t>
            </w:r>
          </w:p>
        </w:tc>
        <w:tc>
          <w:tcPr>
            <w:tcW w:w="200" w:type="dxa"/>
            <w:vAlign w:val="bottom"/>
          </w:tcPr>
          <w:p>
            <w:pPr>
              <w:spacing w:after="0"/>
              <w:rPr>
                <w:sz w:val="24"/>
                <w:szCs w:val="24"/>
                <w:color w:val="auto"/>
              </w:rPr>
            </w:pPr>
          </w:p>
        </w:tc>
        <w:tc>
          <w:tcPr>
            <w:tcW w:w="1220" w:type="dxa"/>
            <w:vAlign w:val="bottom"/>
          </w:tcPr>
          <w:p>
            <w:pPr>
              <w:jc w:val="center"/>
              <w:ind w:right="62"/>
              <w:spacing w:after="0"/>
              <w:rPr>
                <w:sz w:val="20"/>
                <w:szCs w:val="20"/>
                <w:color w:val="auto"/>
              </w:rPr>
            </w:pPr>
            <w:r>
              <w:rPr>
                <w:rFonts w:ascii="Arial" w:cs="Arial" w:eastAsia="Arial" w:hAnsi="Arial"/>
                <w:sz w:val="16"/>
                <w:szCs w:val="16"/>
                <w:b w:val="1"/>
                <w:bCs w:val="1"/>
                <w:color w:val="auto"/>
                <w:w w:val="85"/>
              </w:rPr>
              <w:t>Leasehold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1"/>
              </w:rPr>
              <w:t>Equipment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Improvements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7"/>
              </w:rPr>
              <w:t>Capital WIP</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187"/>
        </w:trPr>
        <w:tc>
          <w:tcPr>
            <w:tcW w:w="322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Balance at January 1, 2012</w:t>
            </w:r>
          </w:p>
        </w:tc>
        <w:tc>
          <w:tcPr>
            <w:tcW w:w="7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(8,688,701)</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(1,061,838)</w:t>
            </w:r>
          </w:p>
        </w:tc>
        <w:tc>
          <w:tcPr>
            <w:tcW w:w="28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(9,750,539)</w:t>
            </w:r>
          </w:p>
        </w:tc>
        <w:tc>
          <w:tcPr>
            <w:tcW w:w="20" w:type="dxa"/>
            <w:vAlign w:val="bottom"/>
          </w:tcPr>
          <w:p>
            <w:pPr>
              <w:spacing w:after="0"/>
              <w:rPr>
                <w:sz w:val="17"/>
                <w:szCs w:val="17"/>
                <w:color w:val="auto"/>
              </w:rPr>
            </w:pPr>
          </w:p>
        </w:tc>
      </w:tr>
      <w:tr>
        <w:trPr>
          <w:trHeight w:val="20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amortisation</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(492,890)</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(104,459)</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(597,349)</w:t>
            </w:r>
          </w:p>
        </w:tc>
        <w:tc>
          <w:tcPr>
            <w:tcW w:w="20" w:type="dxa"/>
            <w:vAlign w:val="bottom"/>
          </w:tcPr>
          <w:p>
            <w:pPr>
              <w:spacing w:after="0"/>
              <w:rPr>
                <w:sz w:val="17"/>
                <w:szCs w:val="17"/>
                <w:color w:val="auto"/>
              </w:rPr>
            </w:pPr>
          </w:p>
        </w:tc>
      </w:tr>
      <w:tr>
        <w:trPr>
          <w:trHeight w:val="180"/>
        </w:trPr>
        <w:tc>
          <w:tcPr>
            <w:tcW w:w="3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Balance at December 31, 2012</w:t>
            </w:r>
          </w:p>
        </w:tc>
        <w:tc>
          <w:tcPr>
            <w:tcW w:w="7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(9,181,591)</w:t>
            </w:r>
          </w:p>
        </w:tc>
        <w:tc>
          <w:tcPr>
            <w:tcW w:w="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(1,166,297)</w:t>
            </w:r>
          </w:p>
        </w:tc>
        <w:tc>
          <w:tcPr>
            <w:tcW w:w="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(10,347,888)</w:t>
            </w:r>
          </w:p>
        </w:tc>
        <w:tc>
          <w:tcPr>
            <w:tcW w:w="20" w:type="dxa"/>
            <w:vAlign w:val="bottom"/>
          </w:tcPr>
          <w:p>
            <w:pPr>
              <w:spacing w:after="0"/>
              <w:rPr>
                <w:sz w:val="15"/>
                <w:szCs w:val="15"/>
                <w:color w:val="auto"/>
              </w:rPr>
            </w:pPr>
          </w:p>
        </w:tc>
      </w:tr>
      <w:tr>
        <w:trPr>
          <w:trHeight w:val="707"/>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right"/>
              <w:ind w:right="302"/>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2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r>
        <w:trPr>
          <w:trHeight w:val="20"/>
        </w:trPr>
        <w:tc>
          <w:tcPr>
            <w:tcW w:w="3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3" w:right="1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Balance at January 1, 2013 (unaudited)</w:t>
            </w:r>
          </w:p>
        </w:tc>
        <w:tc>
          <w:tcPr>
            <w:tcW w:w="72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(9,181,591)</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(1,166,297)</w:t>
            </w:r>
          </w:p>
        </w:tc>
        <w:tc>
          <w:tcPr>
            <w:tcW w:w="28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(10,347,888)</w:t>
            </w:r>
          </w:p>
        </w:tc>
      </w:tr>
      <w:tr>
        <w:trPr>
          <w:trHeight w:val="20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amortisation (unaudited)</w:t>
            </w: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(436,407)</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(107,864)</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(544,271)</w:t>
            </w:r>
          </w:p>
        </w:tc>
      </w:tr>
      <w:tr>
        <w:trPr>
          <w:trHeight w:val="184"/>
        </w:trPr>
        <w:tc>
          <w:tcPr>
            <w:tcW w:w="3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Balance at December 31, 2013 (unaudited)</w:t>
            </w:r>
          </w:p>
        </w:tc>
        <w:tc>
          <w:tcPr>
            <w:tcW w:w="7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(9,617,998)</w:t>
            </w: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(1,274,161)</w:t>
            </w:r>
          </w:p>
        </w:tc>
        <w:tc>
          <w:tcPr>
            <w:tcW w:w="28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(10,892,159)</w:t>
            </w:r>
          </w:p>
        </w:tc>
      </w:tr>
      <w:tr>
        <w:trPr>
          <w:trHeight w:val="395"/>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jc w:val="right"/>
              <w:ind w:right="282"/>
              <w:spacing w:after="0"/>
              <w:rPr>
                <w:sz w:val="20"/>
                <w:szCs w:val="20"/>
                <w:color w:val="auto"/>
              </w:rPr>
            </w:pPr>
            <w:r>
              <w:rPr>
                <w:rFonts w:ascii="Arial" w:cs="Arial" w:eastAsia="Arial" w:hAnsi="Arial"/>
                <w:sz w:val="16"/>
                <w:szCs w:val="16"/>
                <w:b w:val="1"/>
                <w:bCs w:val="1"/>
                <w:color w:val="auto"/>
              </w:rPr>
              <w:t>Plant and</w:t>
            </w:r>
          </w:p>
        </w:tc>
        <w:tc>
          <w:tcPr>
            <w:tcW w:w="180" w:type="dxa"/>
            <w:vAlign w:val="bottom"/>
          </w:tcPr>
          <w:p>
            <w:pPr>
              <w:spacing w:after="0"/>
              <w:rPr>
                <w:sz w:val="24"/>
                <w:szCs w:val="24"/>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b w:val="1"/>
                <w:bCs w:val="1"/>
                <w:color w:val="auto"/>
              </w:rPr>
              <w:t>Leasehold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Equipment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3"/>
              </w:rPr>
              <w:t>Improvements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7"/>
              </w:rPr>
              <w:t>Capital WIP</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Total</w:t>
            </w:r>
          </w:p>
        </w:tc>
      </w:tr>
      <w:tr>
        <w:trPr>
          <w:trHeight w:val="175"/>
        </w:trPr>
        <w:tc>
          <w:tcPr>
            <w:tcW w:w="3220" w:type="dxa"/>
            <w:vAlign w:val="bottom"/>
          </w:tcPr>
          <w:p>
            <w:pPr>
              <w:spacing w:after="0" w:line="175" w:lineRule="exact"/>
              <w:rPr>
                <w:sz w:val="20"/>
                <w:szCs w:val="20"/>
                <w:color w:val="auto"/>
              </w:rPr>
            </w:pPr>
            <w:r>
              <w:rPr>
                <w:rFonts w:ascii="Arial" w:cs="Arial" w:eastAsia="Arial" w:hAnsi="Arial"/>
                <w:sz w:val="16"/>
                <w:szCs w:val="16"/>
                <w:b w:val="1"/>
                <w:bCs w:val="1"/>
                <w:color w:val="auto"/>
              </w:rPr>
              <w:t>Carrying amounts</w:t>
            </w: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At January 1, 2012</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1,769,563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1,725,946</w:t>
            </w:r>
          </w:p>
        </w:tc>
        <w:tc>
          <w:tcPr>
            <w:tcW w:w="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242,446</w:t>
            </w:r>
          </w:p>
        </w:tc>
        <w:tc>
          <w:tcPr>
            <w:tcW w:w="3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3,737,955</w:t>
            </w: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At December 31, 2012</w:t>
            </w:r>
          </w:p>
        </w:tc>
        <w:tc>
          <w:tcPr>
            <w:tcW w:w="72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1,370,795</w:t>
            </w:r>
          </w:p>
        </w:tc>
        <w:tc>
          <w:tcPr>
            <w:tcW w:w="18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1,626,387</w:t>
            </w:r>
          </w:p>
        </w:tc>
        <w:tc>
          <w:tcPr>
            <w:tcW w:w="2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926,689</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3,923,871</w:t>
            </w: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At January 1, 2013 (unaudited)</w:t>
            </w:r>
          </w:p>
        </w:tc>
        <w:tc>
          <w:tcPr>
            <w:tcW w:w="72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1,370,795</w:t>
            </w:r>
          </w:p>
        </w:tc>
        <w:tc>
          <w:tcPr>
            <w:tcW w:w="18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1,626,387</w:t>
            </w:r>
          </w:p>
        </w:tc>
        <w:tc>
          <w:tcPr>
            <w:tcW w:w="2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926,689</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3,923,871</w:t>
            </w:r>
          </w:p>
        </w:tc>
      </w:tr>
      <w:tr>
        <w:trPr>
          <w:trHeight w:val="204"/>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At December 31, 2013 (unaudited)</w:t>
            </w: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2,041,221</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1,637,366</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3,364</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3,681,951</w:t>
            </w:r>
          </w:p>
        </w:tc>
      </w:tr>
      <w:tr>
        <w:trPr>
          <w:trHeight w:val="387"/>
        </w:trPr>
        <w:tc>
          <w:tcPr>
            <w:tcW w:w="3220" w:type="dxa"/>
            <w:vAlign w:val="bottom"/>
          </w:tcPr>
          <w:p>
            <w:pPr>
              <w:ind w:left="40"/>
              <w:spacing w:after="0"/>
              <w:rPr>
                <w:sz w:val="20"/>
                <w:szCs w:val="20"/>
                <w:color w:val="auto"/>
              </w:rPr>
            </w:pPr>
            <w:r>
              <w:rPr>
                <w:rFonts w:ascii="Arial" w:cs="Arial" w:eastAsia="Arial" w:hAnsi="Arial"/>
                <w:sz w:val="16"/>
                <w:szCs w:val="16"/>
                <w:b w:val="1"/>
                <w:bCs w:val="1"/>
                <w:color w:val="auto"/>
              </w:rPr>
              <w:t>12. Trade and other payables</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1"/>
        </w:trPr>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32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Note</w:t>
            </w: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(unaudited)</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7"/>
        </w:trPr>
        <w:tc>
          <w:tcPr>
            <w:tcW w:w="3220" w:type="dxa"/>
            <w:vAlign w:val="bottom"/>
          </w:tcPr>
          <w:p>
            <w:pPr>
              <w:spacing w:after="0"/>
              <w:rPr>
                <w:sz w:val="20"/>
                <w:szCs w:val="20"/>
                <w:color w:val="auto"/>
              </w:rPr>
            </w:pPr>
            <w:r>
              <w:rPr>
                <w:rFonts w:ascii="Arial" w:cs="Arial" w:eastAsia="Arial" w:hAnsi="Arial"/>
                <w:sz w:val="16"/>
                <w:szCs w:val="16"/>
                <w:color w:val="auto"/>
              </w:rPr>
              <w:t>Trade payables</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221,732</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413,082</w:t>
            </w:r>
          </w:p>
        </w:tc>
      </w:tr>
      <w:tr>
        <w:trPr>
          <w:trHeight w:val="20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Non-trade payables and accruals</w:t>
            </w: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415,100</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464,944</w:t>
            </w:r>
          </w:p>
        </w:tc>
      </w:tr>
      <w:tr>
        <w:trPr>
          <w:trHeight w:val="184"/>
        </w:trPr>
        <w:tc>
          <w:tcPr>
            <w:tcW w:w="3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636,832</w:t>
            </w:r>
          </w:p>
        </w:tc>
        <w:tc>
          <w:tcPr>
            <w:tcW w:w="36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878,026</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864870</wp:posOffset>
            </wp:positionH>
            <wp:positionV relativeFrom="page">
              <wp:posOffset>305435</wp:posOffset>
            </wp:positionV>
            <wp:extent cx="583247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32475" cy="7620"/>
                    </a:xfrm>
                    <a:prstGeom prst="rect">
                      <a:avLst/>
                    </a:prstGeom>
                    <a:noFill/>
                  </pic:spPr>
                </pic:pic>
              </a:graphicData>
            </a:graphic>
          </wp:anchor>
        </w:drawing>
      </w:r>
    </w:p>
    <w:p>
      <w:pPr>
        <w:jc w:val="both"/>
        <w:ind w:firstLine="564"/>
        <w:spacing w:after="0" w:line="251" w:lineRule="auto"/>
        <w:rPr>
          <w:sz w:val="20"/>
          <w:szCs w:val="20"/>
          <w:color w:val="auto"/>
        </w:rPr>
      </w:pPr>
      <w:r>
        <w:rPr>
          <w:rFonts w:ascii="Arial" w:cs="Arial" w:eastAsia="Arial" w:hAnsi="Arial"/>
          <w:sz w:val="16"/>
          <w:szCs w:val="16"/>
          <w:color w:val="auto"/>
        </w:rPr>
        <w:t xml:space="preserve">The Joint Venture’s exposure to liquidity risk related to trade and other payables is disclosed in Note 15(d),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Liquidity risk</w:t>
      </w:r>
      <w:r>
        <w:rPr>
          <w:rFonts w:ascii="Arial" w:cs="Arial" w:eastAsia="Arial" w:hAnsi="Arial"/>
          <w:sz w:val="16"/>
          <w:szCs w:val="16"/>
          <w:color w:val="auto"/>
        </w:rPr>
        <w:t>. Trade payables represents payments to trade creditors. The Joint Venture makes these payments through the managing party’s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shared service centre and is charged a management fee for these services. Disclosure regarding the management fee is made in Note 19, </w:t>
      </w:r>
      <w:r>
        <w:rPr>
          <w:rFonts w:ascii="Arial" w:cs="Arial" w:eastAsia="Arial" w:hAnsi="Arial"/>
          <w:sz w:val="16"/>
          <w:szCs w:val="16"/>
          <w:i w:val="1"/>
          <w:iCs w:val="1"/>
          <w:color w:val="auto"/>
        </w:rPr>
        <w:t>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parties</w:t>
      </w:r>
      <w:r>
        <w:rPr>
          <w:rFonts w:ascii="Arial" w:cs="Arial" w:eastAsia="Arial" w:hAnsi="Arial"/>
          <w:sz w:val="16"/>
          <w:szCs w:val="16"/>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Employee benefits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gridSpan w:val="3"/>
          </w:tcPr>
          <w:p>
            <w:pPr>
              <w:spacing w:after="0"/>
              <w:rPr>
                <w:sz w:val="20"/>
                <w:szCs w:val="20"/>
                <w:color w:val="auto"/>
              </w:rPr>
            </w:pPr>
            <w:r>
              <w:rPr>
                <w:rFonts w:ascii="Arial" w:cs="Arial" w:eastAsia="Arial" w:hAnsi="Arial"/>
                <w:sz w:val="16"/>
                <w:szCs w:val="16"/>
                <w:color w:val="auto"/>
              </w:rPr>
              <w:t>Current</w:t>
            </w:r>
          </w:p>
        </w:tc>
        <w:tc>
          <w:tcPr>
            <w:tcW w:w="108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In AUS$</w:t>
            </w: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1"/>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87"/>
        </w:trPr>
        <w:tc>
          <w:tcPr>
            <w:tcW w:w="6840" w:type="dxa"/>
            <w:vAlign w:val="bottom"/>
            <w:gridSpan w:val="3"/>
          </w:tcPr>
          <w:p>
            <w:pPr>
              <w:spacing w:after="0"/>
              <w:rPr>
                <w:sz w:val="20"/>
                <w:szCs w:val="20"/>
                <w:color w:val="auto"/>
              </w:rPr>
            </w:pPr>
            <w:r>
              <w:rPr>
                <w:rFonts w:ascii="Arial" w:cs="Arial" w:eastAsia="Arial" w:hAnsi="Arial"/>
                <w:sz w:val="16"/>
                <w:szCs w:val="16"/>
                <w:color w:val="auto"/>
              </w:rPr>
              <w:t>Liability for annual leave</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96,527</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102,540</w:t>
            </w:r>
          </w:p>
        </w:tc>
        <w:tc>
          <w:tcPr>
            <w:tcW w:w="0" w:type="dxa"/>
            <w:vAlign w:val="bottom"/>
          </w:tcPr>
          <w:p>
            <w:pPr>
              <w:spacing w:after="0"/>
              <w:rPr>
                <w:sz w:val="1"/>
                <w:szCs w:val="1"/>
                <w:color w:val="auto"/>
              </w:rPr>
            </w:pPr>
          </w:p>
        </w:tc>
      </w:tr>
      <w:tr>
        <w:trPr>
          <w:trHeight w:val="200"/>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Liability for long-service leave</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75,969</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60,421</w:t>
            </w:r>
          </w:p>
        </w:tc>
        <w:tc>
          <w:tcPr>
            <w:tcW w:w="0" w:type="dxa"/>
            <w:vAlign w:val="bottom"/>
          </w:tcPr>
          <w:p>
            <w:pPr>
              <w:spacing w:after="0"/>
              <w:rPr>
                <w:sz w:val="1"/>
                <w:szCs w:val="1"/>
                <w:color w:val="auto"/>
              </w:rPr>
            </w:pPr>
          </w:p>
        </w:tc>
      </w:tr>
      <w:tr>
        <w:trPr>
          <w:trHeight w:val="184"/>
        </w:trPr>
        <w:tc>
          <w:tcPr>
            <w:tcW w:w="6840" w:type="dxa"/>
            <w:vAlign w:val="bottom"/>
            <w:tcBorders>
              <w:bottom w:val="single" w:sz="8" w:color="auto"/>
            </w:tcBorders>
            <w:gridSpan w:val="3"/>
          </w:tcPr>
          <w:p>
            <w:pPr>
              <w:ind w:left="668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172,496</w:t>
            </w:r>
          </w:p>
        </w:tc>
        <w:tc>
          <w:tcPr>
            <w:tcW w:w="36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162,961</w:t>
            </w:r>
          </w:p>
        </w:tc>
        <w:tc>
          <w:tcPr>
            <w:tcW w:w="0" w:type="dxa"/>
            <w:vAlign w:val="bottom"/>
          </w:tcPr>
          <w:p>
            <w:pPr>
              <w:spacing w:after="0"/>
              <w:rPr>
                <w:sz w:val="1"/>
                <w:szCs w:val="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6"/>
                <w:szCs w:val="16"/>
                <w:color w:val="auto"/>
              </w:rPr>
              <w:t>Non-current</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6"/>
                <w:szCs w:val="16"/>
                <w:b w:val="1"/>
                <w:bCs w:val="1"/>
                <w:color w:val="auto"/>
                <w:w w:val="89"/>
              </w:rPr>
              <w:t>2013</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In AUS$</w:t>
            </w: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1"/>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88"/>
        </w:trPr>
        <w:tc>
          <w:tcPr>
            <w:tcW w:w="6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Liability for long-service leave</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33,255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41,105</w:t>
            </w:r>
          </w:p>
        </w:tc>
        <w:tc>
          <w:tcPr>
            <w:tcW w:w="0" w:type="dxa"/>
            <w:vAlign w:val="bottom"/>
          </w:tcPr>
          <w:p>
            <w:pPr>
              <w:spacing w:after="0"/>
              <w:rPr>
                <w:sz w:val="1"/>
                <w:szCs w:val="1"/>
                <w:color w:val="auto"/>
              </w:rPr>
            </w:pPr>
          </w:p>
        </w:tc>
      </w:tr>
      <w:tr>
        <w:trPr>
          <w:trHeight w:val="183"/>
        </w:trPr>
        <w:tc>
          <w:tcPr>
            <w:tcW w:w="6840" w:type="dxa"/>
            <w:vAlign w:val="bottom"/>
            <w:tcBorders>
              <w:bottom w:val="single" w:sz="8" w:color="auto"/>
            </w:tcBorders>
            <w:gridSpan w:val="3"/>
          </w:tcPr>
          <w:p>
            <w:pPr>
              <w:ind w:left="6680"/>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33,255</w:t>
            </w:r>
          </w:p>
        </w:tc>
        <w:tc>
          <w:tcPr>
            <w:tcW w:w="3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41,105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679" w:right="13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4"/>
        </w:trPr>
        <w:tc>
          <w:tcPr>
            <w:tcW w:w="6840" w:type="dxa"/>
            <w:vAlign w:val="bottom"/>
          </w:tcPr>
          <w:p>
            <w:pPr>
              <w:spacing w:after="0"/>
              <w:rPr>
                <w:sz w:val="20"/>
                <w:szCs w:val="20"/>
                <w:color w:val="auto"/>
              </w:rPr>
            </w:pPr>
            <w:r>
              <w:rPr>
                <w:rFonts w:ascii="Arial" w:cs="Arial" w:eastAsia="Arial" w:hAnsi="Arial"/>
                <w:sz w:val="16"/>
                <w:szCs w:val="16"/>
                <w:b w:val="1"/>
                <w:bCs w:val="1"/>
                <w:color w:val="auto"/>
              </w:rPr>
              <w:t>14. Deferred revenue</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42"/>
        </w:trPr>
        <w:tc>
          <w:tcPr>
            <w:tcW w:w="6840" w:type="dxa"/>
            <w:vAlign w:val="bottom"/>
          </w:tcPr>
          <w:p>
            <w:pPr>
              <w:spacing w:after="0"/>
              <w:rPr>
                <w:sz w:val="24"/>
                <w:szCs w:val="24"/>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8"/>
        </w:trPr>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8"/>
        </w:trPr>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Deferred revenue</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32,297</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27,683</w:t>
            </w:r>
          </w:p>
        </w:tc>
      </w:tr>
      <w:tr>
        <w:trPr>
          <w:trHeight w:val="183"/>
        </w:trPr>
        <w:tc>
          <w:tcPr>
            <w:tcW w:w="684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32,297</w:t>
            </w:r>
          </w:p>
        </w:tc>
        <w:tc>
          <w:tcPr>
            <w:tcW w:w="36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27,683</w:t>
            </w:r>
          </w:p>
        </w:tc>
      </w:tr>
    </w:tbl>
    <w:p>
      <w:pPr>
        <w:spacing w:after="0" w:line="175" w:lineRule="exact"/>
        <w:rPr>
          <w:sz w:val="20"/>
          <w:szCs w:val="20"/>
          <w:color w:val="auto"/>
        </w:rPr>
      </w:pPr>
    </w:p>
    <w:p>
      <w:pPr>
        <w:jc w:val="both"/>
        <w:ind w:firstLine="564"/>
        <w:spacing w:after="0" w:line="299" w:lineRule="auto"/>
        <w:rPr>
          <w:sz w:val="20"/>
          <w:szCs w:val="20"/>
          <w:color w:val="auto"/>
        </w:rPr>
      </w:pPr>
      <w:r>
        <w:rPr>
          <w:rFonts w:ascii="Arial" w:cs="Arial" w:eastAsia="Arial" w:hAnsi="Arial"/>
          <w:sz w:val="15"/>
          <w:szCs w:val="15"/>
          <w:color w:val="auto"/>
        </w:rPr>
        <w:t>Deferred revenue mainly consists of advance funds received from vendors for the exclusive rights to supply certain concession items. Revenue is recognised over the term of the related contract on a straight-line basis and is classified as service revenue.</w:t>
      </w:r>
    </w:p>
    <w:p>
      <w:pPr>
        <w:spacing w:after="0" w:line="95" w:lineRule="exact"/>
        <w:rPr>
          <w:sz w:val="20"/>
          <w:szCs w:val="20"/>
          <w:color w:val="auto"/>
        </w:rPr>
      </w:pPr>
    </w:p>
    <w:p>
      <w:pPr>
        <w:ind w:left="240" w:hanging="238"/>
        <w:spacing w:after="0"/>
        <w:tabs>
          <w:tab w:leader="none" w:pos="24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w:t>
      </w:r>
    </w:p>
    <w:p>
      <w:pPr>
        <w:spacing w:after="0" w:line="156" w:lineRule="exact"/>
        <w:rPr>
          <w:rFonts w:ascii="Arial" w:cs="Arial" w:eastAsia="Arial" w:hAnsi="Arial"/>
          <w:sz w:val="16"/>
          <w:szCs w:val="16"/>
          <w:b w:val="1"/>
          <w:bCs w:val="1"/>
          <w:color w:val="auto"/>
        </w:rPr>
      </w:pPr>
    </w:p>
    <w:p>
      <w:pPr>
        <w:ind w:left="780" w:hanging="215"/>
        <w:spacing w:after="0"/>
        <w:tabs>
          <w:tab w:leader="none" w:pos="780"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Overview</w:t>
      </w:r>
    </w:p>
    <w:p>
      <w:pPr>
        <w:spacing w:after="0" w:line="172" w:lineRule="exact"/>
        <w:rPr>
          <w:sz w:val="20"/>
          <w:szCs w:val="20"/>
          <w:color w:val="auto"/>
        </w:rPr>
      </w:pPr>
    </w:p>
    <w:p>
      <w:pPr>
        <w:ind w:firstLine="564"/>
        <w:spacing w:after="0" w:line="265" w:lineRule="auto"/>
        <w:rPr>
          <w:sz w:val="20"/>
          <w:szCs w:val="20"/>
          <w:color w:val="auto"/>
        </w:rPr>
      </w:pPr>
      <w:r>
        <w:rPr>
          <w:rFonts w:ascii="Arial" w:cs="Arial" w:eastAsia="Arial" w:hAnsi="Arial"/>
          <w:sz w:val="16"/>
          <w:szCs w:val="16"/>
          <w:color w:val="auto"/>
        </w:rPr>
        <w:t>This note presents information about the Joint Venture’s exposure to financial risks, its objectives, policies, and processes for measuring and managing risk, and the management of capital.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Venture’s activities expose it to the following financial risks;</w:t>
      </w:r>
    </w:p>
    <w:p>
      <w:pPr>
        <w:spacing w:after="0" w:line="157" w:lineRule="exact"/>
        <w:rPr>
          <w:sz w:val="20"/>
          <w:szCs w:val="20"/>
          <w:color w:val="auto"/>
        </w:rPr>
      </w:pPr>
    </w:p>
    <w:p>
      <w:pPr>
        <w:ind w:left="840" w:hanging="557"/>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credit risk;</w:t>
      </w:r>
    </w:p>
    <w:p>
      <w:pPr>
        <w:spacing w:after="0" w:line="15" w:lineRule="exact"/>
        <w:rPr>
          <w:rFonts w:ascii="Arial" w:cs="Arial" w:eastAsia="Arial" w:hAnsi="Arial"/>
          <w:sz w:val="16"/>
          <w:szCs w:val="16"/>
          <w:color w:val="auto"/>
        </w:rPr>
      </w:pPr>
    </w:p>
    <w:p>
      <w:pPr>
        <w:ind w:left="640" w:hanging="357"/>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liquidity risk; and</w:t>
      </w:r>
    </w:p>
    <w:p>
      <w:pPr>
        <w:spacing w:after="0" w:line="3" w:lineRule="exact"/>
        <w:rPr>
          <w:rFonts w:ascii="Arial" w:cs="Arial" w:eastAsia="Arial" w:hAnsi="Arial"/>
          <w:sz w:val="16"/>
          <w:szCs w:val="16"/>
          <w:color w:val="auto"/>
        </w:rPr>
      </w:pPr>
    </w:p>
    <w:p>
      <w:pPr>
        <w:ind w:left="800" w:hanging="517"/>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market risk.</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(b) Risk management framework</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Joint Venturers’ have overall responsibility for the establishment and oversight of the risk management framework and are also responsible for developing and monitoring risk management policies.</w:t>
      </w:r>
    </w:p>
    <w:p>
      <w:pPr>
        <w:spacing w:after="0" w:line="122" w:lineRule="exact"/>
        <w:rPr>
          <w:sz w:val="20"/>
          <w:szCs w:val="20"/>
          <w:color w:val="auto"/>
        </w:rPr>
      </w:pPr>
    </w:p>
    <w:p>
      <w:pPr>
        <w:jc w:val="both"/>
        <w:ind w:firstLine="564"/>
        <w:spacing w:after="0" w:line="328" w:lineRule="auto"/>
        <w:rPr>
          <w:sz w:val="20"/>
          <w:szCs w:val="20"/>
          <w:color w:val="auto"/>
        </w:rPr>
      </w:pPr>
      <w:r>
        <w:rPr>
          <w:rFonts w:ascii="Arial" w:cs="Arial" w:eastAsia="Arial" w:hAnsi="Arial"/>
          <w:sz w:val="13"/>
          <w:szCs w:val="13"/>
          <w:color w:val="auto"/>
        </w:rPr>
        <w:t>Risk management policies are established to identify and analyse the risks faced by the Joint Venture to set appropriate risk limits and controls, and to monitor risks and adherence to limits. Risk management policies and systems are reviewed regularly to reflect changes in market conditions and the Joint Venture’s activities. The Joint Venture, through its training and management standards and procedures, aims to develop a disciplined and constructive control environment in which all employees understand their roles and obligations.</w:t>
      </w:r>
    </w:p>
    <w:p>
      <w:pPr>
        <w:spacing w:after="0" w:line="99"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Joint Venturers’ oversee how management monitors compliance with the Joint Venture’s risk management policies and procedures and reviews the adequacy of the risk management framework in relation to the risks faced by the Joint Venture.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changes in the Joint Venture’s approach to capital management during the year.</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 Credit risk</w:t>
      </w:r>
    </w:p>
    <w:p>
      <w:pPr>
        <w:spacing w:after="0" w:line="172"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Credit risk is the risk of financial loss to the Joint Venture if a customer or counterparty to a financial instrument fails to meet its contractual obligations, and arises principally from the Joint Venture’s receivables from customers.</w:t>
      </w:r>
    </w:p>
    <w:p>
      <w:pPr>
        <w:spacing w:after="0" w:line="122"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Venture’s exposure to credit risk is influenced mainly by the individual characteristics of each customer. The demographics of the Joint Venture’s customer base, including the default risk of the industry and country, in which customers operate, has less of an influence on credit risk.</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Customers that are graded as “high risk” are placed on a restricted customer list, and monitored by the Joint Venturers.</w:t>
      </w:r>
    </w:p>
    <w:p>
      <w:pPr>
        <w:spacing w:after="0" w:line="16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The Joint Venture operates under the managing Joint Venturer’s credit policy under which each new customer is analysed individually for creditworthiness before the Joint Venture’s standard payment and delivery terms and conditions are offered. The Joint Venture’s review includes external ratings, when available, and in some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20" w:name="page121"/>
    <w:bookmarkEnd w:id="120"/>
    <w:p>
      <w:pPr>
        <w:jc w:val="both"/>
        <w:spacing w:after="0" w:line="265" w:lineRule="auto"/>
        <w:rPr>
          <w:sz w:val="20"/>
          <w:szCs w:val="20"/>
          <w:color w:val="auto"/>
        </w:rPr>
      </w:pPr>
      <w:r>
        <w:rPr>
          <w:rFonts w:ascii="Arial" w:cs="Arial" w:eastAsia="Arial" w:hAnsi="Arial"/>
          <w:sz w:val="16"/>
          <w:szCs w:val="16"/>
          <w:color w:val="auto"/>
        </w:rPr>
        <w:t>cases bank references. Purchase limits are established for each customer. These limits are reviewed periodically. Customers that fail to meet the Joint Venture’s benchmark creditworthiness may transact with the Joint Venture only on a prepayment basis.</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Exposure to credit risk</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carrying amount of the Joint Venture’s financial assets represents the maximum credit exposure. The Joint Venture’s maximum exposure to credit risk at the reporting date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40" w:type="dxa"/>
            <w:vAlign w:val="bottom"/>
            <w:gridSpan w:val="3"/>
          </w:tcPr>
          <w:p>
            <w:pPr>
              <w:jc w:val="right"/>
              <w:ind w:right="522"/>
              <w:spacing w:after="0"/>
              <w:rPr>
                <w:sz w:val="20"/>
                <w:szCs w:val="20"/>
                <w:color w:val="auto"/>
              </w:rPr>
            </w:pPr>
            <w:r>
              <w:rPr>
                <w:rFonts w:ascii="Arial" w:cs="Arial" w:eastAsia="Arial" w:hAnsi="Arial"/>
                <w:sz w:val="16"/>
                <w:szCs w:val="16"/>
                <w:b w:val="1"/>
                <w:bCs w:val="1"/>
                <w:color w:val="auto"/>
              </w:rPr>
              <w:t>Carrying Amount</w:t>
            </w:r>
          </w:p>
        </w:tc>
      </w:tr>
      <w:tr>
        <w:trPr>
          <w:trHeight w:val="188"/>
        </w:trPr>
        <w:tc>
          <w:tcPr>
            <w:tcW w:w="32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32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80" w:type="dxa"/>
            <w:vAlign w:val="bottom"/>
            <w:tcBorders>
              <w:bottom w:val="single" w:sz="8" w:color="auto"/>
            </w:tcBorders>
          </w:tcPr>
          <w:p>
            <w:pPr>
              <w:jc w:val="center"/>
              <w:ind w:left="762"/>
              <w:spacing w:after="0"/>
              <w:rPr>
                <w:sz w:val="20"/>
                <w:szCs w:val="20"/>
                <w:color w:val="auto"/>
              </w:rPr>
            </w:pPr>
            <w:r>
              <w:rPr>
                <w:rFonts w:ascii="Arial" w:cs="Arial" w:eastAsia="Arial" w:hAnsi="Arial"/>
                <w:sz w:val="16"/>
                <w:szCs w:val="16"/>
                <w:b w:val="1"/>
                <w:bCs w:val="1"/>
                <w:color w:val="auto"/>
                <w:w w:val="89"/>
              </w:rPr>
              <w:t>Note</w:t>
            </w: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7"/>
        </w:trPr>
        <w:tc>
          <w:tcPr>
            <w:tcW w:w="3240" w:type="dxa"/>
            <w:vAlign w:val="bottom"/>
          </w:tcPr>
          <w:p>
            <w:pPr>
              <w:spacing w:after="0"/>
              <w:rPr>
                <w:sz w:val="20"/>
                <w:szCs w:val="20"/>
                <w:color w:val="auto"/>
              </w:rPr>
            </w:pPr>
            <w:r>
              <w:rPr>
                <w:rFonts w:ascii="Arial" w:cs="Arial" w:eastAsia="Arial" w:hAnsi="Arial"/>
                <w:sz w:val="16"/>
                <w:szCs w:val="16"/>
                <w:color w:val="auto"/>
              </w:rPr>
              <w:t>Trade receivables</w:t>
            </w:r>
          </w:p>
        </w:tc>
        <w:tc>
          <w:tcPr>
            <w:tcW w:w="2680" w:type="dxa"/>
            <w:vAlign w:val="bottom"/>
          </w:tcPr>
          <w:p>
            <w:pPr>
              <w:jc w:val="center"/>
              <w:ind w:left="762"/>
              <w:spacing w:after="0"/>
              <w:rPr>
                <w:sz w:val="20"/>
                <w:szCs w:val="20"/>
                <w:color w:val="auto"/>
              </w:rPr>
            </w:pPr>
            <w:r>
              <w:rPr>
                <w:rFonts w:ascii="Arial" w:cs="Arial" w:eastAsia="Arial" w:hAnsi="Arial"/>
                <w:sz w:val="16"/>
                <w:szCs w:val="16"/>
                <w:color w:val="auto"/>
                <w:w w:val="89"/>
              </w:rPr>
              <w:t>9</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172,293</w:t>
            </w:r>
          </w:p>
        </w:tc>
        <w:tc>
          <w:tcPr>
            <w:tcW w:w="3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196,598</w:t>
            </w:r>
          </w:p>
        </w:tc>
      </w:tr>
      <w:tr>
        <w:trPr>
          <w:trHeight w:val="200"/>
        </w:trPr>
        <w:tc>
          <w:tcPr>
            <w:tcW w:w="3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80" w:type="dxa"/>
            <w:vAlign w:val="bottom"/>
          </w:tcPr>
          <w:p>
            <w:pPr>
              <w:jc w:val="center"/>
              <w:ind w:left="762"/>
              <w:spacing w:after="0"/>
              <w:rPr>
                <w:sz w:val="20"/>
                <w:szCs w:val="20"/>
                <w:color w:val="auto"/>
              </w:rPr>
            </w:pPr>
            <w:r>
              <w:rPr>
                <w:rFonts w:ascii="Arial" w:cs="Arial" w:eastAsia="Arial" w:hAnsi="Arial"/>
                <w:sz w:val="16"/>
                <w:szCs w:val="16"/>
                <w:color w:val="auto"/>
                <w:w w:val="89"/>
              </w:rPr>
              <w:t>8</w:t>
            </w:r>
          </w:p>
        </w:tc>
        <w:tc>
          <w:tcPr>
            <w:tcW w:w="9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694,392</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898,217</w:t>
            </w:r>
          </w:p>
        </w:tc>
      </w:tr>
    </w:tbl>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Venture’s maximum exposure to credit risk for trade receivables at the reporting date by type of customer was: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40" w:type="dxa"/>
            <w:vAlign w:val="bottom"/>
          </w:tcPr>
          <w:p>
            <w:pPr>
              <w:spacing w:after="0"/>
              <w:rPr>
                <w:sz w:val="17"/>
                <w:szCs w:val="17"/>
                <w:color w:val="auto"/>
              </w:rPr>
            </w:pPr>
          </w:p>
        </w:tc>
        <w:tc>
          <w:tcPr>
            <w:tcW w:w="2340" w:type="dxa"/>
            <w:vAlign w:val="bottom"/>
            <w:gridSpan w:val="3"/>
          </w:tcPr>
          <w:p>
            <w:pPr>
              <w:jc w:val="right"/>
              <w:ind w:right="522"/>
              <w:spacing w:after="0"/>
              <w:rPr>
                <w:sz w:val="20"/>
                <w:szCs w:val="20"/>
                <w:color w:val="auto"/>
              </w:rPr>
            </w:pPr>
            <w:r>
              <w:rPr>
                <w:rFonts w:ascii="Arial" w:cs="Arial" w:eastAsia="Arial" w:hAnsi="Arial"/>
                <w:sz w:val="16"/>
                <w:szCs w:val="16"/>
                <w:b w:val="1"/>
                <w:bCs w:val="1"/>
                <w:color w:val="auto"/>
              </w:rPr>
              <w:t>Carrying Amount</w:t>
            </w:r>
          </w:p>
        </w:tc>
      </w:tr>
      <w:tr>
        <w:trPr>
          <w:trHeight w:val="188"/>
        </w:trPr>
        <w:tc>
          <w:tcPr>
            <w:tcW w:w="684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7"/>
        </w:trPr>
        <w:tc>
          <w:tcPr>
            <w:tcW w:w="6840" w:type="dxa"/>
            <w:vAlign w:val="bottom"/>
          </w:tcPr>
          <w:p>
            <w:pPr>
              <w:spacing w:after="0"/>
              <w:rPr>
                <w:sz w:val="20"/>
                <w:szCs w:val="20"/>
                <w:color w:val="auto"/>
              </w:rPr>
            </w:pPr>
            <w:r>
              <w:rPr>
                <w:rFonts w:ascii="Arial" w:cs="Arial" w:eastAsia="Arial" w:hAnsi="Arial"/>
                <w:sz w:val="16"/>
                <w:szCs w:val="16"/>
                <w:color w:val="auto"/>
              </w:rPr>
              <w:t>Screen advertisers</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109,310</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72,181</w:t>
            </w:r>
          </w:p>
        </w:tc>
      </w:tr>
      <w:tr>
        <w:trPr>
          <w:trHeight w:val="200"/>
        </w:trPr>
        <w:tc>
          <w:tcPr>
            <w:tcW w:w="6840" w:type="dxa"/>
            <w:vAlign w:val="bottom"/>
          </w:tcPr>
          <w:p>
            <w:pPr>
              <w:spacing w:after="0"/>
              <w:rPr>
                <w:sz w:val="20"/>
                <w:szCs w:val="20"/>
                <w:color w:val="auto"/>
              </w:rPr>
            </w:pPr>
            <w:r>
              <w:rPr>
                <w:rFonts w:ascii="Arial" w:cs="Arial" w:eastAsia="Arial" w:hAnsi="Arial"/>
                <w:sz w:val="16"/>
                <w:szCs w:val="16"/>
                <w:color w:val="auto"/>
              </w:rPr>
              <w:t>Credit card companies</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56,537</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114,418</w:t>
            </w:r>
          </w:p>
        </w:tc>
      </w:tr>
      <w:tr>
        <w:trPr>
          <w:trHeight w:val="200"/>
        </w:trPr>
        <w:tc>
          <w:tcPr>
            <w:tcW w:w="6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Games, machine and merchandising companies</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6,446</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9,999</w:t>
            </w:r>
          </w:p>
        </w:tc>
      </w:tr>
      <w:tr>
        <w:trPr>
          <w:trHeight w:val="184"/>
        </w:trPr>
        <w:tc>
          <w:tcPr>
            <w:tcW w:w="6840" w:type="dxa"/>
            <w:vAlign w:val="bottom"/>
            <w:tcBorders>
              <w:bottom w:val="single" w:sz="8" w:color="auto"/>
            </w:tcBorders>
          </w:tcPr>
          <w:p>
            <w:pPr>
              <w:ind w:left="668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172,293</w:t>
            </w:r>
          </w:p>
        </w:tc>
        <w:tc>
          <w:tcPr>
            <w:tcW w:w="36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196,598</w:t>
            </w:r>
          </w:p>
        </w:tc>
      </w:tr>
    </w:tbl>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Impairment losses</w:t>
      </w:r>
    </w:p>
    <w:p>
      <w:pPr>
        <w:spacing w:after="0" w:line="161" w:lineRule="exact"/>
        <w:rPr>
          <w:sz w:val="20"/>
          <w:szCs w:val="20"/>
          <w:color w:val="auto"/>
        </w:rPr>
      </w:pPr>
    </w:p>
    <w:p>
      <w:pPr>
        <w:jc w:val="both"/>
        <w:ind w:firstLine="555"/>
        <w:spacing w:after="0" w:line="265" w:lineRule="auto"/>
        <w:rPr>
          <w:sz w:val="20"/>
          <w:szCs w:val="20"/>
          <w:color w:val="auto"/>
        </w:rPr>
      </w:pPr>
      <w:r>
        <w:rPr>
          <w:rFonts w:ascii="Arial" w:cs="Arial" w:eastAsia="Arial" w:hAnsi="Arial"/>
          <w:sz w:val="16"/>
          <w:szCs w:val="16"/>
          <w:color w:val="auto"/>
        </w:rPr>
        <w:t>None of the Company’s trade receivables are past due (2012: $nil). There were no allowances for impairment at 31 December 2013 (unaudited) or 2012.</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 Liquidity risk</w:t>
      </w:r>
    </w:p>
    <w:p>
      <w:pPr>
        <w:spacing w:after="0" w:line="172" w:lineRule="exact"/>
        <w:rPr>
          <w:sz w:val="20"/>
          <w:szCs w:val="20"/>
          <w:color w:val="auto"/>
        </w:rPr>
      </w:pPr>
    </w:p>
    <w:p>
      <w:pPr>
        <w:jc w:val="both"/>
        <w:ind w:firstLine="564"/>
        <w:spacing w:after="0" w:line="280" w:lineRule="auto"/>
        <w:rPr>
          <w:sz w:val="20"/>
          <w:szCs w:val="20"/>
          <w:color w:val="auto"/>
        </w:rPr>
      </w:pPr>
      <w:r>
        <w:rPr>
          <w:rFonts w:ascii="Arial" w:cs="Arial" w:eastAsia="Arial" w:hAnsi="Arial"/>
          <w:sz w:val="15"/>
          <w:szCs w:val="15"/>
          <w:color w:val="auto"/>
        </w:rPr>
        <w:t>Liquidity risk is the risk that the Joint Venture will encounter difficulties in meeting its financial obligations as they fall due. The Joint Venture’s approach to managing liquidity is to ensure, as far as possible, that it will have sufficient liquidity to meet its liabilities when due, under both normal and stressed conditions, without incurring unacceptable losses or risking damage to the Joint Venture’s reputation.</w:t>
      </w:r>
    </w:p>
    <w:p>
      <w:pPr>
        <w:spacing w:after="0" w:line="113" w:lineRule="exact"/>
        <w:rPr>
          <w:sz w:val="20"/>
          <w:szCs w:val="20"/>
          <w:color w:val="auto"/>
        </w:rPr>
      </w:pPr>
    </w:p>
    <w:p>
      <w:pPr>
        <w:jc w:val="both"/>
        <w:ind w:firstLine="517"/>
        <w:spacing w:after="0" w:line="265" w:lineRule="auto"/>
        <w:rPr>
          <w:sz w:val="20"/>
          <w:szCs w:val="20"/>
          <w:color w:val="auto"/>
        </w:rPr>
      </w:pPr>
      <w:r>
        <w:rPr>
          <w:rFonts w:ascii="Arial" w:cs="Arial" w:eastAsia="Arial" w:hAnsi="Arial"/>
          <w:sz w:val="16"/>
          <w:szCs w:val="16"/>
          <w:color w:val="auto"/>
        </w:rPr>
        <w:t>The only financial liabilities are trade and other payables all of which are contractually due within 12 months. The carrying value of such liabilities at 31 December 2013 is $636,830 (unaudited) and 2012: $878,026.</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 Market risk</w:t>
      </w:r>
    </w:p>
    <w:p>
      <w:pPr>
        <w:spacing w:after="0" w:line="172" w:lineRule="exact"/>
        <w:rPr>
          <w:sz w:val="20"/>
          <w:szCs w:val="20"/>
          <w:color w:val="auto"/>
        </w:rPr>
      </w:pPr>
    </w:p>
    <w:p>
      <w:pPr>
        <w:jc w:val="both"/>
        <w:ind w:firstLine="1107"/>
        <w:spacing w:after="0" w:line="251" w:lineRule="auto"/>
        <w:rPr>
          <w:sz w:val="20"/>
          <w:szCs w:val="20"/>
          <w:color w:val="auto"/>
        </w:rPr>
      </w:pPr>
      <w:r>
        <w:rPr>
          <w:rFonts w:ascii="Arial" w:cs="Arial" w:eastAsia="Arial" w:hAnsi="Arial"/>
          <w:sz w:val="16"/>
          <w:szCs w:val="16"/>
          <w:color w:val="auto"/>
        </w:rPr>
        <w:t>Market risk is the risk that changes in market prices, such as interest rates, will affect the Joint Venture’s income. The objective of market risk management is to manage and control market risk exposures within acceptable parameters, while optimising the return. The Joint Venture is not subject to market risks relating to foreign exchange rates or equity prices. Furthermore, the Joint Venture does not use derivative, financial instruments to hedge fluctuations in interest rates.</w:t>
      </w:r>
    </w:p>
    <w:p>
      <w:pPr>
        <w:spacing w:after="0" w:line="4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Interest rate risk</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reporting date the interest rate profile of the Joint Venture’s interest-bearing financial instruments was: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7" w:right="1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0"/>
        </w:trPr>
        <w:tc>
          <w:tcPr>
            <w:tcW w:w="4200" w:type="dxa"/>
            <w:vAlign w:val="bottom"/>
          </w:tcPr>
          <w:p>
            <w:pPr>
              <w:spacing w:after="0"/>
              <w:rPr>
                <w:sz w:val="20"/>
                <w:szCs w:val="20"/>
                <w:color w:val="auto"/>
              </w:rPr>
            </w:pPr>
            <w:r>
              <w:rPr>
                <w:rFonts w:ascii="Arial" w:cs="Arial" w:eastAsia="Arial" w:hAnsi="Arial"/>
                <w:sz w:val="16"/>
                <w:szCs w:val="16"/>
                <w:b w:val="1"/>
                <w:bCs w:val="1"/>
                <w:color w:val="auto"/>
              </w:rPr>
              <w:t>Variable rate instruments</w:t>
            </w:r>
          </w:p>
        </w:tc>
        <w:tc>
          <w:tcPr>
            <w:tcW w:w="2640" w:type="dxa"/>
            <w:vAlign w:val="bottom"/>
          </w:tcPr>
          <w:p>
            <w:pPr>
              <w:spacing w:after="0"/>
              <w:rPr>
                <w:sz w:val="17"/>
                <w:szCs w:val="17"/>
                <w:color w:val="auto"/>
              </w:rPr>
            </w:pPr>
          </w:p>
        </w:tc>
        <w:tc>
          <w:tcPr>
            <w:tcW w:w="2340" w:type="dxa"/>
            <w:vAlign w:val="bottom"/>
            <w:gridSpan w:val="3"/>
          </w:tcPr>
          <w:p>
            <w:pPr>
              <w:jc w:val="right"/>
              <w:ind w:right="542"/>
              <w:spacing w:after="0"/>
              <w:rPr>
                <w:sz w:val="20"/>
                <w:szCs w:val="20"/>
                <w:color w:val="auto"/>
              </w:rPr>
            </w:pPr>
            <w:r>
              <w:rPr>
                <w:rFonts w:ascii="Arial" w:cs="Arial" w:eastAsia="Arial" w:hAnsi="Arial"/>
                <w:sz w:val="16"/>
                <w:szCs w:val="16"/>
                <w:b w:val="1"/>
                <w:bCs w:val="1"/>
                <w:color w:val="auto"/>
              </w:rPr>
              <w:t>Carrying amount</w:t>
            </w:r>
          </w:p>
        </w:tc>
      </w:tr>
      <w:tr>
        <w:trPr>
          <w:trHeight w:val="188"/>
        </w:trPr>
        <w:tc>
          <w:tcPr>
            <w:tcW w:w="4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1"/>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200"/>
        </w:trPr>
        <w:tc>
          <w:tcPr>
            <w:tcW w:w="4200" w:type="dxa"/>
            <w:vAlign w:val="bottom"/>
          </w:tcPr>
          <w:p>
            <w:pPr>
              <w:spacing w:after="0"/>
              <w:rPr>
                <w:sz w:val="20"/>
                <w:szCs w:val="20"/>
                <w:color w:val="auto"/>
              </w:rPr>
            </w:pPr>
            <w:r>
              <w:rPr>
                <w:rFonts w:ascii="Arial" w:cs="Arial" w:eastAsia="Arial" w:hAnsi="Arial"/>
                <w:sz w:val="16"/>
                <w:szCs w:val="16"/>
                <w:color w:val="auto"/>
              </w:rPr>
              <w:t>Cash at bank</w:t>
            </w:r>
          </w:p>
        </w:tc>
        <w:tc>
          <w:tcPr>
            <w:tcW w:w="2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694,392</w:t>
            </w:r>
          </w:p>
        </w:tc>
        <w:tc>
          <w:tcPr>
            <w:tcW w:w="3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855,715</w:t>
            </w:r>
          </w:p>
        </w:tc>
      </w:tr>
    </w:tbl>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 held no fixed rate instruments during financial years 2013 (unaudited) or 2012.</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 Fair values</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Fair values versus carrying amounts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fair values of financial assets and liabilities, together with the carrying amounts shown in the statement of financial position, are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2013</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4"/>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6"/>
                <w:szCs w:val="16"/>
                <w:b w:val="1"/>
                <w:bCs w:val="1"/>
                <w:color w:val="auto"/>
              </w:rPr>
              <w:t>(unaudited)</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2012</w:t>
            </w:r>
          </w:p>
        </w:tc>
        <w:tc>
          <w:tcPr>
            <w:tcW w:w="1020" w:type="dxa"/>
            <w:vAlign w:val="bottom"/>
            <w:tcBorders>
              <w:bottom w:val="single" w:sz="8" w:color="auto"/>
            </w:tcBorders>
          </w:tcPr>
          <w:p>
            <w:pPr>
              <w:spacing w:after="0"/>
              <w:rPr>
                <w:sz w:val="17"/>
                <w:szCs w:val="17"/>
                <w:color w:val="auto"/>
              </w:rPr>
            </w:pPr>
          </w:p>
        </w:tc>
      </w:tr>
      <w:tr>
        <w:trPr>
          <w:trHeight w:val="383"/>
        </w:trPr>
        <w:tc>
          <w:tcPr>
            <w:tcW w:w="2920" w:type="dxa"/>
            <w:vAlign w:val="bottom"/>
            <w:tcBorders>
              <w:bottom w:val="single" w:sz="8" w:color="auto"/>
            </w:tcBorders>
          </w:tcPr>
          <w:p>
            <w:pPr>
              <w:ind w:left="1540"/>
              <w:spacing w:after="0"/>
              <w:rPr>
                <w:sz w:val="20"/>
                <w:szCs w:val="20"/>
                <w:color w:val="auto"/>
              </w:rPr>
            </w:pPr>
            <w:r>
              <w:rPr>
                <w:rFonts w:ascii="Arial" w:cs="Arial" w:eastAsia="Arial" w:hAnsi="Arial"/>
                <w:sz w:val="16"/>
                <w:szCs w:val="16"/>
                <w:i w:val="1"/>
                <w:iCs w:val="1"/>
                <w:color w:val="auto"/>
              </w:rPr>
              <w:t>In AUS$</w:t>
            </w: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Carrying amount</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90"/>
              </w:rPr>
              <w:t>Carrying amount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Fair value</w:t>
            </w:r>
          </w:p>
        </w:tc>
      </w:tr>
      <w:tr>
        <w:trPr>
          <w:trHeight w:val="222"/>
        </w:trPr>
        <w:tc>
          <w:tcPr>
            <w:tcW w:w="2920" w:type="dxa"/>
            <w:vAlign w:val="bottom"/>
          </w:tcPr>
          <w:p>
            <w:pPr>
              <w:spacing w:after="0"/>
              <w:rPr>
                <w:sz w:val="20"/>
                <w:szCs w:val="20"/>
                <w:color w:val="auto"/>
              </w:rPr>
            </w:pPr>
            <w:r>
              <w:rPr>
                <w:rFonts w:ascii="Arial" w:cs="Arial" w:eastAsia="Arial" w:hAnsi="Arial"/>
                <w:sz w:val="16"/>
                <w:szCs w:val="16"/>
                <w:color w:val="auto"/>
              </w:rPr>
              <w:t>Trade receivables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172,293</w:t>
            </w:r>
          </w:p>
        </w:tc>
        <w:tc>
          <w:tcPr>
            <w:tcW w:w="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172,293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196,598</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196,598</w:t>
            </w:r>
          </w:p>
        </w:tc>
      </w:tr>
      <w:tr>
        <w:trPr>
          <w:trHeight w:val="235"/>
        </w:trPr>
        <w:tc>
          <w:tcPr>
            <w:tcW w:w="2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694,392</w:t>
            </w:r>
          </w:p>
        </w:tc>
        <w:tc>
          <w:tcPr>
            <w:tcW w:w="28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694,392</w:t>
            </w:r>
          </w:p>
        </w:tc>
        <w:tc>
          <w:tcPr>
            <w:tcW w:w="16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898,217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898,217</w:t>
            </w:r>
          </w:p>
        </w:tc>
      </w:tr>
      <w:tr>
        <w:trPr>
          <w:trHeight w:val="235"/>
        </w:trPr>
        <w:tc>
          <w:tcPr>
            <w:tcW w:w="292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9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636,830</w:t>
            </w:r>
          </w:p>
        </w:tc>
        <w:tc>
          <w:tcPr>
            <w:tcW w:w="28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636,830</w:t>
            </w:r>
          </w:p>
        </w:tc>
        <w:tc>
          <w:tcPr>
            <w:tcW w:w="16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878,026</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878,026</w:t>
            </w:r>
          </w:p>
        </w:tc>
      </w:tr>
    </w:tbl>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basis for determining fair values is disclosed in Note 4, </w:t>
      </w:r>
      <w:r>
        <w:rPr>
          <w:rFonts w:ascii="Arial" w:cs="Arial" w:eastAsia="Arial" w:hAnsi="Arial"/>
          <w:sz w:val="16"/>
          <w:szCs w:val="16"/>
          <w:i w:val="1"/>
          <w:iCs w:val="1"/>
          <w:color w:val="auto"/>
        </w:rPr>
        <w:t>Determination of fair values</w:t>
      </w:r>
      <w:r>
        <w:rPr>
          <w:rFonts w:ascii="Arial" w:cs="Arial" w:eastAsia="Arial" w:hAnsi="Arial"/>
          <w:sz w:val="16"/>
          <w:szCs w:val="16"/>
          <w:color w:val="auto"/>
        </w:rPr>
        <w: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 Capital</w:t>
      </w:r>
    </w:p>
    <w:p>
      <w:pPr>
        <w:spacing w:after="0" w:line="161" w:lineRule="exact"/>
        <w:rPr>
          <w:sz w:val="20"/>
          <w:szCs w:val="20"/>
          <w:color w:val="auto"/>
        </w:rPr>
      </w:pPr>
    </w:p>
    <w:p>
      <w:pPr>
        <w:jc w:val="both"/>
        <w:ind w:firstLine="564"/>
        <w:spacing w:after="0" w:line="341" w:lineRule="auto"/>
        <w:rPr>
          <w:sz w:val="20"/>
          <w:szCs w:val="20"/>
          <w:color w:val="auto"/>
        </w:rPr>
      </w:pPr>
      <w:r>
        <w:rPr>
          <w:rFonts w:ascii="Arial" w:cs="Arial" w:eastAsia="Arial" w:hAnsi="Arial"/>
          <w:sz w:val="13"/>
          <w:szCs w:val="13"/>
          <w:color w:val="auto"/>
        </w:rPr>
        <w:t>Capital consists of contributed equity and retained earnings. The contributed equity amount represents the initial investment in the partnership. The Managing Committee’s policy is to maintain a strong capital base so as to maintain creditor confidence and to sustain future development of the business. There were no externally imposed capital requirements during the financial years 2013 (unaudited) or 2012.</w:t>
      </w:r>
    </w:p>
    <w:p>
      <w:pPr>
        <w:spacing w:after="0" w:line="87" w:lineRule="exact"/>
        <w:rPr>
          <w:sz w:val="20"/>
          <w:szCs w:val="20"/>
          <w:color w:val="auto"/>
        </w:rPr>
      </w:pPr>
    </w:p>
    <w:p>
      <w:pPr>
        <w:ind w:left="560" w:right="7580" w:hanging="558"/>
        <w:spacing w:after="0" w:line="595" w:lineRule="auto"/>
        <w:tabs>
          <w:tab w:leader="none" w:pos="231"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leases Leases as lessee</w:t>
      </w:r>
    </w:p>
    <w:p>
      <w:pPr>
        <w:spacing w:after="0" w:line="1" w:lineRule="exact"/>
        <w:rPr>
          <w:rFonts w:ascii="Arial" w:cs="Arial" w:eastAsia="Arial" w:hAnsi="Arial"/>
          <w:sz w:val="12"/>
          <w:szCs w:val="12"/>
          <w:b w:val="1"/>
          <w:bCs w:val="1"/>
          <w:color w:val="auto"/>
        </w:rPr>
      </w:pPr>
    </w:p>
    <w:p>
      <w:pPr>
        <w:ind w:left="560"/>
        <w:spacing w:after="0"/>
        <w:rPr>
          <w:rFonts w:ascii="Arial" w:cs="Arial" w:eastAsia="Arial" w:hAnsi="Arial"/>
          <w:sz w:val="12"/>
          <w:szCs w:val="12"/>
          <w:b w:val="1"/>
          <w:bCs w:val="1"/>
          <w:color w:val="auto"/>
        </w:rPr>
      </w:pPr>
      <w:r>
        <w:rPr>
          <w:rFonts w:ascii="Arial" w:cs="Arial" w:eastAsia="Arial" w:hAnsi="Arial"/>
          <w:sz w:val="16"/>
          <w:szCs w:val="16"/>
          <w:color w:val="auto"/>
        </w:rPr>
        <w:t>Non-cancellable operating lease rentals are payable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2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8"/>
              </w:rPr>
              <w:t>(unaudited)</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2012</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Less than one year</w:t>
            </w:r>
          </w:p>
        </w:tc>
        <w:tc>
          <w:tcPr>
            <w:tcW w:w="262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1,277,755</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1,277,754</w:t>
            </w:r>
          </w:p>
        </w:tc>
      </w:tr>
      <w:tr>
        <w:trPr>
          <w:trHeight w:val="200"/>
        </w:trPr>
        <w:tc>
          <w:tcPr>
            <w:tcW w:w="4220" w:type="dxa"/>
            <w:vAlign w:val="bottom"/>
          </w:tcPr>
          <w:p>
            <w:pPr>
              <w:spacing w:after="0"/>
              <w:rPr>
                <w:sz w:val="20"/>
                <w:szCs w:val="20"/>
                <w:color w:val="auto"/>
              </w:rPr>
            </w:pPr>
            <w:r>
              <w:rPr>
                <w:rFonts w:ascii="Arial" w:cs="Arial" w:eastAsia="Arial" w:hAnsi="Arial"/>
                <w:sz w:val="16"/>
                <w:szCs w:val="16"/>
                <w:color w:val="auto"/>
              </w:rPr>
              <w:t>Between one and five years</w:t>
            </w:r>
          </w:p>
        </w:tc>
        <w:tc>
          <w:tcPr>
            <w:tcW w:w="26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5,083,014</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5,111,016</w:t>
            </w:r>
          </w:p>
        </w:tc>
      </w:tr>
      <w:tr>
        <w:trPr>
          <w:trHeight w:val="200"/>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More than five years</w:t>
            </w:r>
          </w:p>
        </w:tc>
        <w:tc>
          <w:tcPr>
            <w:tcW w:w="2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1,225,244</w:t>
            </w:r>
          </w:p>
        </w:tc>
      </w:tr>
      <w:tr>
        <w:trPr>
          <w:trHeight w:val="184"/>
        </w:trPr>
        <w:tc>
          <w:tcPr>
            <w:tcW w:w="4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Total</w:t>
            </w:r>
          </w:p>
        </w:tc>
        <w:tc>
          <w:tcPr>
            <w:tcW w:w="262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6,360,769</w:t>
            </w:r>
          </w:p>
        </w:tc>
        <w:tc>
          <w:tcPr>
            <w:tcW w:w="36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7,614,014</w:t>
            </w: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Joint Venture leases the cinema property under a long term operating lease.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Contingencies and capital commitments</w:t>
      </w:r>
    </w:p>
    <w:p>
      <w:pPr>
        <w:spacing w:after="0" w:line="161" w:lineRule="exact"/>
        <w:rPr>
          <w:sz w:val="20"/>
          <w:szCs w:val="20"/>
          <w:color w:val="auto"/>
        </w:rPr>
      </w:pPr>
    </w:p>
    <w:p>
      <w:pPr>
        <w:jc w:val="both"/>
        <w:ind w:firstLine="564"/>
        <w:spacing w:after="0" w:line="265" w:lineRule="auto"/>
        <w:rPr>
          <w:sz w:val="20"/>
          <w:szCs w:val="20"/>
          <w:color w:val="auto"/>
        </w:rPr>
      </w:pPr>
      <w:r>
        <w:rPr>
          <w:rFonts w:ascii="Arial" w:cs="Arial" w:eastAsia="Arial" w:hAnsi="Arial"/>
          <w:sz w:val="16"/>
          <w:szCs w:val="16"/>
          <w:color w:val="auto"/>
        </w:rPr>
        <w:t>The nature of the Joint Venture’s operations results in claims for personal injuries (including public liability and workers compensation) being received from time to time. As at period end there were no material current or ongoing outstanding claims.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75" w:right="1359" w:bottom="1440" w:gutter="0" w:footer="0" w:header="0"/>
        </w:sectPr>
      </w:pPr>
    </w:p>
    <w:bookmarkStart w:id="122" w:name="page123"/>
    <w:bookmarkEnd w:id="122"/>
    <w:p>
      <w:pPr>
        <w:ind w:left="560"/>
        <w:spacing w:after="0"/>
        <w:rPr>
          <w:sz w:val="20"/>
          <w:szCs w:val="20"/>
          <w:color w:val="auto"/>
        </w:rPr>
      </w:pPr>
      <w:r>
        <w:rPr>
          <w:rFonts w:ascii="Arial" w:cs="Arial" w:eastAsia="Arial" w:hAnsi="Arial"/>
          <w:sz w:val="16"/>
          <w:szCs w:val="16"/>
          <w:color w:val="auto"/>
        </w:rPr>
        <w:t>The Joint Venture has no capital commitments at 31 December 2013 (unaudited); (2012: $nil).</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00" w:type="dxa"/>
            <w:vAlign w:val="bottom"/>
          </w:tcPr>
          <w:p>
            <w:pPr>
              <w:spacing w:after="0"/>
              <w:rPr>
                <w:sz w:val="20"/>
                <w:szCs w:val="20"/>
                <w:color w:val="auto"/>
              </w:rPr>
            </w:pPr>
            <w:r>
              <w:rPr>
                <w:rFonts w:ascii="Arial" w:cs="Arial" w:eastAsia="Arial" w:hAnsi="Arial"/>
                <w:sz w:val="16"/>
                <w:szCs w:val="16"/>
                <w:b w:val="1"/>
                <w:bCs w:val="1"/>
                <w:color w:val="auto"/>
                <w:w w:val="99"/>
              </w:rPr>
              <w:t>18. Reconciliation of cash flows from operating activities</w:t>
            </w: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9"/>
        </w:trPr>
        <w:tc>
          <w:tcPr>
            <w:tcW w:w="4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AUS$</w:t>
            </w: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Note</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6"/>
              </w:rPr>
              <w:t>(unaudited)</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18"/>
                <w:szCs w:val="18"/>
                <w:color w:val="auto"/>
              </w:rPr>
            </w:pPr>
          </w:p>
        </w:tc>
      </w:tr>
      <w:tr>
        <w:trPr>
          <w:trHeight w:val="187"/>
        </w:trPr>
        <w:tc>
          <w:tcPr>
            <w:tcW w:w="43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3,018,381</w:t>
            </w:r>
          </w:p>
        </w:tc>
        <w:tc>
          <w:tcPr>
            <w:tcW w:w="3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3,390,207</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2,948,343</w:t>
            </w:r>
          </w:p>
        </w:tc>
        <w:tc>
          <w:tcPr>
            <w:tcW w:w="20" w:type="dxa"/>
            <w:vAlign w:val="bottom"/>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Adjustments for:</w:t>
            </w: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Depreciation and amortisation</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11</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544,271</w:t>
            </w:r>
          </w:p>
        </w:tc>
        <w:tc>
          <w:tcPr>
            <w:tcW w:w="3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597,349</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555,594</w:t>
            </w:r>
          </w:p>
        </w:tc>
        <w:tc>
          <w:tcPr>
            <w:tcW w:w="20" w:type="dxa"/>
            <w:vAlign w:val="bottom"/>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Interest received</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(11,922)</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(21,256)</w:t>
            </w:r>
          </w:p>
        </w:tc>
        <w:tc>
          <w:tcPr>
            <w:tcW w:w="3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(58,301)</w:t>
            </w:r>
          </w:p>
        </w:tc>
      </w:tr>
      <w:tr>
        <w:trPr>
          <w:trHeight w:val="180"/>
        </w:trPr>
        <w:tc>
          <w:tcPr>
            <w:tcW w:w="430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Operating profit before changes in working capital</w:t>
            </w:r>
          </w:p>
        </w:tc>
        <w:tc>
          <w:tcPr>
            <w:tcW w:w="124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3,550,730</w:t>
            </w:r>
          </w:p>
        </w:tc>
        <w:tc>
          <w:tcPr>
            <w:tcW w:w="34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3,966,300</w:t>
            </w:r>
          </w:p>
        </w:tc>
        <w:tc>
          <w:tcPr>
            <w:tcW w:w="34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3,445,636</w:t>
            </w:r>
          </w:p>
        </w:tc>
        <w:tc>
          <w:tcPr>
            <w:tcW w:w="20" w:type="dxa"/>
            <w:vAlign w:val="bottom"/>
          </w:tcPr>
          <w:p>
            <w:pPr>
              <w:spacing w:after="0"/>
              <w:rPr>
                <w:sz w:val="15"/>
                <w:szCs w:val="15"/>
                <w:color w:val="auto"/>
              </w:rPr>
            </w:pPr>
          </w:p>
        </w:tc>
      </w:tr>
      <w:tr>
        <w:trPr>
          <w:trHeight w:val="179"/>
        </w:trPr>
        <w:tc>
          <w:tcPr>
            <w:tcW w:w="4300" w:type="dxa"/>
            <w:vAlign w:val="bottom"/>
          </w:tcPr>
          <w:p>
            <w:pPr>
              <w:spacing w:after="0" w:line="179" w:lineRule="exact"/>
              <w:rPr>
                <w:sz w:val="20"/>
                <w:szCs w:val="20"/>
                <w:color w:val="auto"/>
              </w:rPr>
            </w:pPr>
            <w:r>
              <w:rPr>
                <w:rFonts w:ascii="Arial" w:cs="Arial" w:eastAsia="Arial" w:hAnsi="Arial"/>
                <w:sz w:val="16"/>
                <w:szCs w:val="16"/>
                <w:color w:val="auto"/>
              </w:rPr>
              <w:t>Change in trade receivables</w:t>
            </w:r>
          </w:p>
        </w:tc>
        <w:tc>
          <w:tcPr>
            <w:tcW w:w="1240" w:type="dxa"/>
            <w:vAlign w:val="bottom"/>
          </w:tcPr>
          <w:p>
            <w:pPr>
              <w:jc w:val="center"/>
              <w:ind w:left="82"/>
              <w:spacing w:after="0" w:line="179" w:lineRule="exact"/>
              <w:rPr>
                <w:sz w:val="20"/>
                <w:szCs w:val="20"/>
                <w:color w:val="auto"/>
              </w:rPr>
            </w:pPr>
            <w:r>
              <w:rPr>
                <w:rFonts w:ascii="Arial" w:cs="Arial" w:eastAsia="Arial" w:hAnsi="Arial"/>
                <w:sz w:val="16"/>
                <w:szCs w:val="16"/>
                <w:color w:val="auto"/>
                <w:w w:val="89"/>
              </w:rPr>
              <w:t>9</w:t>
            </w:r>
          </w:p>
        </w:tc>
        <w:tc>
          <w:tcPr>
            <w:tcW w:w="1080" w:type="dxa"/>
            <w:vAlign w:val="bottom"/>
          </w:tcPr>
          <w:p>
            <w:pPr>
              <w:jc w:val="right"/>
              <w:ind w:right="22"/>
              <w:spacing w:after="0" w:line="179" w:lineRule="exact"/>
              <w:rPr>
                <w:sz w:val="20"/>
                <w:szCs w:val="20"/>
                <w:color w:val="auto"/>
              </w:rPr>
            </w:pPr>
            <w:r>
              <w:rPr>
                <w:rFonts w:ascii="Arial" w:cs="Arial" w:eastAsia="Arial" w:hAnsi="Arial"/>
                <w:sz w:val="16"/>
                <w:szCs w:val="16"/>
                <w:color w:val="auto"/>
              </w:rPr>
              <w:t>24,305</w:t>
            </w:r>
          </w:p>
        </w:tc>
        <w:tc>
          <w:tcPr>
            <w:tcW w:w="3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Arial" w:cs="Arial" w:eastAsia="Arial" w:hAnsi="Arial"/>
                <w:sz w:val="16"/>
                <w:szCs w:val="16"/>
                <w:color w:val="auto"/>
              </w:rPr>
              <w:t>(53,110)</w:t>
            </w:r>
          </w:p>
        </w:tc>
        <w:tc>
          <w:tcPr>
            <w:tcW w:w="3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Arial" w:cs="Arial" w:eastAsia="Arial" w:hAnsi="Arial"/>
                <w:sz w:val="16"/>
                <w:szCs w:val="16"/>
                <w:color w:val="auto"/>
              </w:rPr>
              <w:t>(53,892)</w:t>
            </w:r>
          </w:p>
        </w:tc>
        <w:tc>
          <w:tcPr>
            <w:tcW w:w="20" w:type="dxa"/>
            <w:vAlign w:val="bottom"/>
          </w:tcPr>
          <w:p>
            <w:pPr>
              <w:spacing w:after="0"/>
              <w:rPr>
                <w:sz w:val="15"/>
                <w:szCs w:val="15"/>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Change in inventories</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10</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46,464</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(19,512)</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81,620</w:t>
            </w:r>
          </w:p>
        </w:tc>
        <w:tc>
          <w:tcPr>
            <w:tcW w:w="20" w:type="dxa"/>
            <w:vAlign w:val="bottom"/>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Change in trade and other payables</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12</w:t>
            </w:r>
          </w:p>
        </w:tc>
        <w:tc>
          <w:tcPr>
            <w:tcW w:w="1080" w:type="dxa"/>
            <w:vAlign w:val="bottom"/>
          </w:tcPr>
          <w:p>
            <w:pPr>
              <w:jc w:val="right"/>
              <w:spacing w:after="0"/>
              <w:rPr>
                <w:sz w:val="20"/>
                <w:szCs w:val="20"/>
                <w:color w:val="auto"/>
              </w:rPr>
            </w:pPr>
            <w:r>
              <w:rPr>
                <w:rFonts w:ascii="Arial" w:cs="Arial" w:eastAsia="Arial" w:hAnsi="Arial"/>
                <w:sz w:val="16"/>
                <w:szCs w:val="16"/>
                <w:color w:val="auto"/>
              </w:rPr>
              <w:t>(241,194)</w:t>
            </w:r>
          </w:p>
        </w:tc>
        <w:tc>
          <w:tcPr>
            <w:tcW w:w="3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220,135</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7,388</w:t>
            </w:r>
          </w:p>
        </w:tc>
        <w:tc>
          <w:tcPr>
            <w:tcW w:w="20" w:type="dxa"/>
            <w:vAlign w:val="bottom"/>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Change in employee benefits</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13</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1,685</w:t>
            </w:r>
          </w:p>
        </w:tc>
        <w:tc>
          <w:tcPr>
            <w:tcW w:w="3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17,466</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9,195</w:t>
            </w:r>
          </w:p>
        </w:tc>
        <w:tc>
          <w:tcPr>
            <w:tcW w:w="20" w:type="dxa"/>
            <w:vAlign w:val="bottom"/>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Change in deferred revenue</w:t>
            </w:r>
          </w:p>
        </w:tc>
        <w:tc>
          <w:tcPr>
            <w:tcW w:w="1240" w:type="dxa"/>
            <w:vAlign w:val="bottom"/>
          </w:tcPr>
          <w:p>
            <w:pPr>
              <w:jc w:val="center"/>
              <w:ind w:left="82"/>
              <w:spacing w:after="0"/>
              <w:rPr>
                <w:sz w:val="20"/>
                <w:szCs w:val="20"/>
                <w:color w:val="auto"/>
              </w:rPr>
            </w:pPr>
            <w:r>
              <w:rPr>
                <w:rFonts w:ascii="Arial" w:cs="Arial" w:eastAsia="Arial" w:hAnsi="Arial"/>
                <w:sz w:val="16"/>
                <w:szCs w:val="16"/>
                <w:color w:val="auto"/>
                <w:w w:val="89"/>
              </w:rPr>
              <w:t>14</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4,614</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(11,385)</w:t>
            </w:r>
          </w:p>
        </w:tc>
        <w:tc>
          <w:tcPr>
            <w:tcW w:w="3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(50,790)</w:t>
            </w:r>
          </w:p>
        </w:tc>
      </w:tr>
      <w:tr>
        <w:trPr>
          <w:trHeight w:val="184"/>
        </w:trPr>
        <w:tc>
          <w:tcPr>
            <w:tcW w:w="430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Net cash from operating activities</w:t>
            </w:r>
          </w:p>
        </w:tc>
        <w:tc>
          <w:tcPr>
            <w:tcW w:w="124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3,386,604</w:t>
            </w:r>
          </w:p>
        </w:tc>
        <w:tc>
          <w:tcPr>
            <w:tcW w:w="34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4,119,894</w:t>
            </w:r>
          </w:p>
        </w:tc>
        <w:tc>
          <w:tcPr>
            <w:tcW w:w="340" w:type="dxa"/>
            <w:vAlign w:val="bottom"/>
            <w:tcBorders>
              <w:top w:val="single" w:sz="8" w:color="auto"/>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3,439,157</w:t>
            </w:r>
          </w:p>
        </w:tc>
        <w:tc>
          <w:tcPr>
            <w:tcW w:w="2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Related parties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Entities with joint control or significant influence over the Joint Venture.</w:t>
      </w:r>
    </w:p>
    <w:p>
      <w:pPr>
        <w:spacing w:after="0" w:line="172" w:lineRule="exact"/>
        <w:rPr>
          <w:sz w:val="20"/>
          <w:szCs w:val="20"/>
          <w:color w:val="auto"/>
        </w:rPr>
      </w:pPr>
    </w:p>
    <w:p>
      <w:pPr>
        <w:jc w:val="both"/>
        <w:ind w:firstLine="564"/>
        <w:spacing w:after="0" w:line="249" w:lineRule="auto"/>
        <w:rPr>
          <w:sz w:val="20"/>
          <w:szCs w:val="20"/>
          <w:color w:val="auto"/>
        </w:rPr>
      </w:pPr>
      <w:r>
        <w:rPr>
          <w:rFonts w:ascii="Arial" w:cs="Arial" w:eastAsia="Arial" w:hAnsi="Arial"/>
          <w:sz w:val="16"/>
          <w:szCs w:val="16"/>
          <w:color w:val="auto"/>
        </w:rPr>
        <w:t>The managing Joint Venturer is paid an annual management fee, which is presented separately in the statement of comprehensive income. The management fee paid is as per the Joint Venture agreement and is to cover the costs of managing and operating the cinema complex and providing all relevant accounting and support services. The management fee is based on a contracted base amount, increased by the Consumer Price Index for the City of Brisbane as published by the Australian Bureau of Statistics on an annual basis. Such management fee agreement is binding over the life of the agreement which shall continue in existence until the Joint Venture is terminated under agreement by the Joint Venturers.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31 December 2013 (unaudited) the management fee payable was $26,040 (2012: Nil).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Subsequent events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Subsequent to 31 December 2013 (unaudited), there were no events which would have a material effect on these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8" w:right="1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Independent Auditors’ Report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Committee and Joint Venturers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Mt. Gravatt Cinemas Joint Venture: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on the Financial Statements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audited the accompanying financial statements of Mt. Gravatt Cinemas Joint Venture, which comprise the statement of financial position as of December 31, 2012 and the related statements of comprehensive income, changes in equity, and cash flows for the years ended December 31, 2012 and 2011, and the related notes to the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the Financial Statements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International Financial Reporting Standards as issued by the International Accounting Standards Board; this includes the design, implementation, and maintenance of internal control relevant to the preparation and fair presentation of financial statements that are free from material misstatement, whether due to fraud or error.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Responsibility</w:t>
      </w:r>
    </w:p>
    <w:p>
      <w:pPr>
        <w:spacing w:after="0" w:line="9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4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43" w:lineRule="exact"/>
        <w:rPr>
          <w:sz w:val="20"/>
          <w:szCs w:val="20"/>
          <w:color w:val="auto"/>
        </w:rPr>
      </w:pPr>
    </w:p>
    <w:p>
      <w:pPr>
        <w:ind w:right="1600"/>
        <w:spacing w:after="0" w:line="352" w:lineRule="auto"/>
        <w:rPr>
          <w:sz w:val="20"/>
          <w:szCs w:val="20"/>
          <w:color w:val="auto"/>
        </w:rPr>
      </w:pPr>
      <w:r>
        <w:rPr>
          <w:rFonts w:ascii="Arial" w:cs="Arial" w:eastAsia="Arial" w:hAnsi="Arial"/>
          <w:sz w:val="16"/>
          <w:szCs w:val="16"/>
          <w:color w:val="auto"/>
        </w:rPr>
        <w:t xml:space="preserve">We believe that the audit evidence we have obtained is sufficient and appropriate to provide a basis for our audit opinion. </w:t>
      </w:r>
      <w:r>
        <w:rPr>
          <w:rFonts w:ascii="Arial" w:cs="Arial" w:eastAsia="Arial" w:hAnsi="Arial"/>
          <w:sz w:val="16"/>
          <w:szCs w:val="16"/>
          <w:b w:val="1"/>
          <w:bCs w:val="1"/>
          <w:color w:val="auto"/>
        </w:rPr>
        <w:t>Opinion</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Mt. Gravatt Cinemas Joint Venture as of December 31, 2012 and the results of its operations and its cash flows for the years ended December 31, 2012 and 2011, in conformity with International Financial Reporting Standards as issued by the International Accounting Standards Board.</w:t>
      </w:r>
    </w:p>
    <w:p>
      <w:pPr>
        <w:spacing w:after="0" w:line="3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/s/</w:t>
        <w:tab/>
        <w:t>KPMG</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Sydney, Australia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4, 2013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7020" w:type="dxa"/>
            <w:vAlign w:val="bottom"/>
          </w:tcPr>
          <w:p>
            <w:pPr>
              <w:spacing w:after="0"/>
              <w:rPr>
                <w:sz w:val="16"/>
                <w:szCs w:val="16"/>
                <w:color w:val="auto"/>
              </w:rPr>
            </w:pPr>
          </w:p>
        </w:tc>
      </w:tr>
      <w:tr>
        <w:trPr>
          <w:trHeight w:val="367"/>
        </w:trPr>
        <w:tc>
          <w:tcPr>
            <w:tcW w:w="5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Certificate of Amendment and Restatement of Articles of Incorporation of Reading International, Inc., a</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2"/>
              </w:rPr>
              <w:t>Nevada corporation, as filed with the Nevada Secretary of State on May 22, 2003 (filed as Exhibit 3.8 to</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4"/>
              </w:rPr>
              <w:t>the Company’s report on Form 10-Q for the period ended June 30, 2009, and incorporated herein by</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3.2.1</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9"/>
              </w:rPr>
              <w:t>Amended and Restated Bylaws of Reading International, Inc., a Nevada corporation (filed as Exhibit 3.6 to</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the Company’s Annual Report on Form 10-K for the year ended December 31, 2004,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2"/>
              </w:rPr>
              <w:t>Amended Article V of the Amended and Restated Bylaws of Reading International, Inc. (filed as exhibit</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8"/>
              </w:rPr>
              <w:t>3.2 to the Company’s report on Form 8-K dated December 27, 2007,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Articles of Merger of Craig Merger Sub, Inc. with and into Craig Corporation (filed as Exhibit 3.4 to the</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Company’s Annual Report on Form 10-K for the year ended December 31, 2001).</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1"/>
              </w:rPr>
              <w:t>Articles of Merger of Reading Merger Sub, Inc. with and into Reading Entertainment, Inc. (filed as Exhibit</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3.5 to the Company’s Annual Report on Form 10-K for the year ended December 31, 2001).</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9"/>
              </w:rPr>
              <w:t>1999 Stock Option Plan of Reading International, Inc., as amended on December 31, 2001 (filed as Exhibit</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2"/>
              </w:rPr>
              <w:t>4.1 to the Company’s Registration Statement on Form S-8 filed on January 21, 2004,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9"/>
              </w:rPr>
              <w:t>Form of Preferred Securities Certificate evidencing the preferred securities of Reading International Trust I</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4"/>
              </w:rPr>
              <w:t>(filed as Exhibit 4.1 to the Company’s report on Form 8-K filed on February 9, 2007,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Form of Common Securities Certificate evidencing common securities of Reading International Trust I</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4"/>
              </w:rPr>
              <w:t>(filed as Exhibit 4.2 to the Company’s report on Form 8-K filed on February 9, 2007, and incorporated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Form of Reading International, Inc. and Reading New Zealand, Limited, Junior Subordinated Note due</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2027 (filed as Exhibit 4.3 to the Company’s report on Form 8-K filed on February 9, 2007, and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Form of Indenture (filed as Exhibit 4.4 to the Company’s report on Form S-3 on October 20, 2009, and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9"/>
              </w:rPr>
              <w:t>2010 Stock Incentive Plan (filed as Exhibit 4.1 to the Company’s report on Form S-8 on May 26, 2010, and</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2"/>
              </w:rPr>
              <w:t>Form of Stock Option Agreement (filed as Exhibit 4.2 to the Company’s report on Form S-8 on May 26,</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3"/>
              </w:rPr>
              <w:t>Form of Stock Bonus Agreement (filed as Exhibit 4.3 to the Company’s report on Form S-8 on May 26,</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9"/>
              </w:rPr>
              <w:t>Form of Restricted Stock Agreement (filed as Exhibit 4.4 to the Company’s report on Form S-8 on May 26,</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4.10*</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0"/>
              </w:rPr>
              <w:t>Form of Stock Appreciation Right Agreement (filed as Exhibit 4.5 to the Company’s report on Form S-8 on</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May 26, 2010,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4.11*</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1"/>
              </w:rPr>
              <w:t>Amendment to the 2010 Stock Incentive Plan (filed as Appendix A of the Company’s proxy statement on</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rPr>
              <w:t>April 29, 2011, and incorporated here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0"/>
              </w:rPr>
              <w:t>Employment Agreement, dated October 28, 1999, among Craig Corporation, Citadel Holding Corporation,</w:t>
            </w:r>
          </w:p>
        </w:tc>
      </w:tr>
      <w:tr>
        <w:trPr>
          <w:trHeight w:val="188"/>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2"/>
              </w:rPr>
              <w:t>Reading Entertainment, Inc., and Andrzej Matyczynski (filed as Exhibit 10.37 to the Company’s Annual</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5"/>
              </w:rPr>
              <w:t>Report on Form 10-K for the year ended December 31, 1999 and incorporated herein by reference).</w:t>
            </w:r>
          </w:p>
        </w:tc>
      </w:tr>
      <w:tr>
        <w:trPr>
          <w:trHeight w:val="329"/>
        </w:trPr>
        <w:tc>
          <w:tcPr>
            <w:tcW w:w="560" w:type="dxa"/>
            <w:vAlign w:val="bottom"/>
          </w:tcPr>
          <w:p>
            <w:pPr>
              <w:ind w:left="10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86"/>
              </w:rPr>
              <w:t>Amended and Restated Lease Agreement, dated as of July 28, 2000, as amended and restated as of January</w:t>
            </w:r>
          </w:p>
        </w:tc>
      </w:tr>
      <w:tr>
        <w:trPr>
          <w:trHeight w:val="200"/>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Pr>
          <w:p>
            <w:pPr>
              <w:ind w:left="260"/>
              <w:spacing w:after="0"/>
              <w:rPr>
                <w:sz w:val="20"/>
                <w:szCs w:val="20"/>
                <w:color w:val="auto"/>
              </w:rPr>
            </w:pPr>
            <w:r>
              <w:rPr>
                <w:rFonts w:ascii="Arial" w:cs="Arial" w:eastAsia="Arial" w:hAnsi="Arial"/>
                <w:sz w:val="16"/>
                <w:szCs w:val="16"/>
                <w:color w:val="auto"/>
                <w:w w:val="95"/>
              </w:rPr>
              <w:t>29, 2002, between Sutton Hill Capital, L.L.C. and Citadel Cinemas, Inc. (filed as Exhibit 10.40 to the</w:t>
            </w:r>
          </w:p>
        </w:tc>
      </w:tr>
    </w:tbl>
    <w:p>
      <w:pPr>
        <w:ind w:left="1060" w:right="1279"/>
        <w:spacing w:after="0" w:line="250" w:lineRule="auto"/>
        <w:rPr>
          <w:sz w:val="20"/>
          <w:szCs w:val="20"/>
          <w:color w:val="auto"/>
        </w:rPr>
      </w:pPr>
      <w:r>
        <w:rPr>
          <w:rFonts w:ascii="Arial" w:cs="Arial" w:eastAsia="Arial" w:hAnsi="Arial"/>
          <w:sz w:val="16"/>
          <w:szCs w:val="16"/>
          <w:color w:val="auto"/>
        </w:rPr>
        <w:t>Company’s Annual Report on Form 10-K for the year ended December 31, 2002 and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449"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8"/>
        </w:trPr>
        <w:tc>
          <w:tcPr>
            <w:tcW w:w="800" w:type="dxa"/>
            <w:vAlign w:val="bottom"/>
          </w:tcPr>
          <w:p>
            <w:pPr>
              <w:ind w:left="100"/>
              <w:spacing w:after="0"/>
              <w:rPr>
                <w:sz w:val="20"/>
                <w:szCs w:val="20"/>
                <w:color w:val="auto"/>
              </w:rPr>
            </w:pPr>
            <w:r>
              <w:rPr>
                <w:rFonts w:ascii="Arial" w:cs="Arial" w:eastAsia="Arial" w:hAnsi="Arial"/>
                <w:sz w:val="16"/>
                <w:szCs w:val="16"/>
                <w:color w:val="auto"/>
              </w:rPr>
              <w:t>10.3</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Citadel Standby Credit Facility, dated as of July 28, 2000, as amended and restated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as of January 29, 2002, between Sutton Hill Capital, L.L.C. and Reading International, Inc.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10.40 to the Company’s Annual Report on Form 10-K for the year ended December 31, 2002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10.4</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Security Agreement dated as of July 28, 2000 as amended and restated as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January 29, 2002 between Sutton Hill Capital, L.L.C. and Reading International, Inc.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10.42 to the Company’s Annual Report on Form 10-K for the year ended December 31, 2002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10.5</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Pledge Agreement dated as of July 28, 2000 as amended and restated as of January</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29, 2002 between Sutton Hill Capital, L.L.C. and Reading International, Inc. (filed as Exhibit 10.43 to the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Company’s Annual Report on Form 10-K for the year ended December 31, 2002 and incorporated herein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10.6</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Intercreditor Agreement dated as of July 28, 2000 as amended and restated as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January 29, 2002 between Sutton Hill Capital, L.L.C. and Reading International, Inc. and Nationwide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Theatres Corp. (filed as Exhibit 10.44 to the Company’s Annual Report on Form 10-K for the year ended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December 31, 2002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10.7</w:t>
            </w:r>
          </w:p>
        </w:tc>
        <w:tc>
          <w:tcPr>
            <w:tcW w:w="8400" w:type="dxa"/>
            <w:vAlign w:val="bottom"/>
          </w:tcPr>
          <w:p>
            <w:pPr>
              <w:ind w:left="260"/>
              <w:spacing w:after="0"/>
              <w:rPr>
                <w:sz w:val="20"/>
                <w:szCs w:val="20"/>
                <w:color w:val="auto"/>
              </w:rPr>
            </w:pPr>
            <w:r>
              <w:rPr>
                <w:rFonts w:ascii="Arial" w:cs="Arial" w:eastAsia="Arial" w:hAnsi="Arial"/>
                <w:sz w:val="16"/>
                <w:szCs w:val="16"/>
                <w:color w:val="auto"/>
              </w:rPr>
              <w:t>Guaranty dated July 28, 2000 by Michael R. Forman and James J. Cotter in favor of Citadel Cinemas, Inc.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and Citadel Realty, Inc. (filed as Exhibit 10.45 to the Company’s Annual Report on Form 10-K for the year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ended December 31, 2002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10.8</w:t>
            </w:r>
          </w:p>
        </w:tc>
        <w:tc>
          <w:tcPr>
            <w:tcW w:w="8400" w:type="dxa"/>
            <w:vAlign w:val="bottom"/>
          </w:tcPr>
          <w:p>
            <w:pPr>
              <w:ind w:left="260"/>
              <w:spacing w:after="0"/>
              <w:rPr>
                <w:sz w:val="20"/>
                <w:szCs w:val="20"/>
                <w:color w:val="auto"/>
              </w:rPr>
            </w:pPr>
            <w:r>
              <w:rPr>
                <w:rFonts w:ascii="Arial" w:cs="Arial" w:eastAsia="Arial" w:hAnsi="Arial"/>
                <w:sz w:val="16"/>
                <w:szCs w:val="16"/>
                <w:color w:val="auto"/>
              </w:rPr>
              <w:t>Theater Management Agreement, effective as January 1, 2002, between Liberty Theaters, Inc. and OBI</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LLC (filed as Exhibit 10.47 to the Company’s Annual Report on Form 10-K for the year ended December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31, 2002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10.9</w:t>
            </w:r>
          </w:p>
        </w:tc>
        <w:tc>
          <w:tcPr>
            <w:tcW w:w="8400" w:type="dxa"/>
            <w:vAlign w:val="bottom"/>
          </w:tcPr>
          <w:p>
            <w:pPr>
              <w:ind w:left="260"/>
              <w:spacing w:after="0"/>
              <w:rPr>
                <w:sz w:val="20"/>
                <w:szCs w:val="20"/>
                <w:color w:val="auto"/>
              </w:rPr>
            </w:pPr>
            <w:r>
              <w:rPr>
                <w:rFonts w:ascii="Arial" w:cs="Arial" w:eastAsia="Arial" w:hAnsi="Arial"/>
                <w:sz w:val="16"/>
                <w:szCs w:val="16"/>
                <w:color w:val="auto"/>
              </w:rPr>
              <w:t>Omnibus Amendment Agreement, dated as of October 22, 2003, between Citadel Cinemas, Inc., Sutton</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Hill Capital, L.L.C., Nationwide Theatres Corp., Sutton Hill Associates, and Reading International, Inc.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10.49 to the Company’s report on Form 10-Q for the period ended September 30, 2003,</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10.10</w:t>
            </w:r>
          </w:p>
        </w:tc>
        <w:tc>
          <w:tcPr>
            <w:tcW w:w="8400" w:type="dxa"/>
            <w:vAlign w:val="bottom"/>
          </w:tcPr>
          <w:p>
            <w:pPr>
              <w:ind w:left="260"/>
              <w:spacing w:after="0"/>
              <w:rPr>
                <w:sz w:val="20"/>
                <w:szCs w:val="20"/>
                <w:color w:val="auto"/>
              </w:rPr>
            </w:pPr>
            <w:r>
              <w:rPr>
                <w:rFonts w:ascii="Arial" w:cs="Arial" w:eastAsia="Arial" w:hAnsi="Arial"/>
                <w:sz w:val="16"/>
                <w:szCs w:val="16"/>
                <w:color w:val="auto"/>
              </w:rPr>
              <w:t>Assignment and Assumption of Lease between Sutton Hill Capital L.L.C. and Sutton Hill Properties, LLC</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dated as of September 19, 2005 (filed as exhibit 10.56 to the Company’s report on Form 8-K filed on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September 21, 2005,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10.11</w:t>
            </w:r>
          </w:p>
        </w:tc>
        <w:tc>
          <w:tcPr>
            <w:tcW w:w="8400" w:type="dxa"/>
            <w:vAlign w:val="bottom"/>
          </w:tcPr>
          <w:p>
            <w:pPr>
              <w:ind w:left="260"/>
              <w:spacing w:after="0"/>
              <w:rPr>
                <w:sz w:val="20"/>
                <w:szCs w:val="20"/>
                <w:color w:val="auto"/>
              </w:rPr>
            </w:pPr>
            <w:r>
              <w:rPr>
                <w:rFonts w:ascii="Arial" w:cs="Arial" w:eastAsia="Arial" w:hAnsi="Arial"/>
                <w:sz w:val="16"/>
                <w:szCs w:val="16"/>
                <w:color w:val="auto"/>
              </w:rPr>
              <w:t>License and Option Agreement between Sutton Hill Properties, LLC and Sutton Hill Capital L.L.C. dated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as of September 19, 2005 (filed as exhibit 10.57 to the Company’s report on Form 8-K filed on September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21, 2005,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10.12</w:t>
            </w:r>
          </w:p>
        </w:tc>
        <w:tc>
          <w:tcPr>
            <w:tcW w:w="8400" w:type="dxa"/>
            <w:vAlign w:val="bottom"/>
          </w:tcPr>
          <w:p>
            <w:pPr>
              <w:ind w:left="260"/>
              <w:spacing w:after="0"/>
              <w:rPr>
                <w:sz w:val="20"/>
                <w:szCs w:val="20"/>
                <w:color w:val="auto"/>
              </w:rPr>
            </w:pPr>
            <w:r>
              <w:rPr>
                <w:rFonts w:ascii="Arial" w:cs="Arial" w:eastAsia="Arial" w:hAnsi="Arial"/>
                <w:sz w:val="16"/>
                <w:szCs w:val="16"/>
                <w:color w:val="auto"/>
              </w:rPr>
              <w:t>Second Amendment to Amended and Restated Master Operating Lease dated as of September 1, 2005</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10.58 to the Company’s report on Form 8-K filed on September 21, 2005, and incorporated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80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Purchase Agreement, dated February 5, 2007, among Reading International, Inc., Reading International</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Trust I, and Kodiak Warehouse JPM LLC (filed as Exhibit 10.1 to the Company’s report on Form 8-K filed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on February 9, 2007,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10.14</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Declaration of Trust, dated February 5, 2007, among Reading International Inc., as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sponsor, the Administrators named therein, and Wells Fargo Bank, N.A., as property trustee, and Wells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Fargo Delaware Trust Company as Delaware trustee (filed as Exhibit 10.2 to the Company’s report on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Form 8-K dated February 5, 2007,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10.15</w:t>
            </w:r>
          </w:p>
        </w:tc>
        <w:tc>
          <w:tcPr>
            <w:tcW w:w="8400" w:type="dxa"/>
            <w:vAlign w:val="bottom"/>
          </w:tcPr>
          <w:p>
            <w:pPr>
              <w:ind w:left="260"/>
              <w:spacing w:after="0"/>
              <w:rPr>
                <w:sz w:val="20"/>
                <w:szCs w:val="20"/>
                <w:color w:val="auto"/>
              </w:rPr>
            </w:pPr>
            <w:r>
              <w:rPr>
                <w:rFonts w:ascii="Arial" w:cs="Arial" w:eastAsia="Arial" w:hAnsi="Arial"/>
                <w:sz w:val="16"/>
                <w:szCs w:val="16"/>
                <w:color w:val="auto"/>
              </w:rPr>
              <w:t>Indenture among Reading International, Inc., Reading New Zealand Limited, and Wells Fargo Bank, N.A.,</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as indenture trustee (filed as Exhibit 10.4 to the Company’s report on Form 8-K dated February 5, 2007,</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10.16*</w:t>
            </w:r>
          </w:p>
        </w:tc>
        <w:tc>
          <w:tcPr>
            <w:tcW w:w="8400" w:type="dxa"/>
            <w:vAlign w:val="bottom"/>
          </w:tcPr>
          <w:p>
            <w:pPr>
              <w:ind w:left="260"/>
              <w:spacing w:after="0"/>
              <w:rPr>
                <w:sz w:val="20"/>
                <w:szCs w:val="20"/>
                <w:color w:val="auto"/>
              </w:rPr>
            </w:pPr>
            <w:r>
              <w:rPr>
                <w:rFonts w:ascii="Arial" w:cs="Arial" w:eastAsia="Arial" w:hAnsi="Arial"/>
                <w:sz w:val="16"/>
                <w:szCs w:val="16"/>
                <w:color w:val="auto"/>
              </w:rPr>
              <w:t>Employment Agreement, dated December 28, 2006, between Reading International, Inc. and John Hunter</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(filed as Exhibit 10.66 to the Company’s report on Form 10-K for the year ended December 31, 2006,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10.17</w:t>
            </w:r>
          </w:p>
        </w:tc>
        <w:tc>
          <w:tcPr>
            <w:tcW w:w="8400" w:type="dxa"/>
            <w:vAlign w:val="bottom"/>
          </w:tcPr>
          <w:p>
            <w:pPr>
              <w:ind w:left="260"/>
              <w:spacing w:after="0"/>
              <w:rPr>
                <w:sz w:val="20"/>
                <w:szCs w:val="20"/>
                <w:color w:val="auto"/>
              </w:rPr>
            </w:pPr>
            <w:r>
              <w:rPr>
                <w:rFonts w:ascii="Arial" w:cs="Arial" w:eastAsia="Arial" w:hAnsi="Arial"/>
                <w:sz w:val="16"/>
                <w:szCs w:val="16"/>
                <w:color w:val="auto"/>
              </w:rPr>
              <w:t>Reading Guaranty Agreement dated February 21, 2008 among Consolidated Amusement Theatres, Inc., a</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Nevada corporation, General Electric Capital Corporation, and GE Capital Markets, Inc.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10.73 to the Company’s report on Form 10-K for the year ended December 31, 2007, and incorporated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10.18</w:t>
            </w:r>
          </w:p>
        </w:tc>
        <w:tc>
          <w:tcPr>
            <w:tcW w:w="8400" w:type="dxa"/>
            <w:vAlign w:val="bottom"/>
          </w:tcPr>
          <w:p>
            <w:pPr>
              <w:ind w:left="260"/>
              <w:spacing w:after="0"/>
              <w:rPr>
                <w:sz w:val="20"/>
                <w:szCs w:val="20"/>
                <w:color w:val="auto"/>
              </w:rPr>
            </w:pPr>
            <w:r>
              <w:rPr>
                <w:rFonts w:ascii="Arial" w:cs="Arial" w:eastAsia="Arial" w:hAnsi="Arial"/>
                <w:sz w:val="16"/>
                <w:szCs w:val="16"/>
                <w:color w:val="auto"/>
              </w:rPr>
              <w:t>Pledge and Security Agreement dated February 22, 2008 by Reading Consolidated Holdings, Inc. in favor</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of Nationwide Theatres Corp (filed as Exhibit 10.74 to the Company’s report on Form 10-K for the year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ended December 31, 2007, and incorporated herein by reference).</w:t>
            </w:r>
          </w:p>
        </w:tc>
      </w:tr>
      <w:tr>
        <w:trPr>
          <w:trHeight w:val="799"/>
        </w:trPr>
        <w:tc>
          <w:tcPr>
            <w:tcW w:w="800" w:type="dxa"/>
            <w:vAlign w:val="bottom"/>
          </w:tcPr>
          <w:p>
            <w:pPr>
              <w:spacing w:after="0"/>
              <w:rPr>
                <w:sz w:val="24"/>
                <w:szCs w:val="24"/>
                <w:color w:val="auto"/>
              </w:rPr>
            </w:pPr>
          </w:p>
        </w:tc>
        <w:tc>
          <w:tcPr>
            <w:tcW w:w="8400" w:type="dxa"/>
            <w:vAlign w:val="bottom"/>
          </w:tcPr>
          <w:p>
            <w:pPr>
              <w:ind w:left="3680"/>
              <w:spacing w:after="0"/>
              <w:rPr>
                <w:sz w:val="20"/>
                <w:szCs w:val="20"/>
                <w:color w:val="auto"/>
              </w:rPr>
            </w:pPr>
            <w:r>
              <w:rPr>
                <w:rFonts w:ascii="Arial" w:cs="Arial" w:eastAsia="Arial" w:hAnsi="Arial"/>
                <w:sz w:val="16"/>
                <w:szCs w:val="16"/>
                <w:color w:val="auto"/>
              </w:rPr>
              <w:t>126</w:t>
            </w:r>
          </w:p>
        </w:tc>
      </w:tr>
      <w:tr>
        <w:trPr>
          <w:trHeight w:val="130"/>
        </w:trPr>
        <w:tc>
          <w:tcPr>
            <w:tcW w:w="800" w:type="dxa"/>
            <w:vAlign w:val="bottom"/>
            <w:tcBorders>
              <w:bottom w:val="single" w:sz="8" w:color="9A9A9A"/>
            </w:tcBorders>
          </w:tcPr>
          <w:p>
            <w:pPr>
              <w:spacing w:after="0"/>
              <w:rPr>
                <w:sz w:val="11"/>
                <w:szCs w:val="11"/>
                <w:color w:val="auto"/>
              </w:rPr>
            </w:pPr>
          </w:p>
        </w:tc>
        <w:tc>
          <w:tcPr>
            <w:tcW w:w="8400" w:type="dxa"/>
            <w:vAlign w:val="bottom"/>
            <w:tcBorders>
              <w:bottom w:val="single" w:sz="8" w:color="9A9A9A"/>
            </w:tcBorders>
          </w:tcPr>
          <w:p>
            <w:pPr>
              <w:spacing w:after="0"/>
              <w:rPr>
                <w:sz w:val="11"/>
                <w:szCs w:val="11"/>
                <w:color w:val="auto"/>
              </w:rPr>
            </w:pPr>
          </w:p>
        </w:tc>
      </w:tr>
      <w:tr>
        <w:trPr>
          <w:trHeight w:val="20"/>
        </w:trPr>
        <w:tc>
          <w:tcPr>
            <w:tcW w:w="80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550" w:right="1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8"/>
        </w:trPr>
        <w:tc>
          <w:tcPr>
            <w:tcW w:w="800" w:type="dxa"/>
            <w:vAlign w:val="bottom"/>
          </w:tcPr>
          <w:p>
            <w:pPr>
              <w:ind w:left="100"/>
              <w:spacing w:after="0"/>
              <w:rPr>
                <w:sz w:val="20"/>
                <w:szCs w:val="20"/>
                <w:color w:val="auto"/>
              </w:rPr>
            </w:pPr>
            <w:r>
              <w:rPr>
                <w:rFonts w:ascii="Arial" w:cs="Arial" w:eastAsia="Arial" w:hAnsi="Arial"/>
                <w:sz w:val="16"/>
                <w:szCs w:val="16"/>
                <w:color w:val="auto"/>
              </w:rPr>
              <w:t>10.19</w:t>
            </w:r>
          </w:p>
        </w:tc>
        <w:tc>
          <w:tcPr>
            <w:tcW w:w="8400" w:type="dxa"/>
            <w:vAlign w:val="bottom"/>
          </w:tcPr>
          <w:p>
            <w:pPr>
              <w:ind w:left="260"/>
              <w:spacing w:after="0"/>
              <w:rPr>
                <w:sz w:val="20"/>
                <w:szCs w:val="20"/>
                <w:color w:val="auto"/>
              </w:rPr>
            </w:pPr>
            <w:r>
              <w:rPr>
                <w:rFonts w:ascii="Arial" w:cs="Arial" w:eastAsia="Arial" w:hAnsi="Arial"/>
                <w:sz w:val="16"/>
                <w:szCs w:val="16"/>
                <w:color w:val="auto"/>
              </w:rPr>
              <w:t>Promissory Note dated February 22, 2008 by Reading Consolidated Holdings, Inc. in favor of Nationwide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Theatres Corp. (filed as Exhibit 10.75 to the Company’s report on Form 10-K for the year ended December</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31, 2007,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10.20*</w:t>
            </w:r>
          </w:p>
        </w:tc>
        <w:tc>
          <w:tcPr>
            <w:tcW w:w="8400" w:type="dxa"/>
            <w:vAlign w:val="bottom"/>
          </w:tcPr>
          <w:p>
            <w:pPr>
              <w:ind w:left="260"/>
              <w:spacing w:after="0"/>
              <w:rPr>
                <w:sz w:val="20"/>
                <w:szCs w:val="20"/>
                <w:color w:val="auto"/>
              </w:rPr>
            </w:pPr>
            <w:r>
              <w:rPr>
                <w:rFonts w:ascii="Arial" w:cs="Arial" w:eastAsia="Arial" w:hAnsi="Arial"/>
                <w:sz w:val="16"/>
                <w:szCs w:val="16"/>
                <w:color w:val="auto"/>
              </w:rPr>
              <w:t>Form of Indemnification Agreement, as routinely granted to the Company’s officers and directors (filed as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Exhibit 10.77 to the Company’s report on Form 10-Q for the period ended September 30, 2008,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10.21</w:t>
            </w:r>
          </w:p>
        </w:tc>
        <w:tc>
          <w:tcPr>
            <w:tcW w:w="8400" w:type="dxa"/>
            <w:vAlign w:val="bottom"/>
          </w:tcPr>
          <w:p>
            <w:pPr>
              <w:ind w:left="260"/>
              <w:spacing w:after="0"/>
              <w:rPr>
                <w:sz w:val="20"/>
                <w:szCs w:val="20"/>
                <w:color w:val="auto"/>
              </w:rPr>
            </w:pPr>
            <w:r>
              <w:rPr>
                <w:rFonts w:ascii="Arial" w:cs="Arial" w:eastAsia="Arial" w:hAnsi="Arial"/>
                <w:sz w:val="16"/>
                <w:szCs w:val="16"/>
                <w:color w:val="auto"/>
              </w:rPr>
              <w:t>Third Amendment to Amended and Restated Master Operating Lease Agreement, dated June 29, 2010,</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between Sutton Hill Capital, L.L.C. and Citadel Cinemas, Inc. (filed as Exhibit 10.21 to the Company’s</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report on Form 10-K for the year ended December 31, 2010,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10.22</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Purchase Money Installment Sale Note, dated September 19, 2005, as amended and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restated as of June 29, 2010, by Sutton Hill Properties, LLC in favor of Sutton Hill Capital, L.L.C. (filed as</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Exhibit 10.22 to the Company’s report on Form 10-K for the year ended December 31, 2010,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10.23</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Credit Agreement dated February 21, 2008, as amended and restated as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November 30, 2010, among Consolidated Entertainment, Inc., General Electric Capital Corporation, and</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GE Capital Markets, Inc. (filed as Exhibit 10.23 to the Company’s report on Form 10-K for the year ended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December 31, 2010,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10.24</w:t>
            </w:r>
          </w:p>
        </w:tc>
        <w:tc>
          <w:tcPr>
            <w:tcW w:w="8400" w:type="dxa"/>
            <w:vAlign w:val="bottom"/>
          </w:tcPr>
          <w:p>
            <w:pPr>
              <w:ind w:left="260"/>
              <w:spacing w:after="0"/>
              <w:rPr>
                <w:sz w:val="20"/>
                <w:szCs w:val="20"/>
                <w:color w:val="auto"/>
              </w:rPr>
            </w:pPr>
            <w:r>
              <w:rPr>
                <w:rFonts w:ascii="Arial" w:cs="Arial" w:eastAsia="Arial" w:hAnsi="Arial"/>
                <w:sz w:val="16"/>
                <w:szCs w:val="16"/>
                <w:color w:val="auto"/>
              </w:rPr>
              <w:t>Bill Acceptance and Discount &amp; Bank Guarantee Facility Agreement dated June 24, 2011, among Reading</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Entertainment Australia Pty Ltd and National Australia Bank Limited (filed as Exhibit 10.24 to the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Company’s report on Form 10-K for the year ended December 31, 2011, and incorporated herein by</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10.25</w:t>
            </w:r>
          </w:p>
        </w:tc>
        <w:tc>
          <w:tcPr>
            <w:tcW w:w="8400" w:type="dxa"/>
            <w:vAlign w:val="bottom"/>
          </w:tcPr>
          <w:p>
            <w:pPr>
              <w:ind w:left="260"/>
              <w:spacing w:after="0"/>
              <w:rPr>
                <w:sz w:val="20"/>
                <w:szCs w:val="20"/>
                <w:color w:val="auto"/>
              </w:rPr>
            </w:pPr>
            <w:r>
              <w:rPr>
                <w:rFonts w:ascii="Arial" w:cs="Arial" w:eastAsia="Arial" w:hAnsi="Arial"/>
                <w:sz w:val="16"/>
                <w:szCs w:val="16"/>
                <w:color w:val="auto"/>
              </w:rPr>
              <w:t>Property Finance Wholesale Term Loan Facility dated June 20, 2007, among Reading Courtenay Central</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Limited and Westpac New Zealand Limited (filed as Exhibit 10.25 to the Company’s report on Form 10-K</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 the year ended December 31, 2011,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10.26</w:t>
            </w:r>
          </w:p>
        </w:tc>
        <w:tc>
          <w:tcPr>
            <w:tcW w:w="8400" w:type="dxa"/>
            <w:vAlign w:val="bottom"/>
          </w:tcPr>
          <w:p>
            <w:pPr>
              <w:ind w:left="260"/>
              <w:spacing w:after="0"/>
              <w:rPr>
                <w:sz w:val="20"/>
                <w:szCs w:val="20"/>
                <w:color w:val="auto"/>
              </w:rPr>
            </w:pPr>
            <w:r>
              <w:rPr>
                <w:rFonts w:ascii="Arial" w:cs="Arial" w:eastAsia="Arial" w:hAnsi="Arial"/>
                <w:sz w:val="16"/>
                <w:szCs w:val="16"/>
                <w:color w:val="auto"/>
              </w:rPr>
              <w:t>Letter dated May 6, 2009, amending Property Finance Wholesale Term Loan Facility dated June 20, 2007,</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among Reading Courtenay Central Limited and Westpac New Zealand Limited (filed as Exhibit 10.26 to</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the Company’s report on Form 10-K for the year ended December 31, 2011, and incorporated herein by</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10.27</w:t>
            </w:r>
          </w:p>
        </w:tc>
        <w:tc>
          <w:tcPr>
            <w:tcW w:w="8400" w:type="dxa"/>
            <w:vAlign w:val="bottom"/>
          </w:tcPr>
          <w:p>
            <w:pPr>
              <w:ind w:left="260"/>
              <w:spacing w:after="0"/>
              <w:rPr>
                <w:sz w:val="20"/>
                <w:szCs w:val="20"/>
                <w:color w:val="auto"/>
              </w:rPr>
            </w:pPr>
            <w:r>
              <w:rPr>
                <w:rFonts w:ascii="Arial" w:cs="Arial" w:eastAsia="Arial" w:hAnsi="Arial"/>
                <w:sz w:val="16"/>
                <w:szCs w:val="16"/>
                <w:color w:val="auto"/>
              </w:rPr>
              <w:t>Letter dated February 8, 2012, amending Property Finance Wholesale Term Loan Facility dated June 20,</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2007, among Reading Courtenay Central Limited and Westpac New Zealand Limited (filed as Exhibit</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10.27 to the Company’s report on Form 10-K for the year ended December 31, 2011, and incorporated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10.28</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Note dated June 28, 2012 among Sutton Hill Properties, LLC in favor of Sovereign</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Bank, N.A., amending Promissory Note dated June 27, 2007, by Sutton Hill Properties, LLC in favor of</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Eurohypo AG, New York Branch (filed as Exhibit 10.1 to the Company’s report on Form 10-Q for the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period ended June 30, 2012,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10.29</w:t>
            </w:r>
          </w:p>
        </w:tc>
        <w:tc>
          <w:tcPr>
            <w:tcW w:w="8400" w:type="dxa"/>
            <w:vAlign w:val="bottom"/>
          </w:tcPr>
          <w:p>
            <w:pPr>
              <w:ind w:left="260"/>
              <w:spacing w:after="0"/>
              <w:rPr>
                <w:sz w:val="20"/>
                <w:szCs w:val="20"/>
                <w:color w:val="auto"/>
              </w:rPr>
            </w:pPr>
            <w:r>
              <w:rPr>
                <w:rFonts w:ascii="Arial" w:cs="Arial" w:eastAsia="Arial" w:hAnsi="Arial"/>
                <w:sz w:val="16"/>
                <w:szCs w:val="16"/>
                <w:color w:val="auto"/>
              </w:rPr>
              <w:t>Amended and Restated Mortgage, Assignment of Leases and Rents, Security Agreement, and Fixture</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Filing (“Agreement”) dated June 28, 2012 among Sutton Hill Properties, LLC in favor of Sovereign Bank,</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N.A., amending Agreement dated June 27, 2007, by Sutton Hill Properties, LLC in favor of Eurohypo AG,</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New York Branch (filed as Exhibit 10.2 to the Company’s report on Form 10-Q for the period ended June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30, 2012, and 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10.30</w:t>
            </w:r>
          </w:p>
        </w:tc>
        <w:tc>
          <w:tcPr>
            <w:tcW w:w="8400" w:type="dxa"/>
            <w:vAlign w:val="bottom"/>
          </w:tcPr>
          <w:p>
            <w:pPr>
              <w:ind w:left="260"/>
              <w:spacing w:after="0"/>
              <w:rPr>
                <w:sz w:val="20"/>
                <w:szCs w:val="20"/>
                <w:color w:val="auto"/>
              </w:rPr>
            </w:pPr>
            <w:r>
              <w:rPr>
                <w:rFonts w:ascii="Arial" w:cs="Arial" w:eastAsia="Arial" w:hAnsi="Arial"/>
                <w:sz w:val="16"/>
                <w:szCs w:val="16"/>
                <w:color w:val="auto"/>
              </w:rPr>
              <w:t>Credit Agreement entered into as of October 31, 2012, among Consolidated Entertainment, LLC and Bank</w:t>
            </w:r>
          </w:p>
        </w:tc>
      </w:tr>
      <w:tr>
        <w:trPr>
          <w:trHeight w:val="188"/>
        </w:trPr>
        <w:tc>
          <w:tcPr>
            <w:tcW w:w="800" w:type="dxa"/>
            <w:vAlign w:val="bottom"/>
          </w:tcPr>
          <w:p>
            <w:pPr>
              <w:spacing w:after="0"/>
              <w:rPr>
                <w:sz w:val="16"/>
                <w:szCs w:val="16"/>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of America (filed as Exhibit 99.1 to the Company’s report on Form 8-K dated October 31, 2012, and</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incorporated herein by reference).</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10.31</w:t>
            </w:r>
          </w:p>
        </w:tc>
        <w:tc>
          <w:tcPr>
            <w:tcW w:w="8400" w:type="dxa"/>
            <w:vAlign w:val="bottom"/>
          </w:tcPr>
          <w:p>
            <w:pPr>
              <w:ind w:left="260"/>
              <w:spacing w:after="0"/>
              <w:rPr>
                <w:sz w:val="20"/>
                <w:szCs w:val="20"/>
                <w:color w:val="auto"/>
              </w:rPr>
            </w:pPr>
            <w:r>
              <w:rPr>
                <w:rFonts w:ascii="Arial" w:cs="Arial" w:eastAsia="Arial" w:hAnsi="Arial"/>
                <w:sz w:val="16"/>
                <w:szCs w:val="16"/>
                <w:color w:val="auto"/>
              </w:rPr>
              <w:t>Master Lease Agreement dated October 26, 2012, between Consolidated Cinema Services LLC and Banc</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of America Leasing &amp; Capital, LLC (filed herewith).</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10.32</w:t>
            </w:r>
          </w:p>
        </w:tc>
        <w:tc>
          <w:tcPr>
            <w:tcW w:w="8400" w:type="dxa"/>
            <w:vAlign w:val="bottom"/>
          </w:tcPr>
          <w:p>
            <w:pPr>
              <w:ind w:left="260"/>
              <w:spacing w:after="0"/>
              <w:rPr>
                <w:sz w:val="20"/>
                <w:szCs w:val="20"/>
                <w:color w:val="auto"/>
              </w:rPr>
            </w:pPr>
            <w:r>
              <w:rPr>
                <w:rFonts w:ascii="Arial" w:cs="Arial" w:eastAsia="Arial" w:hAnsi="Arial"/>
                <w:sz w:val="16"/>
                <w:szCs w:val="16"/>
                <w:color w:val="auto"/>
              </w:rPr>
              <w:t>Amendment dated October 31, 2012 to the Master Lease Agreement dated October 26, 2012, between</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Consolidated Cinema Services LLC and Banc of America Leasing &amp; Capital, LLC (filed herewith).</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10.33</w:t>
            </w:r>
          </w:p>
        </w:tc>
        <w:tc>
          <w:tcPr>
            <w:tcW w:w="8400" w:type="dxa"/>
            <w:vAlign w:val="bottom"/>
          </w:tcPr>
          <w:p>
            <w:pPr>
              <w:ind w:left="260"/>
              <w:spacing w:after="0"/>
              <w:rPr>
                <w:sz w:val="20"/>
                <w:szCs w:val="20"/>
                <w:color w:val="auto"/>
              </w:rPr>
            </w:pPr>
            <w:r>
              <w:rPr>
                <w:rFonts w:ascii="Arial" w:cs="Arial" w:eastAsia="Arial" w:hAnsi="Arial"/>
                <w:sz w:val="16"/>
                <w:szCs w:val="16"/>
                <w:color w:val="auto"/>
              </w:rPr>
              <w:t>John Hunter Separation Agreement (filed as Exhibit 10.1 to the Company’s report on Form 10-Q for the</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period ended June 30, 2013).</w:t>
            </w:r>
          </w:p>
        </w:tc>
      </w:tr>
      <w:tr>
        <w:trPr>
          <w:trHeight w:val="329"/>
        </w:trPr>
        <w:tc>
          <w:tcPr>
            <w:tcW w:w="800" w:type="dxa"/>
            <w:vAlign w:val="bottom"/>
          </w:tcPr>
          <w:p>
            <w:pPr>
              <w:ind w:left="100"/>
              <w:spacing w:after="0"/>
              <w:rPr>
                <w:sz w:val="20"/>
                <w:szCs w:val="20"/>
                <w:color w:val="auto"/>
              </w:rPr>
            </w:pPr>
            <w:r>
              <w:rPr>
                <w:rFonts w:ascii="Arial" w:cs="Arial" w:eastAsia="Arial" w:hAnsi="Arial"/>
                <w:sz w:val="16"/>
                <w:szCs w:val="16"/>
                <w:color w:val="auto"/>
              </w:rPr>
              <w:t>10.34</w:t>
            </w:r>
          </w:p>
        </w:tc>
        <w:tc>
          <w:tcPr>
            <w:tcW w:w="8400" w:type="dxa"/>
            <w:vAlign w:val="bottom"/>
          </w:tcPr>
          <w:p>
            <w:pPr>
              <w:ind w:left="260"/>
              <w:spacing w:after="0"/>
              <w:rPr>
                <w:sz w:val="20"/>
                <w:szCs w:val="20"/>
                <w:color w:val="auto"/>
              </w:rPr>
            </w:pPr>
            <w:r>
              <w:rPr>
                <w:rFonts w:ascii="Arial" w:cs="Arial" w:eastAsia="Arial" w:hAnsi="Arial"/>
                <w:sz w:val="16"/>
                <w:szCs w:val="16"/>
                <w:color w:val="auto"/>
              </w:rPr>
              <w:t>James J Cotter, Jr. Employment Agreement (filed as Exhibit 10.2 to the Company’s report on Form 10-Q</w:t>
            </w:r>
          </w:p>
        </w:tc>
      </w:tr>
      <w:tr>
        <w:trPr>
          <w:trHeight w:val="200"/>
        </w:trPr>
        <w:tc>
          <w:tcPr>
            <w:tcW w:w="800" w:type="dxa"/>
            <w:vAlign w:val="bottom"/>
          </w:tcPr>
          <w:p>
            <w:pPr>
              <w:spacing w:after="0"/>
              <w:rPr>
                <w:sz w:val="17"/>
                <w:szCs w:val="17"/>
                <w:color w:val="auto"/>
              </w:rPr>
            </w:pPr>
          </w:p>
        </w:tc>
        <w:tc>
          <w:tcPr>
            <w:tcW w:w="8400" w:type="dxa"/>
            <w:vAlign w:val="bottom"/>
          </w:tcPr>
          <w:p>
            <w:pPr>
              <w:ind w:left="260"/>
              <w:spacing w:after="0"/>
              <w:rPr>
                <w:sz w:val="20"/>
                <w:szCs w:val="20"/>
                <w:color w:val="auto"/>
              </w:rPr>
            </w:pPr>
            <w:r>
              <w:rPr>
                <w:rFonts w:ascii="Arial" w:cs="Arial" w:eastAsia="Arial" w:hAnsi="Arial"/>
                <w:sz w:val="16"/>
                <w:szCs w:val="16"/>
                <w:color w:val="auto"/>
              </w:rPr>
              <w:t>for the period ended June 30, 2013).</w:t>
            </w:r>
          </w:p>
        </w:tc>
      </w:tr>
      <w:tr>
        <w:trPr>
          <w:trHeight w:val="341"/>
        </w:trPr>
        <w:tc>
          <w:tcPr>
            <w:tcW w:w="800" w:type="dxa"/>
            <w:vAlign w:val="bottom"/>
          </w:tcPr>
          <w:p>
            <w:pPr>
              <w:ind w:left="100"/>
              <w:spacing w:after="0"/>
              <w:rPr>
                <w:sz w:val="20"/>
                <w:szCs w:val="20"/>
                <w:color w:val="auto"/>
              </w:rPr>
            </w:pPr>
            <w:r>
              <w:rPr>
                <w:rFonts w:ascii="Arial" w:cs="Arial" w:eastAsia="Arial" w:hAnsi="Arial"/>
                <w:sz w:val="16"/>
                <w:szCs w:val="16"/>
                <w:color w:val="auto"/>
              </w:rPr>
              <w:t>21</w:t>
            </w:r>
          </w:p>
        </w:tc>
        <w:tc>
          <w:tcPr>
            <w:tcW w:w="8400" w:type="dxa"/>
            <w:vAlign w:val="bottom"/>
          </w:tcPr>
          <w:p>
            <w:pPr>
              <w:ind w:left="260"/>
              <w:spacing w:after="0"/>
              <w:rPr>
                <w:sz w:val="20"/>
                <w:szCs w:val="20"/>
                <w:color w:val="auto"/>
              </w:rPr>
            </w:pPr>
            <w:r>
              <w:rPr>
                <w:rFonts w:ascii="Arial" w:cs="Arial" w:eastAsia="Arial" w:hAnsi="Arial"/>
                <w:sz w:val="16"/>
                <w:szCs w:val="16"/>
                <w:color w:val="auto"/>
              </w:rPr>
              <w:t>List of Subsidiaries (filed herewith).</w:t>
            </w:r>
          </w:p>
        </w:tc>
      </w:tr>
      <w:tr>
        <w:trPr>
          <w:trHeight w:val="341"/>
        </w:trPr>
        <w:tc>
          <w:tcPr>
            <w:tcW w:w="800" w:type="dxa"/>
            <w:vAlign w:val="bottom"/>
          </w:tcPr>
          <w:p>
            <w:pPr>
              <w:ind w:left="100"/>
              <w:spacing w:after="0"/>
              <w:rPr>
                <w:sz w:val="20"/>
                <w:szCs w:val="20"/>
                <w:color w:val="auto"/>
              </w:rPr>
            </w:pPr>
            <w:r>
              <w:rPr>
                <w:rFonts w:ascii="Arial" w:cs="Arial" w:eastAsia="Arial" w:hAnsi="Arial"/>
                <w:sz w:val="16"/>
                <w:szCs w:val="16"/>
                <w:color w:val="auto"/>
              </w:rPr>
              <w:t>23.1</w:t>
            </w:r>
          </w:p>
        </w:tc>
        <w:tc>
          <w:tcPr>
            <w:tcW w:w="8400" w:type="dxa"/>
            <w:vAlign w:val="bottom"/>
          </w:tcPr>
          <w:p>
            <w:pPr>
              <w:ind w:left="260"/>
              <w:spacing w:after="0"/>
              <w:rPr>
                <w:sz w:val="20"/>
                <w:szCs w:val="20"/>
                <w:color w:val="auto"/>
              </w:rPr>
            </w:pPr>
            <w:r>
              <w:rPr>
                <w:rFonts w:ascii="Arial" w:cs="Arial" w:eastAsia="Arial" w:hAnsi="Arial"/>
                <w:sz w:val="16"/>
                <w:szCs w:val="16"/>
                <w:color w:val="auto"/>
              </w:rPr>
              <w:t>Consent of Independent Registered Public Accounting Firm, Grant Thornton LLP (filed herewith).</w:t>
            </w:r>
          </w:p>
        </w:tc>
      </w:tr>
      <w:tr>
        <w:trPr>
          <w:trHeight w:val="341"/>
        </w:trPr>
        <w:tc>
          <w:tcPr>
            <w:tcW w:w="800" w:type="dxa"/>
            <w:vAlign w:val="bottom"/>
          </w:tcPr>
          <w:p>
            <w:pPr>
              <w:ind w:left="100"/>
              <w:spacing w:after="0"/>
              <w:rPr>
                <w:sz w:val="20"/>
                <w:szCs w:val="20"/>
                <w:color w:val="auto"/>
              </w:rPr>
            </w:pPr>
            <w:r>
              <w:rPr>
                <w:rFonts w:ascii="Arial" w:cs="Arial" w:eastAsia="Arial" w:hAnsi="Arial"/>
                <w:sz w:val="16"/>
                <w:szCs w:val="16"/>
                <w:color w:val="auto"/>
              </w:rPr>
              <w:t>23.2</w:t>
            </w:r>
          </w:p>
        </w:tc>
        <w:tc>
          <w:tcPr>
            <w:tcW w:w="8400" w:type="dxa"/>
            <w:vAlign w:val="bottom"/>
          </w:tcPr>
          <w:p>
            <w:pPr>
              <w:ind w:left="260"/>
              <w:spacing w:after="0"/>
              <w:rPr>
                <w:sz w:val="20"/>
                <w:szCs w:val="20"/>
                <w:color w:val="auto"/>
              </w:rPr>
            </w:pPr>
            <w:r>
              <w:rPr>
                <w:rFonts w:ascii="Arial" w:cs="Arial" w:eastAsia="Arial" w:hAnsi="Arial"/>
                <w:sz w:val="16"/>
                <w:szCs w:val="16"/>
                <w:color w:val="auto"/>
              </w:rPr>
              <w:t>Consent of Independent Auditors, KPMG (filed herewith).</w:t>
            </w:r>
          </w:p>
        </w:tc>
      </w:tr>
      <w:tr>
        <w:trPr>
          <w:trHeight w:val="799"/>
        </w:trPr>
        <w:tc>
          <w:tcPr>
            <w:tcW w:w="800" w:type="dxa"/>
            <w:vAlign w:val="bottom"/>
          </w:tcPr>
          <w:p>
            <w:pPr>
              <w:spacing w:after="0"/>
              <w:rPr>
                <w:sz w:val="24"/>
                <w:szCs w:val="24"/>
                <w:color w:val="auto"/>
              </w:rPr>
            </w:pPr>
          </w:p>
        </w:tc>
        <w:tc>
          <w:tcPr>
            <w:tcW w:w="8400" w:type="dxa"/>
            <w:vAlign w:val="bottom"/>
          </w:tcPr>
          <w:p>
            <w:pPr>
              <w:ind w:left="3680"/>
              <w:spacing w:after="0"/>
              <w:rPr>
                <w:sz w:val="20"/>
                <w:szCs w:val="20"/>
                <w:color w:val="auto"/>
              </w:rPr>
            </w:pPr>
            <w:r>
              <w:rPr>
                <w:rFonts w:ascii="Arial" w:cs="Arial" w:eastAsia="Arial" w:hAnsi="Arial"/>
                <w:sz w:val="16"/>
                <w:szCs w:val="16"/>
                <w:color w:val="auto"/>
              </w:rPr>
              <w:t>127</w:t>
            </w:r>
          </w:p>
        </w:tc>
      </w:tr>
      <w:tr>
        <w:trPr>
          <w:trHeight w:val="130"/>
        </w:trPr>
        <w:tc>
          <w:tcPr>
            <w:tcW w:w="800" w:type="dxa"/>
            <w:vAlign w:val="bottom"/>
            <w:tcBorders>
              <w:bottom w:val="single" w:sz="8" w:color="9A9A9A"/>
            </w:tcBorders>
          </w:tcPr>
          <w:p>
            <w:pPr>
              <w:spacing w:after="0"/>
              <w:rPr>
                <w:sz w:val="11"/>
                <w:szCs w:val="11"/>
                <w:color w:val="auto"/>
              </w:rPr>
            </w:pPr>
          </w:p>
        </w:tc>
        <w:tc>
          <w:tcPr>
            <w:tcW w:w="8400" w:type="dxa"/>
            <w:vAlign w:val="bottom"/>
            <w:tcBorders>
              <w:bottom w:val="single" w:sz="8" w:color="9A9A9A"/>
            </w:tcBorders>
          </w:tcPr>
          <w:p>
            <w:pPr>
              <w:spacing w:after="0"/>
              <w:rPr>
                <w:sz w:val="11"/>
                <w:szCs w:val="11"/>
                <w:color w:val="auto"/>
              </w:rPr>
            </w:pPr>
          </w:p>
        </w:tc>
      </w:tr>
      <w:tr>
        <w:trPr>
          <w:trHeight w:val="20"/>
        </w:trPr>
        <w:tc>
          <w:tcPr>
            <w:tcW w:w="800" w:type="dxa"/>
            <w:vAlign w:val="bottom"/>
            <w:tcBorders>
              <w:bottom w:val="single" w:sz="8" w:color="EEEEEE"/>
            </w:tcBorders>
          </w:tcPr>
          <w:p>
            <w:pPr>
              <w:spacing w:after="0" w:line="20" w:lineRule="exact"/>
              <w:rPr>
                <w:sz w:val="1"/>
                <w:szCs w:val="1"/>
                <w:color w:val="auto"/>
              </w:rPr>
            </w:pPr>
          </w:p>
        </w:tc>
        <w:tc>
          <w:tcPr>
            <w:tcW w:w="8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550" w:right="1339" w:bottom="1440" w:gutter="0" w:footer="0" w:header="0"/>
        </w:sectPr>
      </w:pPr>
    </w:p>
    <w:bookmarkStart w:id="127" w:name="page128"/>
    <w:bookmarkEnd w:id="127"/>
    <w:tbl>
      <w:tblPr>
        <w:tblLayout w:type="fixed"/>
        <w:tblInd w:w="100" w:type="dxa"/>
        <w:tblCellMar>
          <w:top w:w="0" w:type="dxa"/>
          <w:left w:w="0" w:type="dxa"/>
          <w:bottom w:w="0" w:type="dxa"/>
          <w:right w:w="0" w:type="dxa"/>
        </w:tblCellMar>
      </w:tblPr>
      <w:tr>
        <w:trPr>
          <w:trHeight w:val="188"/>
        </w:trPr>
        <w:tc>
          <w:tcPr>
            <w:tcW w:w="780" w:type="dxa"/>
            <w:vAlign w:val="bottom"/>
          </w:tcPr>
          <w:p>
            <w:pPr>
              <w:spacing w:after="0"/>
              <w:rPr>
                <w:sz w:val="20"/>
                <w:szCs w:val="20"/>
                <w:color w:val="auto"/>
              </w:rPr>
            </w:pPr>
            <w:r>
              <w:rPr>
                <w:rFonts w:ascii="Arial" w:cs="Arial" w:eastAsia="Arial" w:hAnsi="Arial"/>
                <w:sz w:val="16"/>
                <w:szCs w:val="16"/>
                <w:color w:val="auto"/>
              </w:rPr>
              <w:t>31.1</w:t>
            </w:r>
          </w:p>
        </w:tc>
        <w:tc>
          <w:tcPr>
            <w:tcW w:w="6940" w:type="dxa"/>
            <w:vAlign w:val="bottom"/>
          </w:tcPr>
          <w:p>
            <w:pPr>
              <w:ind w:left="180"/>
              <w:spacing w:after="0"/>
              <w:rPr>
                <w:sz w:val="20"/>
                <w:szCs w:val="20"/>
                <w:color w:val="auto"/>
              </w:rPr>
            </w:pPr>
            <w:r>
              <w:rPr>
                <w:rFonts w:ascii="Arial" w:cs="Arial" w:eastAsia="Arial" w:hAnsi="Arial"/>
                <w:sz w:val="16"/>
                <w:szCs w:val="16"/>
                <w:color w:val="auto"/>
                <w:w w:val="90"/>
              </w:rPr>
              <w:t>Certification of Principal Executive Officer dated March 7, 2014 pursuant to Section 302 of the Sarbanes-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Oxley Act of 2002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31.2</w:t>
            </w:r>
          </w:p>
        </w:tc>
        <w:tc>
          <w:tcPr>
            <w:tcW w:w="6940" w:type="dxa"/>
            <w:vAlign w:val="bottom"/>
          </w:tcPr>
          <w:p>
            <w:pPr>
              <w:ind w:left="180"/>
              <w:spacing w:after="0"/>
              <w:rPr>
                <w:sz w:val="20"/>
                <w:szCs w:val="20"/>
                <w:color w:val="auto"/>
              </w:rPr>
            </w:pPr>
            <w:r>
              <w:rPr>
                <w:rFonts w:ascii="Arial" w:cs="Arial" w:eastAsia="Arial" w:hAnsi="Arial"/>
                <w:sz w:val="16"/>
                <w:szCs w:val="16"/>
                <w:color w:val="auto"/>
                <w:w w:val="91"/>
              </w:rPr>
              <w:t>Certification of Principal Financial Officer dated March 7, 2014 pursuant to Section 302 of the Sarbanes-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Oxley Act of 2002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32.1</w:t>
            </w:r>
          </w:p>
        </w:tc>
        <w:tc>
          <w:tcPr>
            <w:tcW w:w="6940" w:type="dxa"/>
            <w:vAlign w:val="bottom"/>
          </w:tcPr>
          <w:p>
            <w:pPr>
              <w:ind w:left="180"/>
              <w:spacing w:after="0"/>
              <w:rPr>
                <w:sz w:val="20"/>
                <w:szCs w:val="20"/>
                <w:color w:val="auto"/>
              </w:rPr>
            </w:pPr>
            <w:r>
              <w:rPr>
                <w:rFonts w:ascii="Arial" w:cs="Arial" w:eastAsia="Arial" w:hAnsi="Arial"/>
                <w:sz w:val="16"/>
                <w:szCs w:val="16"/>
                <w:color w:val="auto"/>
                <w:w w:val="92"/>
              </w:rPr>
              <w:t>Certification of Principal Executive Officer dated March 7, 2014 pursuant to 18 U.S.C. Section 1350, as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adopted pursuant to Section 906 of the Sarbanes-Oxley Act of 2002 (filed herewith).</w:t>
            </w:r>
          </w:p>
        </w:tc>
      </w:tr>
      <w:tr>
        <w:trPr>
          <w:trHeight w:val="329"/>
        </w:trPr>
        <w:tc>
          <w:tcPr>
            <w:tcW w:w="780" w:type="dxa"/>
            <w:vAlign w:val="bottom"/>
          </w:tcPr>
          <w:p>
            <w:pPr>
              <w:spacing w:after="0"/>
              <w:rPr>
                <w:sz w:val="20"/>
                <w:szCs w:val="20"/>
                <w:color w:val="auto"/>
              </w:rPr>
            </w:pPr>
            <w:r>
              <w:rPr>
                <w:rFonts w:ascii="Arial" w:cs="Arial" w:eastAsia="Arial" w:hAnsi="Arial"/>
                <w:sz w:val="16"/>
                <w:szCs w:val="16"/>
                <w:color w:val="auto"/>
              </w:rPr>
              <w:t>32.2</w:t>
            </w:r>
          </w:p>
        </w:tc>
        <w:tc>
          <w:tcPr>
            <w:tcW w:w="6940" w:type="dxa"/>
            <w:vAlign w:val="bottom"/>
          </w:tcPr>
          <w:p>
            <w:pPr>
              <w:ind w:left="180"/>
              <w:spacing w:after="0"/>
              <w:rPr>
                <w:sz w:val="20"/>
                <w:szCs w:val="20"/>
                <w:color w:val="auto"/>
              </w:rPr>
            </w:pPr>
            <w:r>
              <w:rPr>
                <w:rFonts w:ascii="Arial" w:cs="Arial" w:eastAsia="Arial" w:hAnsi="Arial"/>
                <w:sz w:val="16"/>
                <w:szCs w:val="16"/>
                <w:color w:val="auto"/>
                <w:w w:val="92"/>
              </w:rPr>
              <w:t>Certification of Principal Financial Officer dated March 7, 2014  pursuant to 18 U.S.C. Section 1350, as</w:t>
            </w:r>
          </w:p>
        </w:tc>
      </w:tr>
      <w:tr>
        <w:trPr>
          <w:trHeight w:val="200"/>
        </w:trPr>
        <w:tc>
          <w:tcPr>
            <w:tcW w:w="78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6"/>
                <w:szCs w:val="16"/>
                <w:color w:val="auto"/>
              </w:rPr>
              <w:t>adopted pursuant to Section 906 of the Sarbanes-Oxley Act of 2002 (filed herewith).</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694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Schema</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Calculation</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Definition</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Labels</w:t>
            </w:r>
          </w:p>
        </w:tc>
      </w:tr>
      <w:tr>
        <w:trPr>
          <w:trHeight w:val="341"/>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6940" w:type="dxa"/>
            <w:vAlign w:val="bottom"/>
          </w:tcPr>
          <w:p>
            <w:pPr>
              <w:ind w:left="180"/>
              <w:spacing w:after="0"/>
              <w:rPr>
                <w:sz w:val="20"/>
                <w:szCs w:val="20"/>
                <w:color w:val="auto"/>
              </w:rPr>
            </w:pPr>
            <w:r>
              <w:rPr>
                <w:rFonts w:ascii="Arial" w:cs="Arial" w:eastAsia="Arial" w:hAnsi="Arial"/>
                <w:sz w:val="16"/>
                <w:szCs w:val="16"/>
                <w:color w:val="auto"/>
              </w:rPr>
              <w:t>XBRL Taxonomy Extension Presentation</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*These exhibits constitute the executive compensation plans and arrangements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212090</wp:posOffset>
            </wp:positionV>
            <wp:extent cx="2476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550" w:right="1440"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6"/>
          <w:szCs w:val="16"/>
          <w:b w:val="1"/>
          <w:bCs w:val="1"/>
          <w:u w:val="single" w:color="auto"/>
          <w:color w:val="auto"/>
        </w:rPr>
        <w:t>SIGNATURES</w:t>
      </w:r>
    </w:p>
    <w:p>
      <w:pPr>
        <w:spacing w:after="0" w:line="8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Pursuant to the requirements of the Securities Exchange Act of 1934, the registrant has duly caused this report to be signed on its behalf by the undersigned thereunto duly authorized.</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READING INTERNATIONAL, INC.</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(Registrant)</w:t>
      </w:r>
    </w:p>
    <w:p>
      <w:pPr>
        <w:spacing w:after="0" w:line="168" w:lineRule="exact"/>
        <w:rPr>
          <w:sz w:val="20"/>
          <w:szCs w:val="20"/>
          <w:color w:val="auto"/>
        </w:rPr>
      </w:pPr>
    </w:p>
    <w:p>
      <w:pPr>
        <w:spacing w:after="0"/>
        <w:tabs>
          <w:tab w:leader="none" w:pos="640" w:val="left"/>
          <w:tab w:leader="none" w:pos="4340" w:val="left"/>
          <w:tab w:leader="none" w:pos="52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7,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10160</wp:posOffset>
            </wp:positionV>
            <wp:extent cx="246888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68880" cy="14605"/>
                    </a:xfrm>
                    <a:prstGeom prst="rect">
                      <a:avLst/>
                    </a:prstGeom>
                    <a:noFill/>
                  </pic:spPr>
                </pic:pic>
              </a:graphicData>
            </a:graphic>
          </wp:anchor>
        </w:drawing>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Andrzej Matyczynski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6"/>
          <w:szCs w:val="16"/>
          <w:i w:val="1"/>
          <w:iCs w:val="1"/>
          <w:color w:val="auto"/>
        </w:rPr>
        <w:t>Chief Financial Officer and Treasurer</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8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Arial" w:cs="Arial" w:eastAsia="Arial" w:hAnsi="Arial"/>
                <w:sz w:val="16"/>
                <w:szCs w:val="16"/>
                <w:b w:val="1"/>
                <w:bCs w:val="1"/>
                <w:color w:val="auto"/>
                <w:w w:val="86"/>
              </w:rPr>
              <w:t>Signature</w:t>
            </w: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6"/>
                <w:szCs w:val="16"/>
                <w:b w:val="1"/>
                <w:bCs w:val="1"/>
                <w:color w:val="auto"/>
              </w:rPr>
              <w:t>Title(s)</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b w:val="1"/>
                <w:bCs w:val="1"/>
                <w:color w:val="auto"/>
                <w:w w:val="86"/>
              </w:rPr>
              <w:t>Date</w:t>
            </w:r>
          </w:p>
        </w:tc>
      </w:tr>
      <w:tr>
        <w:trPr>
          <w:trHeight w:val="20"/>
        </w:trPr>
        <w:tc>
          <w:tcPr>
            <w:tcW w:w="6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2"/>
        </w:trPr>
        <w:tc>
          <w:tcPr>
            <w:tcW w:w="2040" w:type="dxa"/>
            <w:vAlign w:val="bottom"/>
            <w:gridSpan w:val="2"/>
          </w:tcPr>
          <w:p>
            <w:pPr>
              <w:spacing w:after="0"/>
              <w:rPr>
                <w:sz w:val="20"/>
                <w:szCs w:val="20"/>
                <w:color w:val="auto"/>
              </w:rPr>
            </w:pPr>
            <w:r>
              <w:rPr>
                <w:rFonts w:ascii="Arial" w:cs="Arial" w:eastAsia="Arial" w:hAnsi="Arial"/>
                <w:sz w:val="16"/>
                <w:szCs w:val="16"/>
                <w:color w:val="auto"/>
              </w:rPr>
              <w:t>/s/ James J. Cotter</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Chairman of the Board and Director and Chief Executive Officer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James J. Cotter</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Andrzej Matyczynski</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Principal Financial and Accounting Officer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Andrzej Matyczynski</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Guy W. Adams</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Guy Adams</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Ellen M. Cotter</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Ellen Cotter</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James J. Cotter, Jr.</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James J. Cotter, Jr.</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Margaret Cotter</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Margaret Cotter</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William D. Gould</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William D. Gould</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Edward L. Kane</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Edward L Kane</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Douglas J. McEachern</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Douglas J. McEachern</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Tim Storey</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Tim Storey</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17"/>
        </w:trPr>
        <w:tc>
          <w:tcPr>
            <w:tcW w:w="2040" w:type="dxa"/>
            <w:vAlign w:val="bottom"/>
            <w:gridSpan w:val="2"/>
          </w:tcPr>
          <w:p>
            <w:pPr>
              <w:spacing w:after="0"/>
              <w:rPr>
                <w:sz w:val="20"/>
                <w:szCs w:val="20"/>
                <w:color w:val="auto"/>
              </w:rPr>
            </w:pPr>
            <w:r>
              <w:rPr>
                <w:rFonts w:ascii="Arial" w:cs="Arial" w:eastAsia="Arial" w:hAnsi="Arial"/>
                <w:sz w:val="16"/>
                <w:szCs w:val="16"/>
                <w:color w:val="auto"/>
              </w:rPr>
              <w:t>/s/ Alfred Villaseñor</w:t>
            </w:r>
          </w:p>
        </w:tc>
        <w:tc>
          <w:tcPr>
            <w:tcW w:w="5240" w:type="dxa"/>
            <w:vAlign w:val="bottom"/>
            <w:gridSpan w:val="4"/>
          </w:tcPr>
          <w:p>
            <w:pPr>
              <w:ind w:left="420"/>
              <w:spacing w:after="0"/>
              <w:rPr>
                <w:sz w:val="20"/>
                <w:szCs w:val="20"/>
                <w:color w:val="auto"/>
              </w:rPr>
            </w:pPr>
            <w:r>
              <w:rPr>
                <w:rFonts w:ascii="Arial" w:cs="Arial" w:eastAsia="Arial" w:hAnsi="Arial"/>
                <w:sz w:val="16"/>
                <w:szCs w:val="16"/>
                <w:color w:val="auto"/>
              </w:rPr>
              <w:t>Director</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color w:val="auto"/>
                <w:w w:val="87"/>
              </w:rPr>
              <w:t>March 7, 2014</w:t>
            </w:r>
          </w:p>
        </w:tc>
      </w:tr>
      <w:tr>
        <w:trPr>
          <w:trHeight w:val="192"/>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Alfred Villaseñor</w:t>
            </w:r>
          </w:p>
        </w:tc>
        <w:tc>
          <w:tcPr>
            <w:tcW w:w="42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904"/>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6"/>
                <w:szCs w:val="16"/>
                <w:color w:val="auto"/>
              </w:rPr>
              <w:t>129</w:t>
            </w: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0"/>
        </w:trPr>
        <w:tc>
          <w:tcPr>
            <w:tcW w:w="66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4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9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-34290</wp:posOffset>
            </wp:positionV>
            <wp:extent cx="33020" cy="47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020" cy="476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-34290</wp:posOffset>
            </wp:positionV>
            <wp:extent cx="33020" cy="476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7625"/>
                    </a:xfrm>
                    <a:prstGeom prst="rect">
                      <a:avLst/>
                    </a:prstGeom>
                    <a:noFill/>
                  </pic:spPr>
                </pic:pic>
              </a:graphicData>
            </a:graphic>
          </wp:anchor>
        </w:drawing>
      </w:r>
    </w:p>
    <w:p>
      <w:pPr>
        <w:sectPr>
          <w:pgSz w:w="11900" w:h="16838" w:orient="portrait"/>
          <w:cols w:equalWidth="0" w:num="1">
            <w:col w:w="9200"/>
          </w:cols>
          <w:pgMar w:left="1360" w:top="463" w:right="1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8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 James J. Cotter, certify that:</w:t>
      </w:r>
    </w:p>
    <w:p>
      <w:pPr>
        <w:spacing w:after="0" w:line="168" w:lineRule="exact"/>
        <w:rPr>
          <w:sz w:val="20"/>
          <w:szCs w:val="20"/>
          <w:color w:val="auto"/>
        </w:rPr>
      </w:pPr>
    </w:p>
    <w:p>
      <w:pPr>
        <w:ind w:left="320" w:hanging="318"/>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56" w:lineRule="exact"/>
        <w:rPr>
          <w:rFonts w:ascii="Arial" w:cs="Arial" w:eastAsia="Arial" w:hAnsi="Arial"/>
          <w:sz w:val="16"/>
          <w:szCs w:val="16"/>
          <w:color w:val="auto"/>
        </w:rPr>
      </w:pPr>
    </w:p>
    <w:p>
      <w:pPr>
        <w:jc w:val="both"/>
        <w:ind w:left="140" w:hanging="138"/>
        <w:spacing w:after="0" w:line="280" w:lineRule="auto"/>
        <w:tabs>
          <w:tab w:leader="none" w:pos="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140" w:hanging="138"/>
        <w:spacing w:after="0" w:line="299" w:lineRule="auto"/>
        <w:tabs>
          <w:tab w:leader="none" w:pos="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jc w:val="both"/>
        <w:ind w:left="140" w:hanging="138"/>
        <w:spacing w:after="0" w:line="310" w:lineRule="auto"/>
        <w:tabs>
          <w:tab w:leader="none" w:pos="1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6"/>
          <w:szCs w:val="16"/>
          <w:color w:val="auto"/>
        </w:rPr>
        <w:t>15d-15(f)) for the registrant and have:</w:t>
      </w:r>
    </w:p>
    <w:p>
      <w:pPr>
        <w:spacing w:after="0" w:line="145" w:lineRule="exact"/>
        <w:rPr>
          <w:sz w:val="20"/>
          <w:szCs w:val="20"/>
          <w:color w:val="auto"/>
        </w:rPr>
      </w:pPr>
    </w:p>
    <w:p>
      <w:pPr>
        <w:jc w:val="both"/>
        <w:ind w:left="420" w:hanging="128"/>
        <w:spacing w:after="0" w:line="255"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420" w:hanging="128"/>
        <w:spacing w:after="0" w:line="381" w:lineRule="auto"/>
        <w:rPr>
          <w:sz w:val="20"/>
          <w:szCs w:val="20"/>
          <w:color w:val="auto"/>
        </w:rPr>
      </w:pPr>
      <w:r>
        <w:rPr>
          <w:rFonts w:ascii="Arial" w:cs="Arial" w:eastAsia="Arial" w:hAnsi="Arial"/>
          <w:sz w:val="13"/>
          <w:szCs w:val="13"/>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140" w:hanging="138"/>
        <w:spacing w:after="0" w:line="381" w:lineRule="auto"/>
        <w:tabs>
          <w:tab w:leader="none" w:pos="1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left="420" w:hanging="128"/>
        <w:spacing w:after="0" w:line="299"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sz w:val="20"/>
          <w:szCs w:val="20"/>
          <w:color w:val="auto"/>
        </w:rPr>
      </w:pPr>
    </w:p>
    <w:p>
      <w:pPr>
        <w:ind w:left="420" w:hanging="140"/>
        <w:spacing w:after="0" w:line="265"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James J. Cotter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31.2</w:t>
      </w:r>
    </w:p>
    <w:p>
      <w:pPr>
        <w:spacing w:after="0" w:line="8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Andrzej Matyczynski, certify that:</w:t>
      </w:r>
    </w:p>
    <w:p>
      <w:pPr>
        <w:spacing w:after="0" w:line="157" w:lineRule="exact"/>
        <w:rPr>
          <w:sz w:val="20"/>
          <w:szCs w:val="20"/>
          <w:color w:val="auto"/>
        </w:rPr>
      </w:pPr>
    </w:p>
    <w:p>
      <w:pPr>
        <w:ind w:left="320" w:hanging="318"/>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56" w:lineRule="exact"/>
        <w:rPr>
          <w:rFonts w:ascii="Arial" w:cs="Arial" w:eastAsia="Arial" w:hAnsi="Arial"/>
          <w:sz w:val="16"/>
          <w:szCs w:val="16"/>
          <w:color w:val="auto"/>
        </w:rPr>
      </w:pPr>
    </w:p>
    <w:p>
      <w:pPr>
        <w:jc w:val="both"/>
        <w:ind w:left="140" w:hanging="138"/>
        <w:spacing w:after="0" w:line="280" w:lineRule="auto"/>
        <w:tabs>
          <w:tab w:leader="none" w:pos="1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140" w:hanging="138"/>
        <w:spacing w:after="0" w:line="299" w:lineRule="auto"/>
        <w:tabs>
          <w:tab w:leader="none" w:pos="1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5"/>
          <w:szCs w:val="15"/>
          <w:color w:val="auto"/>
        </w:rPr>
      </w:pPr>
    </w:p>
    <w:p>
      <w:pPr>
        <w:jc w:val="both"/>
        <w:ind w:left="140" w:hanging="138"/>
        <w:spacing w:after="0" w:line="310" w:lineRule="auto"/>
        <w:tabs>
          <w:tab w:leader="none" w:pos="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6"/>
          <w:szCs w:val="16"/>
          <w:color w:val="auto"/>
        </w:rPr>
        <w:t>15d-15(f)) for the registrant and have:</w:t>
      </w:r>
    </w:p>
    <w:p>
      <w:pPr>
        <w:spacing w:after="0" w:line="145" w:lineRule="exact"/>
        <w:rPr>
          <w:sz w:val="20"/>
          <w:szCs w:val="20"/>
          <w:color w:val="auto"/>
        </w:rPr>
      </w:pPr>
    </w:p>
    <w:p>
      <w:pPr>
        <w:jc w:val="both"/>
        <w:ind w:left="420" w:hanging="128"/>
        <w:spacing w:after="0" w:line="255"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jc w:val="both"/>
        <w:ind w:left="420" w:hanging="128"/>
        <w:spacing w:after="0" w:line="381" w:lineRule="auto"/>
        <w:rPr>
          <w:sz w:val="20"/>
          <w:szCs w:val="20"/>
          <w:color w:val="auto"/>
        </w:rPr>
      </w:pPr>
      <w:r>
        <w:rPr>
          <w:rFonts w:ascii="Arial" w:cs="Arial" w:eastAsia="Arial" w:hAnsi="Arial"/>
          <w:sz w:val="13"/>
          <w:szCs w:val="13"/>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420" w:hanging="140"/>
        <w:spacing w:after="0" w:line="255"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140" w:hanging="138"/>
        <w:spacing w:after="0" w:line="381" w:lineRule="auto"/>
        <w:tabs>
          <w:tab w:leader="none" w:pos="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left="420" w:hanging="128"/>
        <w:spacing w:after="0" w:line="299"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sz w:val="20"/>
          <w:szCs w:val="20"/>
          <w:color w:val="auto"/>
        </w:rPr>
      </w:pPr>
    </w:p>
    <w:p>
      <w:pPr>
        <w:ind w:left="420" w:hanging="140"/>
        <w:spacing w:after="0" w:line="265"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Andrzej Matyczynski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4" w:right="13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32.1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2013 (the “Report”), I, James J. Cotter, Chief Executive Officer of the Company, certify, pursuant to 18 U.S.C. §1350, as adopted pursuant to §906 of the Sarbanes-Oxley Act of 2002, that:</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57" w:lineRule="exact"/>
        <w:rPr>
          <w:sz w:val="20"/>
          <w:szCs w:val="20"/>
          <w:color w:val="auto"/>
        </w:rPr>
      </w:pPr>
    </w:p>
    <w:p>
      <w:pPr>
        <w:ind w:left="400" w:hanging="116"/>
        <w:spacing w:after="0" w:line="265"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James J. Cotter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32.2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8" w:lineRule="exact"/>
        <w:rPr>
          <w:sz w:val="20"/>
          <w:szCs w:val="20"/>
          <w:color w:val="auto"/>
        </w:rPr>
      </w:pPr>
    </w:p>
    <w:p>
      <w:pPr>
        <w:jc w:val="both"/>
        <w:ind w:firstLine="564"/>
        <w:spacing w:after="0" w:line="255"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2013 (the “Report”), I, Andrzej Matyczynski, Chief Financial Officer of the Company, certify, pursuant to 18 U.S.C. §1350, as adopted pursuant to §906 of the Sarbanes-Oxley Act of 2002, that:</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57" w:lineRule="exact"/>
        <w:rPr>
          <w:sz w:val="20"/>
          <w:szCs w:val="20"/>
          <w:color w:val="auto"/>
        </w:rPr>
      </w:pPr>
    </w:p>
    <w:p>
      <w:pPr>
        <w:ind w:left="400" w:hanging="116"/>
        <w:spacing w:after="0" w:line="265"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Andrzej Matyczynski</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5872480" cy="47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463" w:right="1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21</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READING INTERNATIONAL, INC. – LIST OF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 (Jurisdiction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A.C.N. 143 633 096 Pty Ltd (Australia)</w:t>
      </w:r>
    </w:p>
    <w:p>
      <w:pPr>
        <w:spacing w:after="0" w:line="199" w:lineRule="auto"/>
        <w:rPr>
          <w:sz w:val="20"/>
          <w:szCs w:val="20"/>
          <w:color w:val="auto"/>
        </w:rPr>
      </w:pPr>
      <w:r>
        <w:rPr>
          <w:rFonts w:ascii="Arial" w:cs="Arial" w:eastAsia="Arial" w:hAnsi="Arial"/>
          <w:sz w:val="16"/>
          <w:szCs w:val="16"/>
          <w:color w:val="auto"/>
        </w:rPr>
        <w:t>AHGP, Inc. (Delaware)</w:t>
      </w:r>
    </w:p>
    <w:p>
      <w:pPr>
        <w:spacing w:after="0" w:line="199" w:lineRule="auto"/>
        <w:rPr>
          <w:sz w:val="20"/>
          <w:szCs w:val="20"/>
          <w:color w:val="auto"/>
        </w:rPr>
      </w:pPr>
      <w:r>
        <w:rPr>
          <w:rFonts w:ascii="Arial" w:cs="Arial" w:eastAsia="Arial" w:hAnsi="Arial"/>
          <w:sz w:val="16"/>
          <w:szCs w:val="16"/>
          <w:color w:val="auto"/>
        </w:rPr>
        <w:t>AHLP, Inc. (Delaware)</w:t>
      </w:r>
    </w:p>
    <w:p>
      <w:pPr>
        <w:spacing w:after="0" w:line="199" w:lineRule="auto"/>
        <w:rPr>
          <w:sz w:val="20"/>
          <w:szCs w:val="20"/>
          <w:color w:val="auto"/>
        </w:rPr>
      </w:pPr>
      <w:r>
        <w:rPr>
          <w:rFonts w:ascii="Arial" w:cs="Arial" w:eastAsia="Arial" w:hAnsi="Arial"/>
          <w:sz w:val="16"/>
          <w:szCs w:val="16"/>
          <w:color w:val="auto"/>
        </w:rPr>
        <w:t>Angelika Film Center Mosaic, LLC (Nevada)</w:t>
      </w:r>
    </w:p>
    <w:p>
      <w:pPr>
        <w:spacing w:after="0" w:line="199" w:lineRule="auto"/>
        <w:rPr>
          <w:sz w:val="20"/>
          <w:szCs w:val="20"/>
          <w:color w:val="auto"/>
        </w:rPr>
      </w:pPr>
      <w:r>
        <w:rPr>
          <w:rFonts w:ascii="Arial" w:cs="Arial" w:eastAsia="Arial" w:hAnsi="Arial"/>
          <w:sz w:val="16"/>
          <w:szCs w:val="16"/>
          <w:color w:val="auto"/>
        </w:rPr>
        <w:t>Angelika Film Centers (Dallas), Inc. (Texas)</w:t>
      </w:r>
    </w:p>
    <w:p>
      <w:pPr>
        <w:spacing w:after="0" w:line="199" w:lineRule="auto"/>
        <w:rPr>
          <w:sz w:val="20"/>
          <w:szCs w:val="20"/>
          <w:color w:val="auto"/>
        </w:rPr>
      </w:pPr>
      <w:r>
        <w:rPr>
          <w:rFonts w:ascii="Arial" w:cs="Arial" w:eastAsia="Arial" w:hAnsi="Arial"/>
          <w:sz w:val="16"/>
          <w:szCs w:val="16"/>
          <w:color w:val="auto"/>
        </w:rPr>
        <w:t>Angelika Film Centers (Plano) LP (Nevada)</w:t>
      </w:r>
    </w:p>
    <w:p>
      <w:pPr>
        <w:spacing w:after="0" w:line="200" w:lineRule="auto"/>
        <w:rPr>
          <w:sz w:val="20"/>
          <w:szCs w:val="20"/>
          <w:color w:val="auto"/>
        </w:rPr>
      </w:pPr>
      <w:r>
        <w:rPr>
          <w:rFonts w:ascii="Arial" w:cs="Arial" w:eastAsia="Arial" w:hAnsi="Arial"/>
          <w:sz w:val="16"/>
          <w:szCs w:val="16"/>
          <w:color w:val="auto"/>
        </w:rPr>
        <w:t>Angelika Plano Beverage LLC (Texas)</w:t>
      </w:r>
    </w:p>
    <w:p>
      <w:pPr>
        <w:spacing w:after="0" w:line="199" w:lineRule="auto"/>
        <w:rPr>
          <w:sz w:val="20"/>
          <w:szCs w:val="20"/>
          <w:color w:val="auto"/>
        </w:rPr>
      </w:pPr>
      <w:r>
        <w:rPr>
          <w:rFonts w:ascii="Arial" w:cs="Arial" w:eastAsia="Arial" w:hAnsi="Arial"/>
          <w:sz w:val="16"/>
          <w:szCs w:val="16"/>
          <w:color w:val="auto"/>
        </w:rPr>
        <w:t>Australia Country Cinemas Pty Ltd (Australia)</w:t>
      </w:r>
    </w:p>
    <w:p>
      <w:pPr>
        <w:spacing w:after="0" w:line="199" w:lineRule="auto"/>
        <w:rPr>
          <w:sz w:val="20"/>
          <w:szCs w:val="20"/>
          <w:color w:val="auto"/>
        </w:rPr>
      </w:pPr>
      <w:r>
        <w:rPr>
          <w:rFonts w:ascii="Arial" w:cs="Arial" w:eastAsia="Arial" w:hAnsi="Arial"/>
          <w:sz w:val="16"/>
          <w:szCs w:val="16"/>
          <w:color w:val="auto"/>
        </w:rPr>
        <w:t>Australian Equipment Supply Pty Ltd (Australia)</w:t>
      </w:r>
    </w:p>
    <w:p>
      <w:pPr>
        <w:spacing w:after="0" w:line="199" w:lineRule="auto"/>
        <w:rPr>
          <w:sz w:val="20"/>
          <w:szCs w:val="20"/>
          <w:color w:val="auto"/>
        </w:rPr>
      </w:pPr>
      <w:r>
        <w:rPr>
          <w:rFonts w:ascii="Arial" w:cs="Arial" w:eastAsia="Arial" w:hAnsi="Arial"/>
          <w:sz w:val="16"/>
          <w:szCs w:val="16"/>
          <w:color w:val="auto"/>
        </w:rPr>
        <w:t>Bayou Cinemas LP (Delaware)</w:t>
      </w:r>
    </w:p>
    <w:p>
      <w:pPr>
        <w:spacing w:after="0" w:line="199" w:lineRule="auto"/>
        <w:rPr>
          <w:sz w:val="20"/>
          <w:szCs w:val="20"/>
          <w:color w:val="auto"/>
        </w:rPr>
      </w:pPr>
      <w:r>
        <w:rPr>
          <w:rFonts w:ascii="Arial" w:cs="Arial" w:eastAsia="Arial" w:hAnsi="Arial"/>
          <w:sz w:val="16"/>
          <w:szCs w:val="16"/>
          <w:color w:val="auto"/>
        </w:rPr>
        <w:t>Bogart Holdings Ltd (New Zealand)</w:t>
      </w:r>
    </w:p>
    <w:p>
      <w:pPr>
        <w:spacing w:after="0" w:line="199" w:lineRule="auto"/>
        <w:rPr>
          <w:sz w:val="20"/>
          <w:szCs w:val="20"/>
          <w:color w:val="auto"/>
        </w:rPr>
      </w:pPr>
      <w:r>
        <w:rPr>
          <w:rFonts w:ascii="Arial" w:cs="Arial" w:eastAsia="Arial" w:hAnsi="Arial"/>
          <w:sz w:val="16"/>
          <w:szCs w:val="16"/>
          <w:color w:val="auto"/>
        </w:rPr>
        <w:t>Burwood Developments Pty Ltd (Australia)</w:t>
      </w:r>
    </w:p>
    <w:p>
      <w:pPr>
        <w:spacing w:after="0" w:line="200" w:lineRule="auto"/>
        <w:rPr>
          <w:sz w:val="20"/>
          <w:szCs w:val="20"/>
          <w:color w:val="auto"/>
        </w:rPr>
      </w:pPr>
      <w:r>
        <w:rPr>
          <w:rFonts w:ascii="Arial" w:cs="Arial" w:eastAsia="Arial" w:hAnsi="Arial"/>
          <w:sz w:val="16"/>
          <w:szCs w:val="16"/>
          <w:color w:val="auto"/>
        </w:rPr>
        <w:t>Carmel Theatres, LLC (Nevada)</w:t>
      </w:r>
    </w:p>
    <w:p>
      <w:pPr>
        <w:spacing w:after="0" w:line="199" w:lineRule="auto"/>
        <w:rPr>
          <w:sz w:val="20"/>
          <w:szCs w:val="20"/>
          <w:color w:val="auto"/>
        </w:rPr>
      </w:pPr>
      <w:r>
        <w:rPr>
          <w:rFonts w:ascii="Arial" w:cs="Arial" w:eastAsia="Arial" w:hAnsi="Arial"/>
          <w:sz w:val="16"/>
          <w:szCs w:val="16"/>
          <w:color w:val="auto"/>
        </w:rPr>
        <w:t>Citadel Agriculture, Inc. (California)</w:t>
      </w:r>
    </w:p>
    <w:p>
      <w:pPr>
        <w:spacing w:after="0" w:line="199" w:lineRule="auto"/>
        <w:rPr>
          <w:sz w:val="20"/>
          <w:szCs w:val="20"/>
          <w:color w:val="auto"/>
        </w:rPr>
      </w:pPr>
      <w:r>
        <w:rPr>
          <w:rFonts w:ascii="Arial" w:cs="Arial" w:eastAsia="Arial" w:hAnsi="Arial"/>
          <w:sz w:val="16"/>
          <w:szCs w:val="16"/>
          <w:color w:val="auto"/>
        </w:rPr>
        <w:t>Citadel Cinemas, Inc. (Nevada)</w:t>
      </w:r>
    </w:p>
    <w:p>
      <w:pPr>
        <w:spacing w:after="0" w:line="199" w:lineRule="auto"/>
        <w:rPr>
          <w:sz w:val="20"/>
          <w:szCs w:val="20"/>
          <w:color w:val="auto"/>
        </w:rPr>
      </w:pPr>
      <w:r>
        <w:rPr>
          <w:rFonts w:ascii="Arial" w:cs="Arial" w:eastAsia="Arial" w:hAnsi="Arial"/>
          <w:sz w:val="16"/>
          <w:szCs w:val="16"/>
          <w:color w:val="auto"/>
        </w:rPr>
        <w:t>Citadel Realty, Inc. (Nevada)</w:t>
      </w:r>
    </w:p>
    <w:p>
      <w:pPr>
        <w:spacing w:after="0" w:line="199" w:lineRule="auto"/>
        <w:rPr>
          <w:sz w:val="20"/>
          <w:szCs w:val="20"/>
          <w:color w:val="auto"/>
        </w:rPr>
      </w:pPr>
      <w:r>
        <w:rPr>
          <w:rFonts w:ascii="Arial" w:cs="Arial" w:eastAsia="Arial" w:hAnsi="Arial"/>
          <w:sz w:val="16"/>
          <w:szCs w:val="16"/>
          <w:color w:val="auto"/>
        </w:rPr>
        <w:t>City Cinemas, LLC (Nevada)</w:t>
      </w:r>
    </w:p>
    <w:p>
      <w:pPr>
        <w:spacing w:after="0" w:line="200" w:lineRule="auto"/>
        <w:rPr>
          <w:sz w:val="20"/>
          <w:szCs w:val="20"/>
          <w:color w:val="auto"/>
        </w:rPr>
      </w:pPr>
      <w:r>
        <w:rPr>
          <w:rFonts w:ascii="Arial" w:cs="Arial" w:eastAsia="Arial" w:hAnsi="Arial"/>
          <w:sz w:val="16"/>
          <w:szCs w:val="16"/>
          <w:color w:val="auto"/>
        </w:rPr>
        <w:t>Consolidated Amusement Holdings, LLC (Nevada)</w:t>
      </w:r>
    </w:p>
    <w:p>
      <w:pPr>
        <w:spacing w:after="0" w:line="199" w:lineRule="auto"/>
        <w:rPr>
          <w:sz w:val="20"/>
          <w:szCs w:val="20"/>
          <w:color w:val="auto"/>
        </w:rPr>
      </w:pPr>
      <w:r>
        <w:rPr>
          <w:rFonts w:ascii="Arial" w:cs="Arial" w:eastAsia="Arial" w:hAnsi="Arial"/>
          <w:sz w:val="16"/>
          <w:szCs w:val="16"/>
          <w:color w:val="auto"/>
        </w:rPr>
        <w:t>Consolidated Cinema Services, LLC (Nevada)</w:t>
      </w:r>
    </w:p>
    <w:p>
      <w:pPr>
        <w:spacing w:after="0" w:line="199" w:lineRule="auto"/>
        <w:rPr>
          <w:sz w:val="20"/>
          <w:szCs w:val="20"/>
          <w:color w:val="auto"/>
        </w:rPr>
      </w:pPr>
      <w:r>
        <w:rPr>
          <w:rFonts w:ascii="Arial" w:cs="Arial" w:eastAsia="Arial" w:hAnsi="Arial"/>
          <w:sz w:val="16"/>
          <w:szCs w:val="16"/>
          <w:color w:val="auto"/>
        </w:rPr>
        <w:t>Consolidated Cinemas Kapolei, LLC (New Zealand)</w:t>
      </w:r>
    </w:p>
    <w:p>
      <w:pPr>
        <w:spacing w:after="0" w:line="199" w:lineRule="auto"/>
        <w:rPr>
          <w:sz w:val="20"/>
          <w:szCs w:val="20"/>
          <w:color w:val="auto"/>
        </w:rPr>
      </w:pPr>
      <w:r>
        <w:rPr>
          <w:rFonts w:ascii="Arial" w:cs="Arial" w:eastAsia="Arial" w:hAnsi="Arial"/>
          <w:sz w:val="16"/>
          <w:szCs w:val="16"/>
          <w:color w:val="auto"/>
        </w:rPr>
        <w:t>Consolidated Entertainment, LLC (Nevada)</w:t>
      </w:r>
    </w:p>
    <w:p>
      <w:pPr>
        <w:spacing w:after="0" w:line="199" w:lineRule="auto"/>
        <w:rPr>
          <w:sz w:val="20"/>
          <w:szCs w:val="20"/>
          <w:color w:val="auto"/>
        </w:rPr>
      </w:pPr>
      <w:r>
        <w:rPr>
          <w:rFonts w:ascii="Arial" w:cs="Arial" w:eastAsia="Arial" w:hAnsi="Arial"/>
          <w:sz w:val="16"/>
          <w:szCs w:val="16"/>
          <w:color w:val="auto"/>
        </w:rPr>
        <w:t>Courtenay Car Park Ltd (New Zealand)</w:t>
      </w:r>
    </w:p>
    <w:p>
      <w:pPr>
        <w:spacing w:after="0" w:line="199" w:lineRule="auto"/>
        <w:rPr>
          <w:sz w:val="20"/>
          <w:szCs w:val="20"/>
          <w:color w:val="auto"/>
        </w:rPr>
      </w:pPr>
      <w:r>
        <w:rPr>
          <w:rFonts w:ascii="Arial" w:cs="Arial" w:eastAsia="Arial" w:hAnsi="Arial"/>
          <w:sz w:val="16"/>
          <w:szCs w:val="16"/>
          <w:color w:val="auto"/>
        </w:rPr>
        <w:t>Craig Corporation (Nevada)</w:t>
      </w:r>
    </w:p>
    <w:p>
      <w:pPr>
        <w:spacing w:after="0" w:line="200" w:lineRule="auto"/>
        <w:rPr>
          <w:sz w:val="20"/>
          <w:szCs w:val="20"/>
          <w:color w:val="auto"/>
        </w:rPr>
      </w:pPr>
      <w:r>
        <w:rPr>
          <w:rFonts w:ascii="Arial" w:cs="Arial" w:eastAsia="Arial" w:hAnsi="Arial"/>
          <w:sz w:val="16"/>
          <w:szCs w:val="16"/>
          <w:color w:val="auto"/>
        </w:rPr>
        <w:t>Darnelle Enterprises Ltd (New Zealand)</w:t>
      </w:r>
    </w:p>
    <w:p>
      <w:pPr>
        <w:spacing w:after="0" w:line="199" w:lineRule="auto"/>
        <w:rPr>
          <w:sz w:val="20"/>
          <w:szCs w:val="20"/>
          <w:color w:val="auto"/>
        </w:rPr>
      </w:pPr>
      <w:r>
        <w:rPr>
          <w:rFonts w:ascii="Arial" w:cs="Arial" w:eastAsia="Arial" w:hAnsi="Arial"/>
          <w:sz w:val="16"/>
          <w:szCs w:val="16"/>
          <w:color w:val="auto"/>
        </w:rPr>
        <w:t>Dimension Specialty, Inc. (Delaware)</w:t>
      </w:r>
    </w:p>
    <w:p>
      <w:pPr>
        <w:spacing w:after="0" w:line="199" w:lineRule="auto"/>
        <w:rPr>
          <w:sz w:val="20"/>
          <w:szCs w:val="20"/>
          <w:color w:val="auto"/>
        </w:rPr>
      </w:pPr>
      <w:r>
        <w:rPr>
          <w:rFonts w:ascii="Arial" w:cs="Arial" w:eastAsia="Arial" w:hAnsi="Arial"/>
          <w:sz w:val="16"/>
          <w:szCs w:val="16"/>
          <w:color w:val="auto"/>
        </w:rPr>
        <w:t>Epping Cinemas Pty Ltd (Australia)</w:t>
      </w:r>
    </w:p>
    <w:p>
      <w:pPr>
        <w:spacing w:after="0" w:line="199" w:lineRule="auto"/>
        <w:rPr>
          <w:sz w:val="20"/>
          <w:szCs w:val="20"/>
          <w:color w:val="auto"/>
        </w:rPr>
      </w:pPr>
      <w:r>
        <w:rPr>
          <w:rFonts w:ascii="Arial" w:cs="Arial" w:eastAsia="Arial" w:hAnsi="Arial"/>
          <w:sz w:val="16"/>
          <w:szCs w:val="16"/>
          <w:color w:val="auto"/>
        </w:rPr>
        <w:t>Gaslamp Theatres, LLC (Nevada)</w:t>
      </w:r>
    </w:p>
    <w:p>
      <w:pPr>
        <w:spacing w:after="0" w:line="199" w:lineRule="auto"/>
        <w:rPr>
          <w:sz w:val="20"/>
          <w:szCs w:val="20"/>
          <w:color w:val="auto"/>
        </w:rPr>
      </w:pPr>
      <w:r>
        <w:rPr>
          <w:rFonts w:ascii="Arial" w:cs="Arial" w:eastAsia="Arial" w:hAnsi="Arial"/>
          <w:sz w:val="16"/>
          <w:szCs w:val="16"/>
          <w:color w:val="auto"/>
        </w:rPr>
        <w:t>Hope Street Hospitality, LLC (Delaware)</w:t>
      </w:r>
    </w:p>
    <w:p>
      <w:pPr>
        <w:spacing w:after="0" w:line="199" w:lineRule="auto"/>
        <w:rPr>
          <w:sz w:val="20"/>
          <w:szCs w:val="20"/>
          <w:color w:val="auto"/>
        </w:rPr>
      </w:pPr>
      <w:r>
        <w:rPr>
          <w:rFonts w:ascii="Arial" w:cs="Arial" w:eastAsia="Arial" w:hAnsi="Arial"/>
          <w:sz w:val="16"/>
          <w:szCs w:val="16"/>
          <w:color w:val="auto"/>
        </w:rPr>
        <w:t>Hotel Newmarket Pty Ltd (Australia)</w:t>
      </w:r>
    </w:p>
    <w:p>
      <w:pPr>
        <w:spacing w:after="0" w:line="200" w:lineRule="auto"/>
        <w:rPr>
          <w:sz w:val="20"/>
          <w:szCs w:val="20"/>
          <w:color w:val="auto"/>
        </w:rPr>
      </w:pPr>
      <w:r>
        <w:rPr>
          <w:rFonts w:ascii="Arial" w:cs="Arial" w:eastAsia="Arial" w:hAnsi="Arial"/>
          <w:sz w:val="16"/>
          <w:szCs w:val="16"/>
          <w:color w:val="auto"/>
        </w:rPr>
        <w:t>Kaahumanu Cinemas, LLC (Nevada)</w:t>
      </w:r>
    </w:p>
    <w:p>
      <w:pPr>
        <w:spacing w:after="0" w:line="199" w:lineRule="auto"/>
        <w:rPr>
          <w:sz w:val="20"/>
          <w:szCs w:val="20"/>
          <w:color w:val="auto"/>
        </w:rPr>
      </w:pPr>
      <w:r>
        <w:rPr>
          <w:rFonts w:ascii="Arial" w:cs="Arial" w:eastAsia="Arial" w:hAnsi="Arial"/>
          <w:sz w:val="16"/>
          <w:szCs w:val="16"/>
          <w:color w:val="auto"/>
        </w:rPr>
        <w:t>Kahala Cinema Company LLC (Nevada)</w:t>
      </w:r>
    </w:p>
    <w:p>
      <w:pPr>
        <w:spacing w:after="0" w:line="199" w:lineRule="auto"/>
        <w:rPr>
          <w:sz w:val="20"/>
          <w:szCs w:val="20"/>
          <w:color w:val="auto"/>
        </w:rPr>
      </w:pPr>
      <w:r>
        <w:rPr>
          <w:rFonts w:ascii="Arial" w:cs="Arial" w:eastAsia="Arial" w:hAnsi="Arial"/>
          <w:sz w:val="16"/>
          <w:szCs w:val="16"/>
          <w:color w:val="auto"/>
        </w:rPr>
        <w:t>Liberty Live, LLC (Nevada)</w:t>
      </w:r>
    </w:p>
    <w:p>
      <w:pPr>
        <w:spacing w:after="0" w:line="199" w:lineRule="auto"/>
        <w:rPr>
          <w:sz w:val="20"/>
          <w:szCs w:val="20"/>
          <w:color w:val="auto"/>
        </w:rPr>
      </w:pPr>
      <w:r>
        <w:rPr>
          <w:rFonts w:ascii="Arial" w:cs="Arial" w:eastAsia="Arial" w:hAnsi="Arial"/>
          <w:sz w:val="16"/>
          <w:szCs w:val="16"/>
          <w:color w:val="auto"/>
        </w:rPr>
        <w:t>Liberty Theaters, LLC (Nevada)</w:t>
      </w:r>
    </w:p>
    <w:p>
      <w:pPr>
        <w:spacing w:after="0" w:line="199" w:lineRule="auto"/>
        <w:rPr>
          <w:sz w:val="20"/>
          <w:szCs w:val="20"/>
          <w:color w:val="auto"/>
        </w:rPr>
      </w:pPr>
      <w:r>
        <w:rPr>
          <w:rFonts w:ascii="Arial" w:cs="Arial" w:eastAsia="Arial" w:hAnsi="Arial"/>
          <w:sz w:val="16"/>
          <w:szCs w:val="16"/>
          <w:color w:val="auto"/>
        </w:rPr>
        <w:t>Liberty Theatricals, LLC (Nevada)</w:t>
      </w:r>
    </w:p>
    <w:p>
      <w:pPr>
        <w:spacing w:after="0" w:line="200" w:lineRule="auto"/>
        <w:rPr>
          <w:sz w:val="20"/>
          <w:szCs w:val="20"/>
          <w:color w:val="auto"/>
        </w:rPr>
      </w:pPr>
      <w:r>
        <w:rPr>
          <w:rFonts w:ascii="Arial" w:cs="Arial" w:eastAsia="Arial" w:hAnsi="Arial"/>
          <w:sz w:val="16"/>
          <w:szCs w:val="16"/>
          <w:color w:val="auto"/>
        </w:rPr>
        <w:t>Minetta Live, LLC (Nevada)</w:t>
      </w:r>
    </w:p>
    <w:p>
      <w:pPr>
        <w:spacing w:after="0" w:line="199" w:lineRule="auto"/>
        <w:rPr>
          <w:sz w:val="20"/>
          <w:szCs w:val="20"/>
          <w:color w:val="auto"/>
        </w:rPr>
      </w:pPr>
      <w:r>
        <w:rPr>
          <w:rFonts w:ascii="Arial" w:cs="Arial" w:eastAsia="Arial" w:hAnsi="Arial"/>
          <w:sz w:val="16"/>
          <w:szCs w:val="16"/>
          <w:color w:val="auto"/>
        </w:rPr>
        <w:t>Movieland Cinemas (NZ) Ltd (New Zealand)</w:t>
      </w:r>
    </w:p>
    <w:p>
      <w:pPr>
        <w:spacing w:after="0" w:line="199" w:lineRule="auto"/>
        <w:rPr>
          <w:sz w:val="20"/>
          <w:szCs w:val="20"/>
          <w:color w:val="auto"/>
        </w:rPr>
      </w:pPr>
      <w:r>
        <w:rPr>
          <w:rFonts w:ascii="Arial" w:cs="Arial" w:eastAsia="Arial" w:hAnsi="Arial"/>
          <w:sz w:val="16"/>
          <w:szCs w:val="16"/>
          <w:color w:val="auto"/>
        </w:rPr>
        <w:t>New Zealand Equipment Supply Limited (New Zealand)</w:t>
      </w:r>
    </w:p>
    <w:p>
      <w:pPr>
        <w:spacing w:after="0" w:line="199" w:lineRule="auto"/>
        <w:rPr>
          <w:sz w:val="20"/>
          <w:szCs w:val="20"/>
          <w:color w:val="auto"/>
        </w:rPr>
      </w:pPr>
      <w:r>
        <w:rPr>
          <w:rFonts w:ascii="Arial" w:cs="Arial" w:eastAsia="Arial" w:hAnsi="Arial"/>
          <w:sz w:val="16"/>
          <w:szCs w:val="16"/>
          <w:color w:val="auto"/>
        </w:rPr>
        <w:t>Newmarket Properties #3 Pty Ltd (Australia)</w:t>
      </w:r>
    </w:p>
    <w:p>
      <w:pPr>
        <w:spacing w:after="0" w:line="199" w:lineRule="auto"/>
        <w:rPr>
          <w:sz w:val="20"/>
          <w:szCs w:val="20"/>
          <w:color w:val="auto"/>
        </w:rPr>
      </w:pPr>
      <w:r>
        <w:rPr>
          <w:rFonts w:ascii="Arial" w:cs="Arial" w:eastAsia="Arial" w:hAnsi="Arial"/>
          <w:sz w:val="16"/>
          <w:szCs w:val="16"/>
          <w:color w:val="auto"/>
        </w:rPr>
        <w:t>Newmarket Properties No. 2 Pty Ltd (Australia)</w:t>
      </w:r>
    </w:p>
    <w:p>
      <w:pPr>
        <w:spacing w:after="0" w:line="199" w:lineRule="auto"/>
        <w:rPr>
          <w:sz w:val="20"/>
          <w:szCs w:val="20"/>
          <w:color w:val="auto"/>
        </w:rPr>
      </w:pPr>
      <w:r>
        <w:rPr>
          <w:rFonts w:ascii="Arial" w:cs="Arial" w:eastAsia="Arial" w:hAnsi="Arial"/>
          <w:sz w:val="16"/>
          <w:szCs w:val="16"/>
          <w:color w:val="auto"/>
        </w:rPr>
        <w:t>Newmarket Properties Pty Ltd (Australia)</w:t>
      </w:r>
    </w:p>
    <w:p>
      <w:pPr>
        <w:spacing w:after="0" w:line="200" w:lineRule="auto"/>
        <w:rPr>
          <w:sz w:val="20"/>
          <w:szCs w:val="20"/>
          <w:color w:val="auto"/>
        </w:rPr>
      </w:pPr>
      <w:r>
        <w:rPr>
          <w:rFonts w:ascii="Arial" w:cs="Arial" w:eastAsia="Arial" w:hAnsi="Arial"/>
          <w:sz w:val="16"/>
          <w:szCs w:val="16"/>
          <w:color w:val="auto"/>
        </w:rPr>
        <w:t>Orpheum Live, LLC (Nevada)</w:t>
      </w:r>
    </w:p>
    <w:p>
      <w:pPr>
        <w:spacing w:after="0" w:line="199" w:lineRule="auto"/>
        <w:rPr>
          <w:sz w:val="20"/>
          <w:szCs w:val="20"/>
          <w:color w:val="auto"/>
        </w:rPr>
      </w:pPr>
      <w:r>
        <w:rPr>
          <w:rFonts w:ascii="Arial" w:cs="Arial" w:eastAsia="Arial" w:hAnsi="Arial"/>
          <w:sz w:val="16"/>
          <w:szCs w:val="16"/>
          <w:color w:val="auto"/>
        </w:rPr>
        <w:t>Port Reading Co (New Jersey)</w:t>
      </w:r>
    </w:p>
    <w:p>
      <w:pPr>
        <w:spacing w:after="0" w:line="199" w:lineRule="auto"/>
        <w:rPr>
          <w:sz w:val="20"/>
          <w:szCs w:val="20"/>
          <w:color w:val="auto"/>
        </w:rPr>
      </w:pPr>
      <w:r>
        <w:rPr>
          <w:rFonts w:ascii="Arial" w:cs="Arial" w:eastAsia="Arial" w:hAnsi="Arial"/>
          <w:sz w:val="16"/>
          <w:szCs w:val="16"/>
          <w:color w:val="auto"/>
        </w:rPr>
        <w:t>Queenstown Land Holdings Ltd (New Zealand)</w:t>
      </w:r>
    </w:p>
    <w:p>
      <w:pPr>
        <w:spacing w:after="0" w:line="199" w:lineRule="auto"/>
        <w:rPr>
          <w:sz w:val="20"/>
          <w:szCs w:val="20"/>
          <w:color w:val="auto"/>
        </w:rPr>
      </w:pPr>
      <w:r>
        <w:rPr>
          <w:rFonts w:ascii="Arial" w:cs="Arial" w:eastAsia="Arial" w:hAnsi="Arial"/>
          <w:sz w:val="16"/>
          <w:szCs w:val="16"/>
          <w:color w:val="auto"/>
        </w:rPr>
        <w:t>RDI Employee Investment Fund LLC (California)</w:t>
      </w:r>
    </w:p>
    <w:p>
      <w:pPr>
        <w:spacing w:after="0" w:line="199" w:lineRule="auto"/>
        <w:rPr>
          <w:sz w:val="20"/>
          <w:szCs w:val="20"/>
          <w:color w:val="auto"/>
        </w:rPr>
      </w:pPr>
      <w:r>
        <w:rPr>
          <w:rFonts w:ascii="Arial" w:cs="Arial" w:eastAsia="Arial" w:hAnsi="Arial"/>
          <w:sz w:val="16"/>
          <w:szCs w:val="16"/>
          <w:color w:val="auto"/>
        </w:rPr>
        <w:t>Reading Arthouse Distribution Ltd (New Zealand)</w:t>
      </w:r>
    </w:p>
    <w:p>
      <w:pPr>
        <w:spacing w:after="0" w:line="199" w:lineRule="auto"/>
        <w:rPr>
          <w:sz w:val="20"/>
          <w:szCs w:val="20"/>
          <w:color w:val="auto"/>
        </w:rPr>
      </w:pPr>
      <w:r>
        <w:rPr>
          <w:rFonts w:ascii="Arial" w:cs="Arial" w:eastAsia="Arial" w:hAnsi="Arial"/>
          <w:sz w:val="16"/>
          <w:szCs w:val="16"/>
          <w:color w:val="auto"/>
        </w:rPr>
        <w:t>Reading Auburn Pty Ltd (Australia)</w:t>
      </w:r>
    </w:p>
    <w:p>
      <w:pPr>
        <w:spacing w:after="0" w:line="200" w:lineRule="auto"/>
        <w:rPr>
          <w:sz w:val="20"/>
          <w:szCs w:val="20"/>
          <w:color w:val="auto"/>
        </w:rPr>
      </w:pPr>
      <w:r>
        <w:rPr>
          <w:rFonts w:ascii="Arial" w:cs="Arial" w:eastAsia="Arial" w:hAnsi="Arial"/>
          <w:sz w:val="16"/>
          <w:szCs w:val="16"/>
          <w:color w:val="auto"/>
        </w:rPr>
        <w:t>Reading Australia Leasing (E&amp;R) Pty Ltd (Australia)</w:t>
      </w:r>
    </w:p>
    <w:p>
      <w:pPr>
        <w:spacing w:after="0" w:line="199" w:lineRule="auto"/>
        <w:rPr>
          <w:sz w:val="20"/>
          <w:szCs w:val="20"/>
          <w:color w:val="auto"/>
        </w:rPr>
      </w:pPr>
      <w:r>
        <w:rPr>
          <w:rFonts w:ascii="Arial" w:cs="Arial" w:eastAsia="Arial" w:hAnsi="Arial"/>
          <w:sz w:val="16"/>
          <w:szCs w:val="16"/>
          <w:color w:val="auto"/>
        </w:rPr>
        <w:t>Reading Belmont Pty Ltd (Australia)</w:t>
      </w:r>
    </w:p>
    <w:p>
      <w:pPr>
        <w:spacing w:after="0"/>
        <w:rPr>
          <w:sz w:val="20"/>
          <w:szCs w:val="20"/>
          <w:color w:val="auto"/>
        </w:rPr>
      </w:pPr>
      <w:r>
        <w:rPr>
          <w:rFonts w:ascii="Arial" w:cs="Arial" w:eastAsia="Arial" w:hAnsi="Arial"/>
          <w:sz w:val="16"/>
          <w:szCs w:val="16"/>
          <w:color w:val="auto"/>
        </w:rPr>
        <w:t>Reading Capital Corporation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5872480" cy="476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auto"/>
        </w:rPr>
        <w:t>Reading Center Development Corporation (Pennsylvania)</w:t>
      </w:r>
    </w:p>
    <w:p>
      <w:pPr>
        <w:spacing w:after="0" w:line="221" w:lineRule="auto"/>
        <w:rPr>
          <w:sz w:val="20"/>
          <w:szCs w:val="20"/>
          <w:color w:val="auto"/>
        </w:rPr>
      </w:pPr>
      <w:r>
        <w:rPr>
          <w:rFonts w:ascii="Arial" w:cs="Arial" w:eastAsia="Arial" w:hAnsi="Arial"/>
          <w:sz w:val="16"/>
          <w:szCs w:val="16"/>
          <w:color w:val="auto"/>
        </w:rPr>
        <w:t>Reading Charlestown Pty Ltd (Australia)</w:t>
      </w:r>
    </w:p>
    <w:p>
      <w:pPr>
        <w:spacing w:after="0"/>
        <w:rPr>
          <w:sz w:val="20"/>
          <w:szCs w:val="20"/>
          <w:color w:val="auto"/>
        </w:rPr>
      </w:pPr>
      <w:r>
        <w:rPr>
          <w:rFonts w:ascii="Arial" w:cs="Arial" w:eastAsia="Arial" w:hAnsi="Arial"/>
          <w:sz w:val="13"/>
          <w:szCs w:val="13"/>
          <w:color w:val="auto"/>
        </w:rPr>
        <w:t>Reading Cinemas Courtenay Central Ltd (New Zealand)</w:t>
      </w:r>
    </w:p>
    <w:p>
      <w:pPr>
        <w:spacing w:after="0" w:line="203" w:lineRule="auto"/>
        <w:rPr>
          <w:sz w:val="20"/>
          <w:szCs w:val="20"/>
          <w:color w:val="auto"/>
        </w:rPr>
      </w:pPr>
      <w:r>
        <w:rPr>
          <w:rFonts w:ascii="Arial" w:cs="Arial" w:eastAsia="Arial" w:hAnsi="Arial"/>
          <w:sz w:val="16"/>
          <w:szCs w:val="16"/>
          <w:color w:val="auto"/>
        </w:rPr>
        <w:t>Reading Cinemas Management Pty Ltd (Australia)</w:t>
      </w:r>
    </w:p>
    <w:p>
      <w:pPr>
        <w:spacing w:after="0" w:line="199" w:lineRule="auto"/>
        <w:rPr>
          <w:sz w:val="20"/>
          <w:szCs w:val="20"/>
          <w:color w:val="auto"/>
        </w:rPr>
      </w:pPr>
      <w:r>
        <w:rPr>
          <w:rFonts w:ascii="Arial" w:cs="Arial" w:eastAsia="Arial" w:hAnsi="Arial"/>
          <w:sz w:val="16"/>
          <w:szCs w:val="16"/>
          <w:color w:val="auto"/>
        </w:rPr>
        <w:t>Reading Cinemas NJ, Inc. (Delaware)</w:t>
      </w:r>
    </w:p>
    <w:p>
      <w:pPr>
        <w:spacing w:after="0" w:line="199" w:lineRule="auto"/>
        <w:rPr>
          <w:sz w:val="20"/>
          <w:szCs w:val="20"/>
          <w:color w:val="auto"/>
        </w:rPr>
      </w:pPr>
      <w:r>
        <w:rPr>
          <w:rFonts w:ascii="Arial" w:cs="Arial" w:eastAsia="Arial" w:hAnsi="Arial"/>
          <w:sz w:val="16"/>
          <w:szCs w:val="16"/>
          <w:color w:val="auto"/>
        </w:rPr>
        <w:t>Reading Cinemas of Puerto Rico, Inc. (Puerto Rico)</w:t>
      </w:r>
    </w:p>
    <w:p>
      <w:pPr>
        <w:spacing w:after="0" w:line="199" w:lineRule="auto"/>
        <w:rPr>
          <w:sz w:val="20"/>
          <w:szCs w:val="20"/>
          <w:color w:val="auto"/>
        </w:rPr>
      </w:pPr>
      <w:r>
        <w:rPr>
          <w:rFonts w:ascii="Arial" w:cs="Arial" w:eastAsia="Arial" w:hAnsi="Arial"/>
          <w:sz w:val="16"/>
          <w:szCs w:val="16"/>
          <w:color w:val="auto"/>
        </w:rPr>
        <w:t>Reading Cinemas Pty Ltd (Australia)</w:t>
      </w:r>
    </w:p>
    <w:p>
      <w:pPr>
        <w:spacing w:after="0" w:line="200" w:lineRule="auto"/>
        <w:rPr>
          <w:sz w:val="20"/>
          <w:szCs w:val="20"/>
          <w:color w:val="auto"/>
        </w:rPr>
      </w:pPr>
      <w:r>
        <w:rPr>
          <w:rFonts w:ascii="Arial" w:cs="Arial" w:eastAsia="Arial" w:hAnsi="Arial"/>
          <w:sz w:val="16"/>
          <w:szCs w:val="16"/>
          <w:color w:val="auto"/>
        </w:rPr>
        <w:t>Reading Cinemas Puerto Rico LLC (Nevada)</w:t>
      </w:r>
    </w:p>
    <w:p>
      <w:pPr>
        <w:spacing w:after="0" w:line="199" w:lineRule="auto"/>
        <w:rPr>
          <w:sz w:val="20"/>
          <w:szCs w:val="20"/>
          <w:color w:val="auto"/>
        </w:rPr>
      </w:pPr>
      <w:r>
        <w:rPr>
          <w:rFonts w:ascii="Arial" w:cs="Arial" w:eastAsia="Arial" w:hAnsi="Arial"/>
          <w:sz w:val="16"/>
          <w:szCs w:val="16"/>
          <w:color w:val="auto"/>
        </w:rPr>
        <w:t>Reading Cinemas USA LLC (Nevada)</w:t>
      </w:r>
    </w:p>
    <w:p>
      <w:pPr>
        <w:spacing w:after="0" w:line="199" w:lineRule="auto"/>
        <w:rPr>
          <w:sz w:val="20"/>
          <w:szCs w:val="20"/>
          <w:color w:val="auto"/>
        </w:rPr>
      </w:pPr>
      <w:r>
        <w:rPr>
          <w:rFonts w:ascii="Arial" w:cs="Arial" w:eastAsia="Arial" w:hAnsi="Arial"/>
          <w:sz w:val="16"/>
          <w:szCs w:val="16"/>
          <w:color w:val="auto"/>
        </w:rPr>
        <w:t>Reading Colac Pty Ltd (Australia)</w:t>
      </w:r>
    </w:p>
    <w:p>
      <w:pPr>
        <w:spacing w:after="0" w:line="199" w:lineRule="auto"/>
        <w:rPr>
          <w:sz w:val="20"/>
          <w:szCs w:val="20"/>
          <w:color w:val="auto"/>
        </w:rPr>
      </w:pPr>
      <w:r>
        <w:rPr>
          <w:rFonts w:ascii="Arial" w:cs="Arial" w:eastAsia="Arial" w:hAnsi="Arial"/>
          <w:sz w:val="16"/>
          <w:szCs w:val="16"/>
          <w:color w:val="auto"/>
        </w:rPr>
        <w:t>Reading Company (Pennsylvania)</w:t>
      </w:r>
    </w:p>
    <w:p>
      <w:pPr>
        <w:spacing w:after="0" w:line="213" w:lineRule="auto"/>
        <w:rPr>
          <w:sz w:val="20"/>
          <w:szCs w:val="20"/>
          <w:color w:val="auto"/>
        </w:rPr>
      </w:pPr>
      <w:r>
        <w:rPr>
          <w:rFonts w:ascii="Arial" w:cs="Arial" w:eastAsia="Arial" w:hAnsi="Arial"/>
          <w:sz w:val="15"/>
          <w:szCs w:val="15"/>
          <w:color w:val="auto"/>
        </w:rPr>
        <w:t>Reading Consolidated Holdings (Hawaii), Inc. (Hawaii)</w:t>
      </w:r>
    </w:p>
    <w:p>
      <w:pPr>
        <w:spacing w:after="0" w:line="199" w:lineRule="auto"/>
        <w:rPr>
          <w:sz w:val="20"/>
          <w:szCs w:val="20"/>
          <w:color w:val="auto"/>
        </w:rPr>
      </w:pPr>
      <w:r>
        <w:rPr>
          <w:rFonts w:ascii="Arial" w:cs="Arial" w:eastAsia="Arial" w:hAnsi="Arial"/>
          <w:sz w:val="16"/>
          <w:szCs w:val="16"/>
          <w:color w:val="auto"/>
        </w:rPr>
        <w:t>Reading Consolidated Holdings, Inc. (Nevada)</w:t>
      </w:r>
    </w:p>
    <w:p>
      <w:pPr>
        <w:spacing w:after="0" w:line="199" w:lineRule="auto"/>
        <w:rPr>
          <w:sz w:val="20"/>
          <w:szCs w:val="20"/>
          <w:color w:val="auto"/>
        </w:rPr>
      </w:pPr>
      <w:r>
        <w:rPr>
          <w:rFonts w:ascii="Arial" w:cs="Arial" w:eastAsia="Arial" w:hAnsi="Arial"/>
          <w:sz w:val="16"/>
          <w:szCs w:val="16"/>
          <w:color w:val="auto"/>
        </w:rPr>
        <w:t>Reading Courtenay Central Limited (New Zealand)</w:t>
      </w:r>
    </w:p>
    <w:p>
      <w:pPr>
        <w:spacing w:after="0" w:line="199" w:lineRule="auto"/>
        <w:rPr>
          <w:sz w:val="20"/>
          <w:szCs w:val="20"/>
          <w:color w:val="auto"/>
        </w:rPr>
      </w:pPr>
      <w:r>
        <w:rPr>
          <w:rFonts w:ascii="Arial" w:cs="Arial" w:eastAsia="Arial" w:hAnsi="Arial"/>
          <w:sz w:val="16"/>
          <w:szCs w:val="16"/>
          <w:color w:val="auto"/>
        </w:rPr>
        <w:t>Reading Dandenong Pty Ltd (Australia)</w:t>
      </w:r>
    </w:p>
    <w:p>
      <w:pPr>
        <w:spacing w:after="0" w:line="199" w:lineRule="auto"/>
        <w:rPr>
          <w:sz w:val="20"/>
          <w:szCs w:val="20"/>
          <w:color w:val="auto"/>
        </w:rPr>
      </w:pPr>
      <w:r>
        <w:rPr>
          <w:rFonts w:ascii="Arial" w:cs="Arial" w:eastAsia="Arial" w:hAnsi="Arial"/>
          <w:sz w:val="16"/>
          <w:szCs w:val="16"/>
          <w:color w:val="auto"/>
        </w:rPr>
        <w:t>Reading Dunedin Limited (New Zealand)</w:t>
      </w:r>
    </w:p>
    <w:p>
      <w:pPr>
        <w:spacing w:after="0" w:line="199" w:lineRule="auto"/>
        <w:rPr>
          <w:sz w:val="20"/>
          <w:szCs w:val="20"/>
          <w:color w:val="auto"/>
        </w:rPr>
      </w:pPr>
      <w:r>
        <w:rPr>
          <w:rFonts w:ascii="Arial" w:cs="Arial" w:eastAsia="Arial" w:hAnsi="Arial"/>
          <w:sz w:val="16"/>
          <w:szCs w:val="16"/>
          <w:color w:val="auto"/>
        </w:rPr>
        <w:t>Reading Elizabeth Pty Ltd (Australia)</w:t>
      </w:r>
    </w:p>
    <w:p>
      <w:pPr>
        <w:spacing w:after="0" w:line="200" w:lineRule="auto"/>
        <w:rPr>
          <w:sz w:val="20"/>
          <w:szCs w:val="20"/>
          <w:color w:val="auto"/>
        </w:rPr>
      </w:pPr>
      <w:r>
        <w:rPr>
          <w:rFonts w:ascii="Arial" w:cs="Arial" w:eastAsia="Arial" w:hAnsi="Arial"/>
          <w:sz w:val="16"/>
          <w:szCs w:val="16"/>
          <w:color w:val="auto"/>
        </w:rPr>
        <w:t>Reading Entertainment Australia Pty Ltd (Australia)</w:t>
      </w:r>
    </w:p>
    <w:p>
      <w:pPr>
        <w:spacing w:after="0" w:line="199" w:lineRule="auto"/>
        <w:rPr>
          <w:sz w:val="20"/>
          <w:szCs w:val="20"/>
          <w:color w:val="auto"/>
        </w:rPr>
      </w:pPr>
      <w:r>
        <w:rPr>
          <w:rFonts w:ascii="Arial" w:cs="Arial" w:eastAsia="Arial" w:hAnsi="Arial"/>
          <w:sz w:val="16"/>
          <w:szCs w:val="16"/>
          <w:color w:val="auto"/>
        </w:rPr>
        <w:t>Reading Exhibition Pty Ltd (Australia)</w:t>
      </w:r>
    </w:p>
    <w:p>
      <w:pPr>
        <w:spacing w:after="0" w:line="199" w:lineRule="auto"/>
        <w:rPr>
          <w:sz w:val="20"/>
          <w:szCs w:val="20"/>
          <w:color w:val="auto"/>
        </w:rPr>
      </w:pPr>
      <w:r>
        <w:rPr>
          <w:rFonts w:ascii="Arial" w:cs="Arial" w:eastAsia="Arial" w:hAnsi="Arial"/>
          <w:sz w:val="16"/>
          <w:szCs w:val="16"/>
          <w:color w:val="auto"/>
        </w:rPr>
        <w:t>Reading Foundation, LTD (Nevada)</w:t>
      </w:r>
    </w:p>
    <w:p>
      <w:pPr>
        <w:spacing w:after="0" w:line="199" w:lineRule="auto"/>
        <w:rPr>
          <w:sz w:val="20"/>
          <w:szCs w:val="20"/>
          <w:color w:val="auto"/>
        </w:rPr>
      </w:pPr>
      <w:r>
        <w:rPr>
          <w:rFonts w:ascii="Arial" w:cs="Arial" w:eastAsia="Arial" w:hAnsi="Arial"/>
          <w:sz w:val="16"/>
          <w:szCs w:val="16"/>
          <w:color w:val="auto"/>
        </w:rPr>
        <w:t>Reading Holdings, Inc. (Nevada)</w:t>
      </w:r>
    </w:p>
    <w:p>
      <w:pPr>
        <w:spacing w:after="0" w:line="199" w:lineRule="auto"/>
        <w:rPr>
          <w:sz w:val="20"/>
          <w:szCs w:val="20"/>
          <w:color w:val="auto"/>
        </w:rPr>
      </w:pPr>
      <w:r>
        <w:rPr>
          <w:rFonts w:ascii="Arial" w:cs="Arial" w:eastAsia="Arial" w:hAnsi="Arial"/>
          <w:sz w:val="16"/>
          <w:szCs w:val="16"/>
          <w:color w:val="auto"/>
        </w:rPr>
        <w:t>Reading International Cinemas LLC (Delaware)</w:t>
      </w:r>
    </w:p>
    <w:p>
      <w:pPr>
        <w:spacing w:after="0" w:line="213" w:lineRule="auto"/>
        <w:rPr>
          <w:sz w:val="20"/>
          <w:szCs w:val="20"/>
          <w:color w:val="auto"/>
        </w:rPr>
      </w:pPr>
      <w:r>
        <w:rPr>
          <w:rFonts w:ascii="Arial" w:cs="Arial" w:eastAsia="Arial" w:hAnsi="Arial"/>
          <w:sz w:val="15"/>
          <w:szCs w:val="15"/>
          <w:color w:val="auto"/>
        </w:rPr>
        <w:t>Reading International Services Company (California)</w:t>
      </w:r>
    </w:p>
    <w:p>
      <w:pPr>
        <w:spacing w:after="0" w:line="199" w:lineRule="auto"/>
        <w:rPr>
          <w:sz w:val="20"/>
          <w:szCs w:val="20"/>
          <w:color w:val="auto"/>
        </w:rPr>
      </w:pPr>
      <w:r>
        <w:rPr>
          <w:rFonts w:ascii="Arial" w:cs="Arial" w:eastAsia="Arial" w:hAnsi="Arial"/>
          <w:sz w:val="16"/>
          <w:szCs w:val="16"/>
          <w:color w:val="auto"/>
        </w:rPr>
        <w:t>Reading Licenses Pty Ltd (Australia)</w:t>
      </w:r>
    </w:p>
    <w:p>
      <w:pPr>
        <w:spacing w:after="0" w:line="199" w:lineRule="auto"/>
        <w:rPr>
          <w:sz w:val="20"/>
          <w:szCs w:val="20"/>
          <w:color w:val="auto"/>
        </w:rPr>
      </w:pPr>
      <w:r>
        <w:rPr>
          <w:rFonts w:ascii="Arial" w:cs="Arial" w:eastAsia="Arial" w:hAnsi="Arial"/>
          <w:sz w:val="16"/>
          <w:szCs w:val="16"/>
          <w:color w:val="auto"/>
        </w:rPr>
        <w:t>Reading Maitland Pty Ltd (Australia)</w:t>
      </w:r>
    </w:p>
    <w:p>
      <w:pPr>
        <w:spacing w:after="0" w:line="199" w:lineRule="auto"/>
        <w:rPr>
          <w:sz w:val="20"/>
          <w:szCs w:val="20"/>
          <w:color w:val="auto"/>
        </w:rPr>
      </w:pPr>
      <w:r>
        <w:rPr>
          <w:rFonts w:ascii="Arial" w:cs="Arial" w:eastAsia="Arial" w:hAnsi="Arial"/>
          <w:sz w:val="16"/>
          <w:szCs w:val="16"/>
          <w:color w:val="auto"/>
        </w:rPr>
        <w:t>Reading Malulani, LLC (Nevada)</w:t>
      </w:r>
    </w:p>
    <w:p>
      <w:pPr>
        <w:spacing w:after="0" w:line="200" w:lineRule="auto"/>
        <w:rPr>
          <w:sz w:val="20"/>
          <w:szCs w:val="20"/>
          <w:color w:val="auto"/>
        </w:rPr>
      </w:pPr>
      <w:r>
        <w:rPr>
          <w:rFonts w:ascii="Arial" w:cs="Arial" w:eastAsia="Arial" w:hAnsi="Arial"/>
          <w:sz w:val="16"/>
          <w:szCs w:val="16"/>
          <w:color w:val="auto"/>
        </w:rPr>
        <w:t>Reading Management NZ Limited (New Zealand)</w:t>
      </w:r>
    </w:p>
    <w:p>
      <w:pPr>
        <w:spacing w:after="0" w:line="199" w:lineRule="auto"/>
        <w:rPr>
          <w:sz w:val="20"/>
          <w:szCs w:val="20"/>
          <w:color w:val="auto"/>
        </w:rPr>
      </w:pPr>
      <w:r>
        <w:rPr>
          <w:rFonts w:ascii="Arial" w:cs="Arial" w:eastAsia="Arial" w:hAnsi="Arial"/>
          <w:sz w:val="16"/>
          <w:szCs w:val="16"/>
          <w:color w:val="auto"/>
        </w:rPr>
        <w:t>Reading Melton Pty Ltd (Australia)</w:t>
      </w:r>
    </w:p>
    <w:p>
      <w:pPr>
        <w:spacing w:after="0" w:line="199" w:lineRule="auto"/>
        <w:rPr>
          <w:sz w:val="20"/>
          <w:szCs w:val="20"/>
          <w:color w:val="auto"/>
        </w:rPr>
      </w:pPr>
      <w:r>
        <w:rPr>
          <w:rFonts w:ascii="Arial" w:cs="Arial" w:eastAsia="Arial" w:hAnsi="Arial"/>
          <w:sz w:val="16"/>
          <w:szCs w:val="16"/>
          <w:color w:val="auto"/>
        </w:rPr>
        <w:t>Reading Moonee Ponds Pty Ltd (Australia)</w:t>
      </w:r>
    </w:p>
    <w:p>
      <w:pPr>
        <w:spacing w:after="0" w:line="199" w:lineRule="auto"/>
        <w:rPr>
          <w:sz w:val="20"/>
          <w:szCs w:val="20"/>
          <w:color w:val="auto"/>
        </w:rPr>
      </w:pPr>
      <w:r>
        <w:rPr>
          <w:rFonts w:ascii="Arial" w:cs="Arial" w:eastAsia="Arial" w:hAnsi="Arial"/>
          <w:sz w:val="16"/>
          <w:szCs w:val="16"/>
          <w:color w:val="auto"/>
        </w:rPr>
        <w:t>Reading Murrieta Theater, LLC (Nevada)</w:t>
      </w:r>
    </w:p>
    <w:p>
      <w:pPr>
        <w:spacing w:after="0" w:line="199" w:lineRule="auto"/>
        <w:rPr>
          <w:sz w:val="20"/>
          <w:szCs w:val="20"/>
          <w:color w:val="auto"/>
        </w:rPr>
      </w:pPr>
      <w:r>
        <w:rPr>
          <w:rFonts w:ascii="Arial" w:cs="Arial" w:eastAsia="Arial" w:hAnsi="Arial"/>
          <w:sz w:val="16"/>
          <w:szCs w:val="16"/>
          <w:color w:val="auto"/>
        </w:rPr>
        <w:t>Reading New Lynn Limited (New Zealand)</w:t>
      </w:r>
    </w:p>
    <w:p>
      <w:pPr>
        <w:spacing w:after="0" w:line="199" w:lineRule="auto"/>
        <w:rPr>
          <w:sz w:val="20"/>
          <w:szCs w:val="20"/>
          <w:color w:val="auto"/>
        </w:rPr>
      </w:pPr>
      <w:r>
        <w:rPr>
          <w:rFonts w:ascii="Arial" w:cs="Arial" w:eastAsia="Arial" w:hAnsi="Arial"/>
          <w:sz w:val="16"/>
          <w:szCs w:val="16"/>
          <w:color w:val="auto"/>
        </w:rPr>
        <w:t>Reading New Zealand Ltd (New Zealand)</w:t>
      </w:r>
    </w:p>
    <w:p>
      <w:pPr>
        <w:spacing w:after="0" w:line="200" w:lineRule="auto"/>
        <w:rPr>
          <w:sz w:val="20"/>
          <w:szCs w:val="20"/>
          <w:color w:val="auto"/>
        </w:rPr>
      </w:pPr>
      <w:r>
        <w:rPr>
          <w:rFonts w:ascii="Arial" w:cs="Arial" w:eastAsia="Arial" w:hAnsi="Arial"/>
          <w:sz w:val="16"/>
          <w:szCs w:val="16"/>
          <w:color w:val="auto"/>
        </w:rPr>
        <w:t>Reading Pacific LLC (Nevada)</w:t>
      </w:r>
    </w:p>
    <w:p>
      <w:pPr>
        <w:spacing w:after="0" w:line="199" w:lineRule="auto"/>
        <w:rPr>
          <w:sz w:val="20"/>
          <w:szCs w:val="20"/>
          <w:color w:val="auto"/>
        </w:rPr>
      </w:pPr>
      <w:r>
        <w:rPr>
          <w:rFonts w:ascii="Arial" w:cs="Arial" w:eastAsia="Arial" w:hAnsi="Arial"/>
          <w:sz w:val="16"/>
          <w:szCs w:val="16"/>
          <w:color w:val="auto"/>
        </w:rPr>
        <w:t>Reading Properties Indooroopilly Pty Ltd (Australia)</w:t>
      </w:r>
    </w:p>
    <w:p>
      <w:pPr>
        <w:spacing w:after="0" w:line="199" w:lineRule="auto"/>
        <w:rPr>
          <w:sz w:val="20"/>
          <w:szCs w:val="20"/>
          <w:color w:val="auto"/>
        </w:rPr>
      </w:pPr>
      <w:r>
        <w:rPr>
          <w:rFonts w:ascii="Arial" w:cs="Arial" w:eastAsia="Arial" w:hAnsi="Arial"/>
          <w:sz w:val="16"/>
          <w:szCs w:val="16"/>
          <w:color w:val="auto"/>
        </w:rPr>
        <w:t>Reading Properties Lake Taupo Ltd (New Zealand)</w:t>
      </w:r>
    </w:p>
    <w:p>
      <w:pPr>
        <w:spacing w:after="0" w:line="199" w:lineRule="auto"/>
        <w:rPr>
          <w:sz w:val="20"/>
          <w:szCs w:val="20"/>
          <w:color w:val="auto"/>
        </w:rPr>
      </w:pPr>
      <w:r>
        <w:rPr>
          <w:rFonts w:ascii="Arial" w:cs="Arial" w:eastAsia="Arial" w:hAnsi="Arial"/>
          <w:sz w:val="16"/>
          <w:szCs w:val="16"/>
          <w:color w:val="auto"/>
        </w:rPr>
        <w:t>Reading Properties Manukau Ltd (New Zealand)</w:t>
      </w:r>
    </w:p>
    <w:p>
      <w:pPr>
        <w:spacing w:after="0" w:line="213" w:lineRule="auto"/>
        <w:rPr>
          <w:sz w:val="20"/>
          <w:szCs w:val="20"/>
          <w:color w:val="auto"/>
        </w:rPr>
      </w:pPr>
      <w:r>
        <w:rPr>
          <w:rFonts w:ascii="Arial" w:cs="Arial" w:eastAsia="Arial" w:hAnsi="Arial"/>
          <w:sz w:val="15"/>
          <w:szCs w:val="15"/>
          <w:color w:val="auto"/>
        </w:rPr>
        <w:t>Reading Properties New Zealand Ltd (New Zealand)</w:t>
      </w:r>
    </w:p>
    <w:p>
      <w:pPr>
        <w:spacing w:after="0" w:line="199" w:lineRule="auto"/>
        <w:rPr>
          <w:sz w:val="20"/>
          <w:szCs w:val="20"/>
          <w:color w:val="auto"/>
        </w:rPr>
      </w:pPr>
      <w:r>
        <w:rPr>
          <w:rFonts w:ascii="Arial" w:cs="Arial" w:eastAsia="Arial" w:hAnsi="Arial"/>
          <w:sz w:val="16"/>
          <w:szCs w:val="16"/>
          <w:color w:val="auto"/>
        </w:rPr>
        <w:t>Reading Properties Pty Ltd (Australia)</w:t>
      </w:r>
    </w:p>
    <w:p>
      <w:pPr>
        <w:spacing w:after="0" w:line="199" w:lineRule="auto"/>
        <w:rPr>
          <w:sz w:val="20"/>
          <w:szCs w:val="20"/>
          <w:color w:val="auto"/>
        </w:rPr>
      </w:pPr>
      <w:r>
        <w:rPr>
          <w:rFonts w:ascii="Arial" w:cs="Arial" w:eastAsia="Arial" w:hAnsi="Arial"/>
          <w:sz w:val="16"/>
          <w:szCs w:val="16"/>
          <w:color w:val="auto"/>
        </w:rPr>
        <w:t>Reading Properties Taringa Pty Ltd (Australia)</w:t>
      </w:r>
    </w:p>
    <w:p>
      <w:pPr>
        <w:spacing w:after="0" w:line="199" w:lineRule="auto"/>
        <w:rPr>
          <w:sz w:val="20"/>
          <w:szCs w:val="20"/>
          <w:color w:val="auto"/>
        </w:rPr>
      </w:pPr>
      <w:r>
        <w:rPr>
          <w:rFonts w:ascii="Arial" w:cs="Arial" w:eastAsia="Arial" w:hAnsi="Arial"/>
          <w:sz w:val="16"/>
          <w:szCs w:val="16"/>
          <w:color w:val="auto"/>
        </w:rPr>
        <w:t>Reading Property Holdings Pty Ltd (Australia)</w:t>
      </w:r>
    </w:p>
    <w:p>
      <w:pPr>
        <w:spacing w:after="0" w:line="199" w:lineRule="auto"/>
        <w:rPr>
          <w:sz w:val="20"/>
          <w:szCs w:val="20"/>
          <w:color w:val="auto"/>
        </w:rPr>
      </w:pPr>
      <w:r>
        <w:rPr>
          <w:rFonts w:ascii="Arial" w:cs="Arial" w:eastAsia="Arial" w:hAnsi="Arial"/>
          <w:sz w:val="16"/>
          <w:szCs w:val="16"/>
          <w:color w:val="auto"/>
        </w:rPr>
        <w:t>Reading Queenstown Ltd (New Zealand)</w:t>
      </w:r>
    </w:p>
    <w:p>
      <w:pPr>
        <w:spacing w:after="0" w:line="200" w:lineRule="auto"/>
        <w:rPr>
          <w:sz w:val="20"/>
          <w:szCs w:val="20"/>
          <w:color w:val="auto"/>
        </w:rPr>
      </w:pPr>
      <w:r>
        <w:rPr>
          <w:rFonts w:ascii="Arial" w:cs="Arial" w:eastAsia="Arial" w:hAnsi="Arial"/>
          <w:sz w:val="16"/>
          <w:szCs w:val="16"/>
          <w:color w:val="auto"/>
        </w:rPr>
        <w:t>Reading Real Estate Company (Pennsylvania)</w:t>
      </w:r>
    </w:p>
    <w:p>
      <w:pPr>
        <w:spacing w:after="0"/>
        <w:rPr>
          <w:sz w:val="20"/>
          <w:szCs w:val="20"/>
          <w:color w:val="auto"/>
        </w:rPr>
      </w:pPr>
      <w:r>
        <w:rPr>
          <w:rFonts w:ascii="Arial" w:cs="Arial" w:eastAsia="Arial" w:hAnsi="Arial"/>
          <w:sz w:val="13"/>
          <w:szCs w:val="13"/>
          <w:color w:val="auto"/>
        </w:rPr>
        <w:t>Reading Restaurants New Zealand Limited (New Zealand)</w:t>
      </w:r>
    </w:p>
    <w:p>
      <w:pPr>
        <w:spacing w:after="0" w:line="203" w:lineRule="auto"/>
        <w:rPr>
          <w:sz w:val="20"/>
          <w:szCs w:val="20"/>
          <w:color w:val="auto"/>
        </w:rPr>
      </w:pPr>
      <w:r>
        <w:rPr>
          <w:rFonts w:ascii="Arial" w:cs="Arial" w:eastAsia="Arial" w:hAnsi="Arial"/>
          <w:sz w:val="16"/>
          <w:szCs w:val="16"/>
          <w:color w:val="auto"/>
        </w:rPr>
        <w:t>Reading Rouse Hill Pty Ltd (Australia)</w:t>
      </w:r>
    </w:p>
    <w:p>
      <w:pPr>
        <w:spacing w:after="0" w:line="199" w:lineRule="auto"/>
        <w:rPr>
          <w:sz w:val="20"/>
          <w:szCs w:val="20"/>
          <w:color w:val="auto"/>
        </w:rPr>
      </w:pPr>
      <w:r>
        <w:rPr>
          <w:rFonts w:ascii="Arial" w:cs="Arial" w:eastAsia="Arial" w:hAnsi="Arial"/>
          <w:sz w:val="16"/>
          <w:szCs w:val="16"/>
          <w:color w:val="auto"/>
        </w:rPr>
        <w:t>Reading Royal George, LLC (Delaware)</w:t>
      </w:r>
    </w:p>
    <w:p>
      <w:pPr>
        <w:spacing w:after="0" w:line="199" w:lineRule="auto"/>
        <w:rPr>
          <w:sz w:val="20"/>
          <w:szCs w:val="20"/>
          <w:color w:val="auto"/>
        </w:rPr>
      </w:pPr>
      <w:r>
        <w:rPr>
          <w:rFonts w:ascii="Arial" w:cs="Arial" w:eastAsia="Arial" w:hAnsi="Arial"/>
          <w:sz w:val="16"/>
          <w:szCs w:val="16"/>
          <w:color w:val="auto"/>
        </w:rPr>
        <w:t>Reading Sunbury Pty Ltd (Australia)</w:t>
      </w:r>
    </w:p>
    <w:p>
      <w:pPr>
        <w:spacing w:after="0" w:line="199" w:lineRule="auto"/>
        <w:rPr>
          <w:sz w:val="20"/>
          <w:szCs w:val="20"/>
          <w:color w:val="auto"/>
        </w:rPr>
      </w:pPr>
      <w:r>
        <w:rPr>
          <w:rFonts w:ascii="Arial" w:cs="Arial" w:eastAsia="Arial" w:hAnsi="Arial"/>
          <w:sz w:val="16"/>
          <w:szCs w:val="16"/>
          <w:color w:val="auto"/>
        </w:rPr>
        <w:t>Reading Theaters, Inc. (Delaware)</w:t>
      </w:r>
    </w:p>
    <w:p>
      <w:pPr>
        <w:spacing w:after="0" w:line="200" w:lineRule="auto"/>
        <w:rPr>
          <w:sz w:val="20"/>
          <w:szCs w:val="20"/>
          <w:color w:val="auto"/>
        </w:rPr>
      </w:pPr>
      <w:r>
        <w:rPr>
          <w:rFonts w:ascii="Arial" w:cs="Arial" w:eastAsia="Arial" w:hAnsi="Arial"/>
          <w:sz w:val="16"/>
          <w:szCs w:val="16"/>
          <w:color w:val="auto"/>
        </w:rPr>
        <w:t>Reading Wellington Properties Ltd (New Zealand)</w:t>
      </w:r>
    </w:p>
    <w:p>
      <w:pPr>
        <w:spacing w:after="0" w:line="199" w:lineRule="auto"/>
        <w:rPr>
          <w:sz w:val="20"/>
          <w:szCs w:val="20"/>
          <w:color w:val="auto"/>
        </w:rPr>
      </w:pPr>
      <w:r>
        <w:rPr>
          <w:rFonts w:ascii="Arial" w:cs="Arial" w:eastAsia="Arial" w:hAnsi="Arial"/>
          <w:sz w:val="16"/>
          <w:szCs w:val="16"/>
          <w:color w:val="auto"/>
        </w:rPr>
        <w:t>Rhodes Peninsula Cinema Pty Ltd (Australia)</w:t>
      </w:r>
    </w:p>
    <w:p>
      <w:pPr>
        <w:spacing w:after="0" w:line="199" w:lineRule="auto"/>
        <w:rPr>
          <w:sz w:val="20"/>
          <w:szCs w:val="20"/>
          <w:color w:val="auto"/>
        </w:rPr>
      </w:pPr>
      <w:r>
        <w:rPr>
          <w:rFonts w:ascii="Arial" w:cs="Arial" w:eastAsia="Arial" w:hAnsi="Arial"/>
          <w:sz w:val="16"/>
          <w:szCs w:val="16"/>
          <w:color w:val="auto"/>
        </w:rPr>
        <w:t>Rialto Brands Ltd (New Zealand)</w:t>
      </w:r>
    </w:p>
    <w:p>
      <w:pPr>
        <w:spacing w:after="0" w:line="199" w:lineRule="auto"/>
        <w:rPr>
          <w:sz w:val="20"/>
          <w:szCs w:val="20"/>
          <w:color w:val="auto"/>
        </w:rPr>
      </w:pPr>
      <w:r>
        <w:rPr>
          <w:rFonts w:ascii="Arial" w:cs="Arial" w:eastAsia="Arial" w:hAnsi="Arial"/>
          <w:sz w:val="16"/>
          <w:szCs w:val="16"/>
          <w:color w:val="auto"/>
        </w:rPr>
        <w:t>Rialto Cinemas Ltd (New Zealand)</w:t>
      </w:r>
    </w:p>
    <w:p>
      <w:pPr>
        <w:spacing w:after="0" w:line="199" w:lineRule="auto"/>
        <w:rPr>
          <w:sz w:val="20"/>
          <w:szCs w:val="20"/>
          <w:color w:val="auto"/>
        </w:rPr>
      </w:pPr>
      <w:r>
        <w:rPr>
          <w:rFonts w:ascii="Arial" w:cs="Arial" w:eastAsia="Arial" w:hAnsi="Arial"/>
          <w:sz w:val="16"/>
          <w:szCs w:val="16"/>
          <w:color w:val="auto"/>
        </w:rPr>
        <w:t>Rialto Distribution Ltd (New Zealand)</w:t>
      </w:r>
    </w:p>
    <w:p>
      <w:pPr>
        <w:spacing w:after="0" w:line="199" w:lineRule="auto"/>
        <w:rPr>
          <w:sz w:val="20"/>
          <w:szCs w:val="20"/>
          <w:color w:val="auto"/>
        </w:rPr>
      </w:pPr>
      <w:r>
        <w:rPr>
          <w:rFonts w:ascii="Arial" w:cs="Arial" w:eastAsia="Arial" w:hAnsi="Arial"/>
          <w:sz w:val="16"/>
          <w:szCs w:val="16"/>
          <w:color w:val="auto"/>
        </w:rPr>
        <w:t>Rialto Entertainment Ltd (New Zealand)</w:t>
      </w:r>
    </w:p>
    <w:p>
      <w:pPr>
        <w:spacing w:after="0" w:line="200" w:lineRule="auto"/>
        <w:rPr>
          <w:sz w:val="20"/>
          <w:szCs w:val="20"/>
          <w:color w:val="auto"/>
        </w:rPr>
      </w:pPr>
      <w:r>
        <w:rPr>
          <w:rFonts w:ascii="Arial" w:cs="Arial" w:eastAsia="Arial" w:hAnsi="Arial"/>
          <w:sz w:val="16"/>
          <w:szCs w:val="16"/>
          <w:color w:val="auto"/>
        </w:rPr>
        <w:t>Ronwood Investments Ltd (New Zealand)</w:t>
      </w:r>
    </w:p>
    <w:p>
      <w:pPr>
        <w:spacing w:after="0" w:line="199" w:lineRule="auto"/>
        <w:rPr>
          <w:sz w:val="20"/>
          <w:szCs w:val="20"/>
          <w:color w:val="auto"/>
        </w:rPr>
      </w:pPr>
      <w:r>
        <w:rPr>
          <w:rFonts w:ascii="Arial" w:cs="Arial" w:eastAsia="Arial" w:hAnsi="Arial"/>
          <w:sz w:val="16"/>
          <w:szCs w:val="16"/>
          <w:color w:val="auto"/>
        </w:rPr>
        <w:t>Rydal Equipment Co. (Pennsylvania)</w:t>
      </w:r>
    </w:p>
    <w:p>
      <w:pPr>
        <w:spacing w:after="0"/>
        <w:rPr>
          <w:sz w:val="20"/>
          <w:szCs w:val="20"/>
          <w:color w:val="auto"/>
        </w:rPr>
      </w:pPr>
      <w:r>
        <w:rPr>
          <w:rFonts w:ascii="Arial" w:cs="Arial" w:eastAsia="Arial" w:hAnsi="Arial"/>
          <w:sz w:val="16"/>
          <w:szCs w:val="16"/>
          <w:color w:val="auto"/>
        </w:rPr>
        <w:t>S Note Liquidation Company, LLC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5872480" cy="476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115" w:right="1440"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Sails Apartments Management Ltd (New Zealand)</w:t>
      </w:r>
    </w:p>
    <w:p>
      <w:pPr>
        <w:spacing w:after="0" w:line="199" w:lineRule="auto"/>
        <w:rPr>
          <w:sz w:val="20"/>
          <w:szCs w:val="20"/>
          <w:color w:val="auto"/>
        </w:rPr>
      </w:pPr>
      <w:r>
        <w:rPr>
          <w:rFonts w:ascii="Arial" w:cs="Arial" w:eastAsia="Arial" w:hAnsi="Arial"/>
          <w:sz w:val="16"/>
          <w:szCs w:val="16"/>
          <w:color w:val="auto"/>
        </w:rPr>
        <w:t>Shadow View Land and Farming, LLC (Nevada)</w:t>
      </w:r>
    </w:p>
    <w:p>
      <w:pPr>
        <w:spacing w:after="0" w:line="199" w:lineRule="auto"/>
        <w:rPr>
          <w:sz w:val="20"/>
          <w:szCs w:val="20"/>
          <w:color w:val="auto"/>
        </w:rPr>
      </w:pPr>
      <w:r>
        <w:rPr>
          <w:rFonts w:ascii="Arial" w:cs="Arial" w:eastAsia="Arial" w:hAnsi="Arial"/>
          <w:sz w:val="16"/>
          <w:szCs w:val="16"/>
          <w:color w:val="auto"/>
        </w:rPr>
        <w:t>Sutton Hill Properties, LLC (Nevada)</w:t>
      </w:r>
    </w:p>
    <w:p>
      <w:pPr>
        <w:spacing w:after="0" w:line="199" w:lineRule="auto"/>
        <w:rPr>
          <w:sz w:val="20"/>
          <w:szCs w:val="20"/>
          <w:color w:val="auto"/>
        </w:rPr>
      </w:pPr>
      <w:r>
        <w:rPr>
          <w:rFonts w:ascii="Arial" w:cs="Arial" w:eastAsia="Arial" w:hAnsi="Arial"/>
          <w:sz w:val="16"/>
          <w:szCs w:val="16"/>
          <w:color w:val="auto"/>
        </w:rPr>
        <w:t>Tobrooke Holdings Ltd (New Zealand)</w:t>
      </w:r>
    </w:p>
    <w:p>
      <w:pPr>
        <w:spacing w:after="0" w:line="199" w:lineRule="auto"/>
        <w:rPr>
          <w:sz w:val="20"/>
          <w:szCs w:val="20"/>
          <w:color w:val="auto"/>
        </w:rPr>
      </w:pPr>
      <w:r>
        <w:rPr>
          <w:rFonts w:ascii="Arial" w:cs="Arial" w:eastAsia="Arial" w:hAnsi="Arial"/>
          <w:sz w:val="16"/>
          <w:szCs w:val="16"/>
          <w:color w:val="auto"/>
        </w:rPr>
        <w:t>Trans-Pacific Finance Fund I, LLC (Delaware)</w:t>
      </w:r>
    </w:p>
    <w:p>
      <w:pPr>
        <w:spacing w:after="0" w:line="199" w:lineRule="auto"/>
        <w:rPr>
          <w:sz w:val="20"/>
          <w:szCs w:val="20"/>
          <w:color w:val="auto"/>
        </w:rPr>
      </w:pPr>
      <w:r>
        <w:rPr>
          <w:rFonts w:ascii="Arial" w:cs="Arial" w:eastAsia="Arial" w:hAnsi="Arial"/>
          <w:sz w:val="16"/>
          <w:szCs w:val="16"/>
          <w:color w:val="auto"/>
        </w:rPr>
        <w:t>Trenton-Princeton Traction Company (New Jersey)</w:t>
      </w:r>
    </w:p>
    <w:p>
      <w:pPr>
        <w:spacing w:after="0" w:line="200" w:lineRule="auto"/>
        <w:rPr>
          <w:sz w:val="20"/>
          <w:szCs w:val="20"/>
          <w:color w:val="auto"/>
        </w:rPr>
      </w:pPr>
      <w:r>
        <w:rPr>
          <w:rFonts w:ascii="Arial" w:cs="Arial" w:eastAsia="Arial" w:hAnsi="Arial"/>
          <w:sz w:val="16"/>
          <w:szCs w:val="16"/>
          <w:color w:val="auto"/>
        </w:rPr>
        <w:t>Twin Cities Cinemas, Inc. (Delaware)</w:t>
      </w:r>
    </w:p>
    <w:p>
      <w:pPr>
        <w:spacing w:after="0" w:line="199" w:lineRule="auto"/>
        <w:rPr>
          <w:sz w:val="20"/>
          <w:szCs w:val="20"/>
          <w:color w:val="auto"/>
        </w:rPr>
      </w:pPr>
      <w:r>
        <w:rPr>
          <w:rFonts w:ascii="Arial" w:cs="Arial" w:eastAsia="Arial" w:hAnsi="Arial"/>
          <w:sz w:val="16"/>
          <w:szCs w:val="16"/>
          <w:color w:val="auto"/>
        </w:rPr>
        <w:t>US Agricultural Investors, LLC (Delaware)</w:t>
      </w:r>
    </w:p>
    <w:p>
      <w:pPr>
        <w:spacing w:after="0" w:line="199" w:lineRule="auto"/>
        <w:rPr>
          <w:sz w:val="20"/>
          <w:szCs w:val="20"/>
          <w:color w:val="auto"/>
        </w:rPr>
      </w:pPr>
      <w:r>
        <w:rPr>
          <w:rFonts w:ascii="Arial" w:cs="Arial" w:eastAsia="Arial" w:hAnsi="Arial"/>
          <w:sz w:val="16"/>
          <w:szCs w:val="16"/>
          <w:color w:val="auto"/>
        </w:rPr>
        <w:t>US Development, LLC (Nevada)</w:t>
      </w:r>
    </w:p>
    <w:p>
      <w:pPr>
        <w:spacing w:after="0" w:line="199" w:lineRule="auto"/>
        <w:rPr>
          <w:sz w:val="20"/>
          <w:szCs w:val="20"/>
          <w:color w:val="auto"/>
        </w:rPr>
      </w:pPr>
      <w:r>
        <w:rPr>
          <w:rFonts w:ascii="Arial" w:cs="Arial" w:eastAsia="Arial" w:hAnsi="Arial"/>
          <w:sz w:val="16"/>
          <w:szCs w:val="16"/>
          <w:color w:val="auto"/>
        </w:rPr>
        <w:t>US International Property Finance Pty Ltd (Australia)</w:t>
      </w:r>
    </w:p>
    <w:p>
      <w:pPr>
        <w:spacing w:after="0"/>
        <w:rPr>
          <w:sz w:val="20"/>
          <w:szCs w:val="20"/>
          <w:color w:val="auto"/>
        </w:rPr>
      </w:pPr>
      <w:r>
        <w:rPr>
          <w:rFonts w:ascii="Arial" w:cs="Arial" w:eastAsia="Arial" w:hAnsi="Arial"/>
          <w:sz w:val="13"/>
          <w:szCs w:val="13"/>
          <w:color w:val="auto"/>
        </w:rPr>
        <w:t>Washington and Franklin Railway Company (Pennsylvania)</w:t>
      </w:r>
    </w:p>
    <w:p>
      <w:pPr>
        <w:spacing w:after="0" w:line="203" w:lineRule="auto"/>
        <w:rPr>
          <w:sz w:val="20"/>
          <w:szCs w:val="20"/>
          <w:color w:val="auto"/>
        </w:rPr>
      </w:pPr>
      <w:r>
        <w:rPr>
          <w:rFonts w:ascii="Arial" w:cs="Arial" w:eastAsia="Arial" w:hAnsi="Arial"/>
          <w:sz w:val="16"/>
          <w:szCs w:val="16"/>
          <w:color w:val="auto"/>
        </w:rPr>
        <w:t>Westlakes Cinema Pty Ltd (Australia)</w:t>
      </w:r>
    </w:p>
    <w:p>
      <w:pPr>
        <w:spacing w:after="0"/>
        <w:rPr>
          <w:sz w:val="20"/>
          <w:szCs w:val="20"/>
          <w:color w:val="auto"/>
        </w:rPr>
      </w:pPr>
      <w:r>
        <w:rPr>
          <w:rFonts w:ascii="Arial" w:cs="Arial" w:eastAsia="Arial" w:hAnsi="Arial"/>
          <w:sz w:val="13"/>
          <w:szCs w:val="13"/>
          <w:color w:val="auto"/>
        </w:rPr>
        <w:t>Wilmington and Northern Railroad Company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114935</wp:posOffset>
            </wp:positionV>
            <wp:extent cx="5872480" cy="47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099"/>
          </w:cols>
          <w:pgMar w:left="1360" w:top="98"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67"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We have issued our reports dated March 7, 2014, with respect to the consolidated financial statements, schedule and internal control over financial reporting included in the Annual Report of Reading International, Inc. on Form 10-K for the year ended December 31, 2013. We hereby consent to the incorporation by reference of said reports in the Registration Statements of Reading International, Inc on Form S-8 (File No. 333-36277) and on Form S-3 (File No. 333-162581).</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281305</wp:posOffset>
            </wp:positionV>
            <wp:extent cx="5872480" cy="47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23.2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Auditor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Committee and Joint Venturers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Mt. Gravatt Cinemas Joint Venture:</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We consent to the incorporation by reference in the registration statements No. 333-167101 on Form S-8 of Reading International, Inc., of our report dated March 4, 2013 with respect to the statement of financial position of Mt. Gravatt Cinemas Joint Venture as of December 31, 2012 and the related statements of comprehensive income, changes in equity, and cash flows for years ended December 31, 2012 and 2011, which report appears in the December 31, 2013, annual report on Form 10-K of Reading International, Inc.</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 KPMG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Sydney, Australia</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109855</wp:posOffset>
            </wp:positionV>
            <wp:extent cx="5872480" cy="476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23" w:right="1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31.1</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James J. Cotter, certify that:</w:t>
      </w:r>
    </w:p>
    <w:p>
      <w:pPr>
        <w:spacing w:after="0" w:line="251" w:lineRule="exact"/>
        <w:rPr>
          <w:sz w:val="20"/>
          <w:szCs w:val="20"/>
          <w:color w:val="auto"/>
        </w:rPr>
      </w:pPr>
    </w:p>
    <w:p>
      <w:pPr>
        <w:ind w:left="180" w:hanging="178"/>
        <w:spacing w:after="0"/>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62" w:lineRule="exact"/>
        <w:rPr>
          <w:rFonts w:ascii="Arial" w:cs="Arial" w:eastAsia="Arial" w:hAnsi="Arial"/>
          <w:sz w:val="16"/>
          <w:szCs w:val="16"/>
          <w:color w:val="auto"/>
        </w:rPr>
      </w:pPr>
    </w:p>
    <w:p>
      <w:pPr>
        <w:jc w:val="both"/>
        <w:ind w:firstLine="2"/>
        <w:spacing w:after="0" w:line="219" w:lineRule="auto"/>
        <w:tabs>
          <w:tab w:leader="none" w:pos="1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6"/>
          <w:szCs w:val="16"/>
          <w:color w:val="auto"/>
        </w:rPr>
      </w:pPr>
    </w:p>
    <w:p>
      <w:pPr>
        <w:ind w:firstLine="2"/>
        <w:spacing w:after="0" w:line="250" w:lineRule="auto"/>
        <w:tabs>
          <w:tab w:leader="none" w:pos="175"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5"/>
          <w:szCs w:val="15"/>
          <w:color w:val="auto"/>
        </w:rPr>
      </w:pPr>
    </w:p>
    <w:p>
      <w:pPr>
        <w:jc w:val="both"/>
        <w:ind w:firstLine="2"/>
        <w:spacing w:after="0" w:line="219" w:lineRule="auto"/>
        <w:tabs>
          <w:tab w:leader="none" w:pos="1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6"/>
          <w:szCs w:val="16"/>
          <w:color w:val="auto"/>
        </w:rPr>
      </w:pPr>
    </w:p>
    <w:p>
      <w:pPr>
        <w:jc w:val="both"/>
        <w:ind w:firstLine="565"/>
        <w:spacing w:after="0" w:line="219" w:lineRule="auto"/>
        <w:tabs>
          <w:tab w:leader="none" w:pos="756"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6"/>
          <w:szCs w:val="16"/>
          <w:color w:val="auto"/>
        </w:rPr>
      </w:pPr>
    </w:p>
    <w:p>
      <w:pPr>
        <w:jc w:val="both"/>
        <w:ind w:firstLine="565"/>
        <w:spacing w:after="0" w:line="219" w:lineRule="auto"/>
        <w:tabs>
          <w:tab w:leader="none" w:pos="743"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6"/>
          <w:szCs w:val="16"/>
          <w:color w:val="auto"/>
        </w:rPr>
      </w:pPr>
    </w:p>
    <w:p>
      <w:pPr>
        <w:ind w:firstLine="565"/>
        <w:spacing w:after="0" w:line="320" w:lineRule="auto"/>
        <w:tabs>
          <w:tab w:leader="none" w:pos="727" w:val="left"/>
        </w:tabs>
        <w:numPr>
          <w:ilvl w:val="1"/>
          <w:numId w:val="4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firstLine="565"/>
        <w:spacing w:after="0" w:line="219" w:lineRule="auto"/>
        <w:tabs>
          <w:tab w:leader="none" w:pos="734"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6"/>
          <w:szCs w:val="16"/>
          <w:color w:val="auto"/>
        </w:rPr>
      </w:pPr>
    </w:p>
    <w:p>
      <w:pPr>
        <w:ind w:firstLine="2"/>
        <w:spacing w:after="0" w:line="320" w:lineRule="auto"/>
        <w:tabs>
          <w:tab w:leader="none" w:pos="17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firstLine="565"/>
        <w:spacing w:after="0" w:line="250" w:lineRule="auto"/>
        <w:tabs>
          <w:tab w:leader="none" w:pos="737" w:val="left"/>
        </w:tabs>
        <w:numPr>
          <w:ilvl w:val="1"/>
          <w:numId w:val="4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5"/>
          <w:szCs w:val="15"/>
          <w:color w:val="auto"/>
        </w:rPr>
      </w:pPr>
    </w:p>
    <w:p>
      <w:pPr>
        <w:ind w:firstLine="565"/>
        <w:spacing w:after="0" w:line="229" w:lineRule="auto"/>
        <w:tabs>
          <w:tab w:leader="none" w:pos="7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2476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14554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5540" cy="76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102235</wp:posOffset>
            </wp:positionV>
            <wp:extent cx="5872480" cy="47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31.2</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Andrzej Matyczynski, certify that:</w:t>
      </w:r>
    </w:p>
    <w:p>
      <w:pPr>
        <w:spacing w:after="0" w:line="251" w:lineRule="exact"/>
        <w:rPr>
          <w:sz w:val="20"/>
          <w:szCs w:val="20"/>
          <w:color w:val="auto"/>
        </w:rPr>
      </w:pPr>
    </w:p>
    <w:p>
      <w:pPr>
        <w:ind w:left="180" w:hanging="178"/>
        <w:spacing w:after="0"/>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62" w:lineRule="exact"/>
        <w:rPr>
          <w:rFonts w:ascii="Arial" w:cs="Arial" w:eastAsia="Arial" w:hAnsi="Arial"/>
          <w:sz w:val="16"/>
          <w:szCs w:val="16"/>
          <w:color w:val="auto"/>
        </w:rPr>
      </w:pPr>
    </w:p>
    <w:p>
      <w:pPr>
        <w:jc w:val="both"/>
        <w:ind w:firstLine="2"/>
        <w:spacing w:after="0" w:line="219" w:lineRule="auto"/>
        <w:tabs>
          <w:tab w:leader="none" w:pos="17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6"/>
          <w:szCs w:val="16"/>
          <w:color w:val="auto"/>
        </w:rPr>
      </w:pPr>
    </w:p>
    <w:p>
      <w:pPr>
        <w:ind w:firstLine="2"/>
        <w:spacing w:after="0" w:line="250" w:lineRule="auto"/>
        <w:tabs>
          <w:tab w:leader="none" w:pos="175"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5"/>
          <w:szCs w:val="15"/>
          <w:color w:val="auto"/>
        </w:rPr>
      </w:pPr>
    </w:p>
    <w:p>
      <w:pPr>
        <w:jc w:val="both"/>
        <w:ind w:firstLine="2"/>
        <w:spacing w:after="0" w:line="219" w:lineRule="auto"/>
        <w:tabs>
          <w:tab w:leader="none" w:pos="17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6"/>
          <w:szCs w:val="16"/>
          <w:color w:val="auto"/>
        </w:rPr>
      </w:pPr>
    </w:p>
    <w:p>
      <w:pPr>
        <w:jc w:val="both"/>
        <w:ind w:firstLine="565"/>
        <w:spacing w:after="0" w:line="219" w:lineRule="auto"/>
        <w:tabs>
          <w:tab w:leader="none" w:pos="75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6"/>
          <w:szCs w:val="16"/>
          <w:color w:val="auto"/>
        </w:rPr>
      </w:pPr>
    </w:p>
    <w:p>
      <w:pPr>
        <w:jc w:val="both"/>
        <w:ind w:firstLine="565"/>
        <w:spacing w:after="0" w:line="219" w:lineRule="auto"/>
        <w:tabs>
          <w:tab w:leader="none" w:pos="743"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6"/>
          <w:szCs w:val="16"/>
          <w:color w:val="auto"/>
        </w:rPr>
      </w:pPr>
    </w:p>
    <w:p>
      <w:pPr>
        <w:ind w:firstLine="565"/>
        <w:spacing w:after="0" w:line="320" w:lineRule="auto"/>
        <w:tabs>
          <w:tab w:leader="none" w:pos="727" w:val="left"/>
        </w:tabs>
        <w:numPr>
          <w:ilvl w:val="1"/>
          <w:numId w:val="4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firstLine="565"/>
        <w:spacing w:after="0" w:line="219" w:lineRule="auto"/>
        <w:tabs>
          <w:tab w:leader="none" w:pos="734"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6"/>
          <w:szCs w:val="16"/>
          <w:color w:val="auto"/>
        </w:rPr>
      </w:pPr>
    </w:p>
    <w:p>
      <w:pPr>
        <w:ind w:firstLine="2"/>
        <w:spacing w:after="0" w:line="320" w:lineRule="auto"/>
        <w:tabs>
          <w:tab w:leader="none" w:pos="17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firstLine="565"/>
        <w:spacing w:after="0" w:line="250" w:lineRule="auto"/>
        <w:tabs>
          <w:tab w:leader="none" w:pos="737" w:val="left"/>
        </w:tabs>
        <w:numPr>
          <w:ilvl w:val="1"/>
          <w:numId w:val="4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5"/>
          <w:szCs w:val="15"/>
          <w:color w:val="auto"/>
        </w:rPr>
      </w:pPr>
    </w:p>
    <w:p>
      <w:pPr>
        <w:ind w:firstLine="565"/>
        <w:spacing w:after="0" w:line="229" w:lineRule="auto"/>
        <w:tabs>
          <w:tab w:leader="none" w:pos="7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47447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74470" cy="76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102235</wp:posOffset>
            </wp:positionV>
            <wp:extent cx="5872480" cy="47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32.1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55" w:lineRule="exact"/>
        <w:rPr>
          <w:sz w:val="20"/>
          <w:szCs w:val="20"/>
          <w:color w:val="auto"/>
        </w:rPr>
      </w:pPr>
    </w:p>
    <w:p>
      <w:pPr>
        <w:jc w:val="both"/>
        <w:ind w:firstLine="564"/>
        <w:spacing w:after="0" w:line="219"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2013 (the “Report”), I, James J. Cotter, Chief Executive Officer of the Company, certify, pursuant to 18 U.S.C. §1350, as adopted pursuant to §906 of the Sarbanes-Oxley Act of 2002, that:</w:t>
      </w:r>
    </w:p>
    <w:p>
      <w:pPr>
        <w:spacing w:after="0" w:line="48" w:lineRule="exact"/>
        <w:rPr>
          <w:sz w:val="20"/>
          <w:szCs w:val="20"/>
          <w:color w:val="auto"/>
        </w:rPr>
      </w:pPr>
    </w:p>
    <w:p>
      <w:pPr>
        <w:ind w:left="720" w:hanging="155"/>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of the Securities Exchange Act of 1934; and</w:t>
      </w:r>
    </w:p>
    <w:p>
      <w:pPr>
        <w:spacing w:after="0" w:line="62" w:lineRule="exact"/>
        <w:rPr>
          <w:rFonts w:ascii="Arial" w:cs="Arial" w:eastAsia="Arial" w:hAnsi="Arial"/>
          <w:sz w:val="16"/>
          <w:szCs w:val="16"/>
          <w:color w:val="auto"/>
        </w:rPr>
      </w:pPr>
    </w:p>
    <w:p>
      <w:pPr>
        <w:ind w:left="720" w:hanging="155"/>
        <w:spacing w:after="0"/>
        <w:tabs>
          <w:tab w:leader="none" w:pos="7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w:t>
      </w:r>
    </w:p>
    <w:p>
      <w:pPr>
        <w:spacing w:after="0" w:line="1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Company.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2700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James J. Cotter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102235</wp:posOffset>
            </wp:positionV>
            <wp:extent cx="5872480" cy="476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auto"/>
        </w:rPr>
        <w:t>EXHIBIT 32.2</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55" w:lineRule="exact"/>
        <w:rPr>
          <w:sz w:val="20"/>
          <w:szCs w:val="20"/>
          <w:color w:val="auto"/>
        </w:rPr>
      </w:pPr>
    </w:p>
    <w:p>
      <w:pPr>
        <w:jc w:val="both"/>
        <w:ind w:firstLine="564"/>
        <w:spacing w:after="0" w:line="219"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2013 (the “Report”), I, Andrzej Matyczynski, Chief Financial Officer of the Company, certify, pursuant to 18 U.S.C. §1350, as adopted pursuant to §906 of the Sarbanes-Oxley Act of 2002, that:</w:t>
      </w:r>
    </w:p>
    <w:p>
      <w:pPr>
        <w:spacing w:after="0" w:line="48" w:lineRule="exact"/>
        <w:rPr>
          <w:sz w:val="20"/>
          <w:szCs w:val="20"/>
          <w:color w:val="auto"/>
        </w:rPr>
      </w:pPr>
    </w:p>
    <w:p>
      <w:pPr>
        <w:ind w:left="720" w:hanging="155"/>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of the Securities Exchange Act of 1934; and</w:t>
      </w:r>
    </w:p>
    <w:p>
      <w:pPr>
        <w:spacing w:after="0" w:line="62" w:lineRule="exact"/>
        <w:rPr>
          <w:rFonts w:ascii="Arial" w:cs="Arial" w:eastAsia="Arial" w:hAnsi="Arial"/>
          <w:sz w:val="16"/>
          <w:szCs w:val="16"/>
          <w:color w:val="auto"/>
        </w:rPr>
      </w:pPr>
    </w:p>
    <w:p>
      <w:pPr>
        <w:ind w:left="720" w:hanging="155"/>
        <w:spacing w:after="0"/>
        <w:tabs>
          <w:tab w:leader="none" w:pos="7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w:t>
      </w:r>
    </w:p>
    <w:p>
      <w:pPr>
        <w:spacing w:after="0" w:line="1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Company.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07632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76325" cy="762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Andrzej Matyczynski</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102235</wp:posOffset>
            </wp:positionV>
            <wp:extent cx="5872480" cy="47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2480" cy="47625"/>
                    </a:xfrm>
                    <a:prstGeom prst="rect">
                      <a:avLst/>
                    </a:prstGeom>
                    <a:noFill/>
                  </pic:spPr>
                </pic:pic>
              </a:graphicData>
            </a:graphic>
          </wp:anchor>
        </w:drawing>
      </w:r>
    </w:p>
    <w:sectPr>
      <w:pgSz w:w="11900" w:h="16838" w:orient="portrait"/>
      <w:cols w:equalWidth="0" w:num="1">
        <w:col w:w="9180"/>
      </w:cols>
      <w:pgMar w:left="1360" w:top="111"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þ"/>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6"/>
    </w:lvl>
  </w:abstractNum>
  <w:abstractNum w:abstractNumId="7">
    <w:nsid w:val="3A95F874"/>
    <w:multiLevelType w:val="hybridMultilevel"/>
    <w:lvl w:ilvl="0">
      <w:lvlJc w:val="left"/>
      <w:lvlText w:val="[%1]"/>
      <w:numFmt w:val="decimal"/>
      <w:start w:val="8"/>
    </w:lvl>
  </w:abstractNum>
  <w:abstractNum w:abstractNumId="8">
    <w:nsid w:val="8138641"/>
    <w:multiLevelType w:val="hybridMultilevel"/>
    <w:lvl w:ilvl="0">
      <w:lvlJc w:val="left"/>
      <w:lvlText w:val="[%1]"/>
      <w:numFmt w:val="decimal"/>
      <w:start w:val="10"/>
    </w:lvl>
  </w:abstractNum>
  <w:abstractNum w:abstractNumId="9">
    <w:nsid w:val="1E7FF521"/>
    <w:multiLevelType w:val="hybridMultilevel"/>
    <w:lvl w:ilvl="0">
      <w:lvlJc w:val="left"/>
      <w:lvlText w:val="(%1)"/>
      <w:numFmt w:val="lowerLetter"/>
      <w:start w:val="2"/>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endash "/>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lvl w:ilvl="1">
      <w:lvlJc w:val="left"/>
      <w:lvlText w:val="o"/>
      <w:numFmt w:val="bullet"/>
      <w:start w:val="1"/>
    </w:lvl>
  </w:abstractNum>
  <w:abstractNum w:abstractNumId="32">
    <w:nsid w:val="70A64E2A"/>
    <w:multiLevelType w:val="hybridMultilevel"/>
    <w:lvl w:ilvl="0">
      <w:lvlJc w:val="left"/>
      <w:lvlText w:val="o"/>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lowerLetter"/>
      <w:start w:val="1"/>
    </w:lvl>
    <w:lvl w:ilvl="1">
      <w:lvlJc w:val="left"/>
      <w:lvlText w:val="%2."/>
      <w:numFmt w:val="decimal"/>
      <w:start w:val="3"/>
    </w:lvl>
  </w:abstractNum>
  <w:abstractNum w:abstractNumId="37">
    <w:nsid w:val="2CD89A32"/>
    <w:multiLevelType w:val="hybridMultilevel"/>
    <w:lvl w:ilvl="0">
      <w:lvlJc w:val="left"/>
      <w:lvlText w:val="(%1)"/>
      <w:numFmt w:val="lowerLetter"/>
      <w:start w:val="2"/>
    </w:lvl>
    <w:lvl w:ilvl="1">
      <w:lvlJc w:val="left"/>
      <w:lvlText w:val="%2"/>
      <w:numFmt w:val="decimal"/>
      <w:start w:val="1"/>
    </w:lvl>
  </w:abstractNum>
  <w:abstractNum w:abstractNumId="38">
    <w:nsid w:val="57E4CCAF"/>
    <w:multiLevelType w:val="hybridMultilevel"/>
    <w:lvl w:ilvl="0">
      <w:lvlJc w:val="left"/>
      <w:lvlText w:val="(%1)"/>
      <w:numFmt w:val="lowerLetter"/>
      <w:start w:val="3"/>
    </w:lvl>
  </w:abstractNum>
  <w:abstractNum w:abstractNumId="39">
    <w:nsid w:val="7A6D8D3C"/>
    <w:multiLevelType w:val="hybridMultilevel"/>
    <w:lvl w:ilvl="0">
      <w:lvlJc w:val="left"/>
      <w:lvlText w:val="(%1)"/>
      <w:numFmt w:val="lowerLetter"/>
      <w:start w:val="5"/>
    </w:lvl>
    <w:lvl w:ilvl="1">
      <w:lvlJc w:val="left"/>
      <w:lvlText w:val="(%2)"/>
      <w:numFmt w:val="lowerLetter"/>
      <w:start w:val="9"/>
    </w:lvl>
  </w:abstractNum>
  <w:abstractNum w:abstractNumId="40">
    <w:nsid w:val="4B588F54"/>
    <w:multiLevelType w:val="hybridMultilevel"/>
    <w:lvl w:ilvl="0">
      <w:lvlJc w:val="left"/>
      <w:lvlText w:val="%1."/>
      <w:numFmt w:val="decimal"/>
      <w:start w:val="15"/>
    </w:lvl>
    <w:lvl w:ilvl="1">
      <w:lvlJc w:val="left"/>
      <w:lvlText w:val="(%2)"/>
      <w:numFmt w:val="lowerLetter"/>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6"/>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5"/>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5"/>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2020-01-26T10:10:01Z</dcterms:created>
  <dcterms:modified xsi:type="dcterms:W3CDTF">2020-01-26T10:10:01Z</dcterms:modified>
</cp:coreProperties>
</file>