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7165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165340"/>
                    </a:xfrm>
                    <a:prstGeom prst="rect">
                      <a:avLst/>
                    </a:prstGeom>
                    <a:noFill/>
                  </pic:spPr>
                </pic:pic>
              </a:graphicData>
            </a:graphic>
          </wp:anchor>
        </w:drawing>
      </w:r>
    </w:p>
    <w:p>
      <w:pPr>
        <w:spacing w:after="0" w:line="43" w:lineRule="exact"/>
        <w:rPr>
          <w:sz w:val="24"/>
          <w:szCs w:val="24"/>
          <w:color w:val="auto"/>
        </w:rPr>
      </w:pPr>
    </w:p>
    <w:p>
      <w:pPr>
        <w:sectPr>
          <w:pgSz w:w="11900" w:h="16851" w:orient="portrait"/>
          <w:cols w:equalWidth="0" w:num="2">
            <w:col w:w="2240" w:space="340"/>
            <w:col w:w="850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vMerge w:val="restart"/>
          </w:tcPr>
          <w:p>
            <w:pPr>
              <w:spacing w:after="0"/>
              <w:rPr>
                <w:rFonts w:ascii="Times New Roman" w:cs="Times New Roman" w:eastAsia="Times New Roman" w:hAnsi="Times New Roman"/>
                <w:sz w:val="20"/>
                <w:szCs w:val="20"/>
                <w:color w:val="0000EE"/>
                <w:w w:val="98"/>
              </w:rPr>
            </w:pPr>
            <w:hyperlink r:id="rId12">
              <w:r>
                <w:rPr>
                  <w:rFonts w:ascii="Times New Roman" w:cs="Times New Roman" w:eastAsia="Times New Roman" w:hAnsi="Times New Roman"/>
                  <w:sz w:val="20"/>
                  <w:szCs w:val="20"/>
                  <w:color w:val="0000EE"/>
                  <w:w w:val="98"/>
                </w:rPr>
                <w:t>Avanes Gilbert</w:t>
              </w:r>
            </w:hyperlink>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READING INTERNATIONAL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RDI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Borders>
              <w:bottom w:val="single" w:sz="8" w:color="0000EE"/>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2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5995 SEPULVEDA BLVD</w:t>
            </w:r>
          </w:p>
        </w:tc>
        <w:tc>
          <w:tcPr>
            <w:tcW w:w="1220" w:type="dxa"/>
            <w:vAlign w:val="bottom"/>
          </w:tcPr>
          <w:p>
            <w:pPr>
              <w:spacing w:after="0"/>
              <w:rPr>
                <w:sz w:val="18"/>
                <w:szCs w:val="18"/>
                <w:color w:val="auto"/>
              </w:rPr>
            </w:pPr>
          </w:p>
        </w:tc>
        <w:tc>
          <w:tcPr>
            <w:tcW w:w="31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03/10/2023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tbl>
      <w:tblPr>
        <w:tblLayout w:type="fixed"/>
        <w:tblInd w:w="204"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7"/>
          <w:szCs w:val="17"/>
          <w:color w:val="0000FF"/>
        </w:rPr>
        <w:t>EVP, CFO &amp; Treasurer</w:t>
      </w:r>
    </w:p>
    <w:p>
      <w:pPr>
        <w:spacing w:after="0" w:line="383" w:lineRule="exact"/>
        <w:rPr>
          <w:sz w:val="20"/>
          <w:szCs w:val="20"/>
          <w:color w:val="auto"/>
        </w:rPr>
      </w:pPr>
    </w:p>
    <w:p>
      <w:pPr>
        <w:sectPr>
          <w:pgSz w:w="11900" w:h="16851" w:orient="portrait"/>
          <w:cols w:equalWidth="0" w:num="2">
            <w:col w:w="7680" w:space="56"/>
            <w:col w:w="334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80" w:type="dxa"/>
            <w:vAlign w:val="bottom"/>
            <w:gridSpan w:val="7"/>
          </w:tcPr>
          <w:p>
            <w:pPr>
              <w:jc w:val="center"/>
              <w:ind w:right="177"/>
              <w:spacing w:after="0" w:line="142"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6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CULVER CITY  CA</w:t>
            </w:r>
          </w:p>
        </w:tc>
        <w:tc>
          <w:tcPr>
            <w:tcW w:w="82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90230</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(State)</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80" w:type="dxa"/>
            <w:vAlign w:val="bottom"/>
            <w:gridSpan w:val="3"/>
          </w:tcPr>
          <w:p>
            <w:pPr>
              <w:ind w:left="60"/>
              <w:spacing w:after="0"/>
              <w:rPr>
                <w:sz w:val="20"/>
                <w:szCs w:val="20"/>
                <w:color w:val="auto"/>
              </w:rPr>
            </w:pPr>
            <w:r>
              <w:rPr>
                <w:rFonts w:ascii="Arial" w:cs="Arial" w:eastAsia="Arial" w:hAnsi="Arial"/>
                <w:sz w:val="13"/>
                <w:szCs w:val="13"/>
                <w:b w:val="1"/>
                <w:bCs w:val="1"/>
                <w:color w:val="auto"/>
                <w:w w:val="95"/>
              </w:rPr>
              <w:t>1. Title of Security (Instr. 3)</w:t>
            </w:r>
          </w:p>
        </w:tc>
        <w:tc>
          <w:tcPr>
            <w:tcW w:w="820" w:type="dxa"/>
            <w:vAlign w:val="bottom"/>
          </w:tcPr>
          <w:p>
            <w:pPr>
              <w:spacing w:after="0"/>
              <w:rPr>
                <w:sz w:val="14"/>
                <w:szCs w:val="14"/>
                <w:color w:val="auto"/>
              </w:rPr>
            </w:pP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jc w:val="center"/>
              <w:ind w:right="399"/>
              <w:spacing w:after="0"/>
              <w:rPr>
                <w:sz w:val="20"/>
                <w:szCs w:val="20"/>
                <w:color w:val="auto"/>
              </w:rPr>
            </w:pPr>
            <w:r>
              <w:rPr>
                <w:rFonts w:ascii="Arial" w:cs="Arial" w:eastAsia="Arial" w:hAnsi="Arial"/>
                <w:sz w:val="11"/>
                <w:szCs w:val="11"/>
                <w:b w:val="1"/>
                <w:bCs w:val="1"/>
                <w:color w:val="auto"/>
                <w:w w:val="86"/>
              </w:rPr>
              <w:t>3.</w:t>
            </w:r>
          </w:p>
        </w:tc>
        <w:tc>
          <w:tcPr>
            <w:tcW w:w="178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78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60" w:type="dxa"/>
            <w:vAlign w:val="bottom"/>
            <w:gridSpan w:val="3"/>
          </w:tcPr>
          <w:p>
            <w:pPr>
              <w:jc w:val="center"/>
              <w:ind w:left="65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jc w:val="center"/>
              <w:ind w:right="379"/>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4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4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60" w:type="dxa"/>
            <w:vAlign w:val="bottom"/>
            <w:gridSpan w:val="3"/>
          </w:tcPr>
          <w:p>
            <w:pPr>
              <w:jc w:val="center"/>
              <w:ind w:left="670"/>
              <w:spacing w:after="0"/>
              <w:rPr>
                <w:sz w:val="20"/>
                <w:szCs w:val="20"/>
                <w:color w:val="auto"/>
              </w:rPr>
            </w:pPr>
            <w:r>
              <w:rPr>
                <w:rFonts w:ascii="Times New Roman" w:cs="Times New Roman" w:eastAsia="Times New Roman" w:hAnsi="Times New Roman"/>
                <w:sz w:val="17"/>
                <w:szCs w:val="17"/>
                <w:color w:val="0000FF"/>
                <w:w w:val="98"/>
              </w:rPr>
              <w:t>03/10/2023</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18"/>
              <w:spacing w:after="0"/>
              <w:rPr>
                <w:sz w:val="20"/>
                <w:szCs w:val="20"/>
                <w:color w:val="auto"/>
              </w:rPr>
            </w:pPr>
            <w:r>
              <w:rPr>
                <w:rFonts w:ascii="Times New Roman" w:cs="Times New Roman" w:eastAsia="Times New Roman" w:hAnsi="Times New Roman"/>
                <w:sz w:val="17"/>
                <w:szCs w:val="17"/>
                <w:color w:val="0000FF"/>
                <w:w w:val="99"/>
              </w:rPr>
              <w:t>4,599</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4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4"/>
          </w:tcPr>
          <w:p>
            <w:pPr>
              <w:jc w:val="right"/>
              <w:ind w:right="361"/>
              <w:spacing w:after="0"/>
              <w:rPr>
                <w:sz w:val="20"/>
                <w:szCs w:val="20"/>
                <w:color w:val="auto"/>
              </w:rPr>
            </w:pPr>
            <w:r>
              <w:rPr>
                <w:rFonts w:ascii="Times New Roman" w:cs="Times New Roman" w:eastAsia="Times New Roman" w:hAnsi="Times New Roman"/>
                <w:sz w:val="17"/>
                <w:szCs w:val="17"/>
                <w:color w:val="0000FF"/>
              </w:rPr>
              <w:t>29,680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60" w:type="dxa"/>
            <w:vAlign w:val="bottom"/>
            <w:gridSpan w:val="3"/>
          </w:tcPr>
          <w:p>
            <w:pPr>
              <w:jc w:val="center"/>
              <w:ind w:left="670"/>
              <w:spacing w:after="0"/>
              <w:rPr>
                <w:sz w:val="20"/>
                <w:szCs w:val="20"/>
                <w:color w:val="auto"/>
              </w:rPr>
            </w:pPr>
            <w:r>
              <w:rPr>
                <w:rFonts w:ascii="Times New Roman" w:cs="Times New Roman" w:eastAsia="Times New Roman" w:hAnsi="Times New Roman"/>
                <w:sz w:val="17"/>
                <w:szCs w:val="17"/>
                <w:color w:val="0000FF"/>
                <w:w w:val="98"/>
              </w:rPr>
              <w:t>03/10/2023</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18"/>
              <w:spacing w:after="0"/>
              <w:rPr>
                <w:sz w:val="20"/>
                <w:szCs w:val="20"/>
                <w:color w:val="auto"/>
              </w:rPr>
            </w:pPr>
            <w:r>
              <w:rPr>
                <w:rFonts w:ascii="Times New Roman" w:cs="Times New Roman" w:eastAsia="Times New Roman" w:hAnsi="Times New Roman"/>
                <w:sz w:val="17"/>
                <w:szCs w:val="17"/>
                <w:color w:val="0000FF"/>
                <w:w w:val="99"/>
              </w:rPr>
              <w:t>4,395</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4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4"/>
          </w:tcPr>
          <w:p>
            <w:pPr>
              <w:jc w:val="right"/>
              <w:ind w:right="361"/>
              <w:spacing w:after="0"/>
              <w:rPr>
                <w:sz w:val="20"/>
                <w:szCs w:val="20"/>
                <w:color w:val="auto"/>
              </w:rPr>
            </w:pPr>
            <w:r>
              <w:rPr>
                <w:rFonts w:ascii="Times New Roman" w:cs="Times New Roman" w:eastAsia="Times New Roman" w:hAnsi="Times New Roman"/>
                <w:sz w:val="17"/>
                <w:szCs w:val="17"/>
                <w:color w:val="0000FF"/>
              </w:rPr>
              <w:t>34,075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60" w:type="dxa"/>
            <w:vAlign w:val="bottom"/>
            <w:gridSpan w:val="3"/>
          </w:tcPr>
          <w:p>
            <w:pPr>
              <w:jc w:val="center"/>
              <w:ind w:left="670"/>
              <w:spacing w:after="0"/>
              <w:rPr>
                <w:sz w:val="20"/>
                <w:szCs w:val="20"/>
                <w:color w:val="auto"/>
              </w:rPr>
            </w:pPr>
            <w:r>
              <w:rPr>
                <w:rFonts w:ascii="Times New Roman" w:cs="Times New Roman" w:eastAsia="Times New Roman" w:hAnsi="Times New Roman"/>
                <w:sz w:val="17"/>
                <w:szCs w:val="17"/>
                <w:color w:val="0000FF"/>
                <w:w w:val="98"/>
              </w:rPr>
              <w:t>03/13/2023</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18"/>
              <w:spacing w:after="0"/>
              <w:rPr>
                <w:sz w:val="20"/>
                <w:szCs w:val="20"/>
                <w:color w:val="auto"/>
              </w:rPr>
            </w:pPr>
            <w:r>
              <w:rPr>
                <w:rFonts w:ascii="Times New Roman" w:cs="Times New Roman" w:eastAsia="Times New Roman" w:hAnsi="Times New Roman"/>
                <w:sz w:val="17"/>
                <w:szCs w:val="17"/>
                <w:color w:val="0000FF"/>
              </w:rPr>
              <w:t>582</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4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4"/>
          </w:tcPr>
          <w:p>
            <w:pPr>
              <w:jc w:val="right"/>
              <w:ind w:right="361"/>
              <w:spacing w:after="0"/>
              <w:rPr>
                <w:sz w:val="20"/>
                <w:szCs w:val="20"/>
                <w:color w:val="auto"/>
              </w:rPr>
            </w:pPr>
            <w:r>
              <w:rPr>
                <w:rFonts w:ascii="Times New Roman" w:cs="Times New Roman" w:eastAsia="Times New Roman" w:hAnsi="Times New Roman"/>
                <w:sz w:val="17"/>
                <w:szCs w:val="17"/>
                <w:color w:val="0000FF"/>
              </w:rPr>
              <w:t>34,657</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gridSpan w:val="2"/>
          </w:tcPr>
          <w:p>
            <w:pPr>
              <w:spacing w:after="0"/>
              <w:rPr>
                <w:sz w:val="8"/>
                <w:szCs w:val="8"/>
                <w:color w:val="auto"/>
              </w:rPr>
            </w:pPr>
          </w:p>
        </w:tc>
        <w:tc>
          <w:tcPr>
            <w:tcW w:w="1620" w:type="dxa"/>
            <w:vAlign w:val="bottom"/>
            <w:tcBorders>
              <w:bottom w:val="single" w:sz="8" w:color="2C2C2C"/>
            </w:tcBorders>
            <w:gridSpan w:val="4"/>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tcPr>
          <w:p>
            <w:pPr>
              <w:ind w:left="26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240" w:type="dxa"/>
            <w:vAlign w:val="bottom"/>
          </w:tcPr>
          <w:p>
            <w:pPr>
              <w:ind w:left="2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0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  if any</w:t>
            </w:r>
          </w:p>
        </w:tc>
        <w:tc>
          <w:tcPr>
            <w:tcW w:w="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20" w:type="dxa"/>
            <w:vAlign w:val="bottom"/>
          </w:tcPr>
          <w:p>
            <w:pPr>
              <w:spacing w:after="0"/>
              <w:rPr>
                <w:sz w:val="11"/>
                <w:szCs w:val="11"/>
                <w:color w:val="auto"/>
              </w:rPr>
            </w:pPr>
          </w:p>
        </w:tc>
        <w:tc>
          <w:tcPr>
            <w:tcW w:w="1240" w:type="dxa"/>
            <w:vAlign w:val="bottom"/>
          </w:tcPr>
          <w:p>
            <w:pPr>
              <w:ind w:left="2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jc w:val="center"/>
              <w:ind w:right="439"/>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rPr>
              <w:t>(2)(3)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(2)(3)</w:t>
            </w: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4,599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03/10/2023</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jc w:val="center"/>
              <w:ind w:left="221"/>
              <w:spacing w:after="0" w:line="141" w:lineRule="exact"/>
              <w:rPr>
                <w:sz w:val="20"/>
                <w:szCs w:val="20"/>
                <w:color w:val="auto"/>
              </w:rPr>
            </w:pPr>
            <w:r>
              <w:rPr>
                <w:rFonts w:ascii="Times New Roman" w:cs="Times New Roman" w:eastAsia="Times New Roman" w:hAnsi="Times New Roman"/>
                <w:sz w:val="13"/>
                <w:szCs w:val="13"/>
                <w:color w:val="0000FF"/>
                <w:w w:val="95"/>
              </w:rPr>
              <w:t>4,599</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460" w:type="dxa"/>
            <w:vAlign w:val="bottom"/>
            <w:vMerge w:val="continue"/>
          </w:tcPr>
          <w:p>
            <w:pPr>
              <w:spacing w:after="0"/>
              <w:rPr>
                <w:sz w:val="5"/>
                <w:szCs w:val="5"/>
                <w:color w:val="auto"/>
              </w:rPr>
            </w:pPr>
          </w:p>
        </w:tc>
        <w:tc>
          <w:tcPr>
            <w:tcW w:w="800" w:type="dxa"/>
            <w:vAlign w:val="bottom"/>
            <w:gridSpan w:val="3"/>
            <w:vMerge w:val="restart"/>
          </w:tcPr>
          <w:p>
            <w:pPr>
              <w:ind w:left="3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4,599</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 Units</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rPr>
              <w:t>(2)(3)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(2)(3)</w:t>
            </w:r>
          </w:p>
        </w:tc>
        <w:tc>
          <w:tcPr>
            <w:tcW w:w="640" w:type="dxa"/>
            <w:vAlign w:val="bottom"/>
            <w:vMerge w:val="continue"/>
          </w:tcPr>
          <w:p>
            <w:pPr>
              <w:spacing w:after="0"/>
              <w:rPr>
                <w:sz w:val="6"/>
                <w:szCs w:val="6"/>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307</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03/10/2023</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8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307</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460" w:type="dxa"/>
            <w:vAlign w:val="bottom"/>
            <w:vMerge w:val="continue"/>
          </w:tcPr>
          <w:p>
            <w:pPr>
              <w:spacing w:after="0"/>
              <w:rPr>
                <w:sz w:val="5"/>
                <w:szCs w:val="5"/>
                <w:color w:val="auto"/>
              </w:rPr>
            </w:pPr>
          </w:p>
        </w:tc>
        <w:tc>
          <w:tcPr>
            <w:tcW w:w="800" w:type="dxa"/>
            <w:vAlign w:val="bottom"/>
            <w:gridSpan w:val="3"/>
            <w:vMerge w:val="restart"/>
          </w:tcPr>
          <w:p>
            <w:pPr>
              <w:ind w:left="3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4,395</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8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restart"/>
          </w:tcPr>
          <w:p>
            <w:pPr>
              <w:jc w:val="center"/>
              <w:ind w:righ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 Units</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rPr>
              <w:t>(2)(3)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(2)(3)</w:t>
            </w: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4,395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820" w:type="dxa"/>
            <w:vAlign w:val="bottom"/>
            <w:vMerge w:val="continue"/>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03/10/2023</w:t>
            </w: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00" w:type="dxa"/>
            <w:vAlign w:val="bottom"/>
          </w:tcPr>
          <w:p>
            <w:pPr>
              <w:jc w:val="center"/>
              <w:ind w:left="221"/>
              <w:spacing w:after="0" w:line="141" w:lineRule="exact"/>
              <w:rPr>
                <w:sz w:val="20"/>
                <w:szCs w:val="20"/>
                <w:color w:val="auto"/>
              </w:rPr>
            </w:pPr>
            <w:r>
              <w:rPr>
                <w:rFonts w:ascii="Times New Roman" w:cs="Times New Roman" w:eastAsia="Times New Roman" w:hAnsi="Times New Roman"/>
                <w:sz w:val="13"/>
                <w:szCs w:val="13"/>
                <w:color w:val="0000FF"/>
                <w:w w:val="95"/>
              </w:rPr>
              <w:t>4,395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460" w:type="dxa"/>
            <w:vAlign w:val="bottom"/>
            <w:vMerge w:val="continue"/>
          </w:tcPr>
          <w:p>
            <w:pPr>
              <w:spacing w:after="0"/>
              <w:rPr>
                <w:sz w:val="12"/>
                <w:szCs w:val="12"/>
                <w:color w:val="auto"/>
              </w:rPr>
            </w:pPr>
          </w:p>
        </w:tc>
        <w:tc>
          <w:tcPr>
            <w:tcW w:w="800" w:type="dxa"/>
            <w:vAlign w:val="bottom"/>
            <w:gridSpan w:val="3"/>
          </w:tcPr>
          <w:p>
            <w:pPr>
              <w:ind w:left="3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based) (Class</w:t>
            </w: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jc w:val="center"/>
              <w:ind w:right="17"/>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A Non-Voti</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 Units</w:t>
            </w: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(Class A Non-</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continue"/>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582</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03/13/2023</w:t>
            </w: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6"/>
                <w:szCs w:val="6"/>
                <w:color w:val="auto"/>
              </w:rPr>
            </w:pPr>
          </w:p>
        </w:tc>
        <w:tc>
          <w:tcPr>
            <w:tcW w:w="800" w:type="dxa"/>
            <w:vAlign w:val="bottom"/>
            <w:vMerge w:val="restart"/>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w w:val="92"/>
              </w:rPr>
              <w:t>582</w:t>
            </w: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460" w:type="dxa"/>
            <w:vAlign w:val="bottom"/>
            <w:vMerge w:val="continue"/>
          </w:tcPr>
          <w:p>
            <w:pPr>
              <w:spacing w:after="0"/>
              <w:rPr>
                <w:sz w:val="6"/>
                <w:szCs w:val="6"/>
                <w:color w:val="auto"/>
              </w:rPr>
            </w:pPr>
          </w:p>
        </w:tc>
        <w:tc>
          <w:tcPr>
            <w:tcW w:w="800" w:type="dxa"/>
            <w:vAlign w:val="bottom"/>
            <w:gridSpan w:val="3"/>
            <w:vMerge w:val="restart"/>
          </w:tcPr>
          <w:p>
            <w:pPr>
              <w:ind w:left="3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jc w:val="center"/>
              <w:ind w:right="17"/>
              <w:spacing w:after="0" w:line="91" w:lineRule="exact"/>
              <w:rPr>
                <w:sz w:val="20"/>
                <w:szCs w:val="20"/>
                <w:color w:val="auto"/>
              </w:rPr>
            </w:pPr>
            <w:r>
              <w:rPr>
                <w:rFonts w:ascii="Times New Roman" w:cs="Times New Roman" w:eastAsia="Times New Roman" w:hAnsi="Times New Roman"/>
                <w:sz w:val="10"/>
                <w:szCs w:val="10"/>
                <w:color w:val="0000FF"/>
              </w:rPr>
              <w:t>Common</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680" w:type="dxa"/>
            <w:vAlign w:val="bottom"/>
          </w:tcPr>
          <w:p>
            <w:pPr>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3500" w:type="dxa"/>
            <w:vAlign w:val="bottom"/>
            <w:vMerge w:val="restart"/>
          </w:tcPr>
          <w:p>
            <w:pPr>
              <w:ind w:left="3220"/>
              <w:spacing w:after="0"/>
              <w:rPr>
                <w:sz w:val="20"/>
                <w:szCs w:val="20"/>
                <w:color w:val="auto"/>
              </w:rPr>
            </w:pPr>
            <w:r>
              <w:rPr>
                <w:rFonts w:ascii="Times New Roman" w:cs="Times New Roman" w:eastAsia="Times New Roman" w:hAnsi="Times New Roman"/>
                <w:sz w:val="13"/>
                <w:szCs w:val="13"/>
                <w:color w:val="0000FF"/>
                <w:w w:val="87"/>
              </w:rPr>
              <w:t>Stock</w:t>
            </w:r>
          </w:p>
        </w:tc>
        <w:tc>
          <w:tcPr>
            <w:tcW w:w="0" w:type="dxa"/>
            <w:vAlign w:val="bottom"/>
          </w:tcPr>
          <w:p>
            <w:pPr>
              <w:spacing w:after="0"/>
              <w:rPr>
                <w:sz w:val="1"/>
                <w:szCs w:val="1"/>
                <w:color w:val="auto"/>
              </w:rPr>
            </w:pPr>
          </w:p>
        </w:tc>
      </w:tr>
      <w:tr>
        <w:trPr>
          <w:trHeight w:val="89"/>
        </w:trPr>
        <w:tc>
          <w:tcPr>
            <w:tcW w:w="36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3680" w:type="dxa"/>
            <w:vAlign w:val="bottom"/>
            <w:vMerge w:val="continue"/>
          </w:tcPr>
          <w:p>
            <w:pPr>
              <w:spacing w:after="0"/>
              <w:rPr>
                <w:sz w:val="6"/>
                <w:szCs w:val="6"/>
                <w:color w:val="auto"/>
              </w:rPr>
            </w:pPr>
          </w:p>
        </w:tc>
        <w:tc>
          <w:tcPr>
            <w:tcW w:w="3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Class A Non-Voting Common Stock upon vesting of the unit.</w:t>
      </w:r>
    </w:p>
    <w:p>
      <w:pPr>
        <w:spacing w:after="0" w:line="41" w:lineRule="exact"/>
        <w:rPr>
          <w:rFonts w:ascii="Times New Roman" w:cs="Times New Roman" w:eastAsia="Times New Roman" w:hAnsi="Times New Roman"/>
          <w:sz w:val="13"/>
          <w:szCs w:val="13"/>
          <w:color w:val="008000"/>
        </w:rPr>
      </w:pPr>
    </w:p>
    <w:p>
      <w:pPr>
        <w:ind w:left="40" w:right="180"/>
        <w:spacing w:after="0" w:line="260"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previously reported, a total of 24,530 restricted stock units were granted on March 10, 2020 pursuant to the Company's 2010 Stock Incentive Plan. Of that amount, (i) 18,398 restricted stock units vest in four equal annual installments commencing on March 10, 2021, March 10, 2022, March 10, 2023, and March 10, 2024; and (ii) 6,132 performance-based restricted stock units (PRSU) vest on the third anniversary of the Date of Grant, March 10, 2023; provided that (a) the reporting person has not undergone a termination of his service at the vesting date (or earlier accelerating event), and (b)(1) one-third of the performance criteria (PRSU Criteria) has been met and certified by the Compensation and Stock Option Committee (Committee) for the year ended December 31, 2020, such determination to be made before March 10, 2021;</w:t>
      </w:r>
    </w:p>
    <w:p>
      <w:pPr>
        <w:spacing w:after="0" w:line="14" w:lineRule="exact"/>
        <w:rPr>
          <w:rFonts w:ascii="Times New Roman" w:cs="Times New Roman" w:eastAsia="Times New Roman" w:hAnsi="Times New Roman"/>
          <w:sz w:val="12"/>
          <w:szCs w:val="12"/>
          <w:color w:val="008000"/>
        </w:rPr>
      </w:pPr>
    </w:p>
    <w:p>
      <w:pPr>
        <w:ind w:left="40" w:right="160"/>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and (2) two-thirds of the PRSU Criteria shall be based upon performance for the two remaining calendar years (2021 and 2022) under objective performance criteria to be established by the Committee, and shall be subject to the certification by the Committee that such PRSU Criteria, or portion thereof (stated as a percentage), has been met. The Committee must certify on or before March 10, 2023 the percentage of the PRSU Criteria which has been met for the calendar years 2021 and 2022. On March 9, 2022, the Committee determined and certified that the reporting person met 100% of the PRSU Criteria for the year ended December 31, 2021. On March 9, 2023, the Committee determined and certified that the reporting person met 15% of PRSU criteria for the year ended December 31, 2022. The reporting person previously reported all 24,530 restricted stock units (including 6,132 PRSUs) in Table II of Form 4 dated March 12, 2020.</w:t>
      </w:r>
    </w:p>
    <w:p>
      <w:pPr>
        <w:spacing w:after="0" w:line="27"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2,328 restricted stock units granted on March 13, 2019 pursuant to the Company's 2010 Stock Incentive Plan, vesting in four equal annual installments commencing on the first anniversary of the Date of Grant. The installments vest on March 13, 2020, March 13, 2021, March 13, 2022, and March 13, 2023.</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Gilbert Avanes</w:t>
            </w: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03/14/2023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1"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2000" TargetMode="External"/><Relationship Id="rId13" Type="http://schemas.openxmlformats.org/officeDocument/2006/relationships/hyperlink" Target="http://www.sec.gov/cgi-bin/browse-edgar?action=getcompany&amp;CIK=0000716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2023-03-14T13:18:12Z</dcterms:created>
  <dcterms:modified xsi:type="dcterms:W3CDTF">2023-03-14T13:18:12Z</dcterms:modified>
</cp:coreProperties>
</file>