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37"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color w:val="auto"/>
        </w:rPr>
        <w:t>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7" w:lineRule="auto"/>
        <w:rPr>
          <w:sz w:val="20"/>
          <w:szCs w:val="20"/>
          <w:color w:val="auto"/>
        </w:rPr>
      </w:pPr>
      <w:r>
        <w:rPr>
          <w:rFonts w:ascii="Times New Roman" w:cs="Times New Roman" w:eastAsia="Times New Roman" w:hAnsi="Times New Roman"/>
          <w:sz w:val="18"/>
          <w:szCs w:val="18"/>
          <w:color w:val="auto"/>
        </w:rPr>
        <w:t>(Mark One)</w:t>
      </w:r>
    </w:p>
    <w:p>
      <w:pPr>
        <w:ind w:left="680" w:hanging="659"/>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9"/>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2311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READING INTERNATIONAL, INC.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2"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48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4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95-3885184</w:t>
            </w:r>
          </w:p>
        </w:tc>
        <w:tc>
          <w:tcPr>
            <w:tcW w:w="0" w:type="dxa"/>
            <w:vAlign w:val="bottom"/>
          </w:tcPr>
          <w:p>
            <w:pPr>
              <w:spacing w:after="0"/>
              <w:rPr>
                <w:sz w:val="1"/>
                <w:szCs w:val="1"/>
                <w:color w:val="auto"/>
              </w:rPr>
            </w:pPr>
          </w:p>
        </w:tc>
      </w:tr>
      <w:tr>
        <w:trPr>
          <w:trHeight w:val="149"/>
        </w:trPr>
        <w:tc>
          <w:tcPr>
            <w:tcW w:w="48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40" w:type="dxa"/>
            <w:vAlign w:val="bottom"/>
          </w:tcPr>
          <w:p>
            <w:pPr>
              <w:jc w:val="center"/>
              <w:ind w:left="1319"/>
              <w:spacing w:after="0" w:line="149" w:lineRule="exact"/>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189"/>
        </w:trPr>
        <w:tc>
          <w:tcPr>
            <w:tcW w:w="4800" w:type="dxa"/>
            <w:vAlign w:val="bottom"/>
          </w:tcPr>
          <w:p>
            <w:pPr>
              <w:jc w:val="center"/>
              <w:ind w:right="1317"/>
              <w:spacing w:after="0" w:line="189" w:lineRule="exact"/>
              <w:rPr>
                <w:sz w:val="20"/>
                <w:szCs w:val="20"/>
                <w:color w:val="auto"/>
              </w:rPr>
            </w:pPr>
            <w:r>
              <w:rPr>
                <w:rFonts w:ascii="Times New Roman" w:cs="Times New Roman" w:eastAsia="Times New Roman" w:hAnsi="Times New Roman"/>
                <w:sz w:val="18"/>
                <w:szCs w:val="18"/>
                <w:b w:val="1"/>
                <w:bCs w:val="1"/>
                <w:color w:val="auto"/>
                <w:w w:val="99"/>
              </w:rPr>
              <w:t>189 Second Avenue, Suite 2S</w:t>
            </w:r>
          </w:p>
        </w:tc>
        <w:tc>
          <w:tcPr>
            <w:tcW w:w="364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10003</w:t>
            </w:r>
          </w:p>
        </w:tc>
        <w:tc>
          <w:tcPr>
            <w:tcW w:w="0" w:type="dxa"/>
            <w:vAlign w:val="bottom"/>
          </w:tcPr>
          <w:p>
            <w:pPr>
              <w:spacing w:after="0"/>
              <w:rPr>
                <w:sz w:val="1"/>
                <w:szCs w:val="1"/>
                <w:color w:val="auto"/>
              </w:rPr>
            </w:pPr>
          </w:p>
        </w:tc>
      </w:tr>
      <w:tr>
        <w:trPr>
          <w:trHeight w:val="216"/>
        </w:trPr>
        <w:tc>
          <w:tcPr>
            <w:tcW w:w="48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tcPr>
          <w:p>
            <w:pPr>
              <w:jc w:val="center"/>
              <w:ind w:right="13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tcPr>
          <w:p>
            <w:pPr>
              <w:jc w:val="center"/>
              <w:ind w:left="12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(213) 235-2240</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Title of each class</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47"/>
        </w:trPr>
        <w:tc>
          <w:tcPr>
            <w:tcW w:w="4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Class A Nonvoting Common Stock, $0.01 par value</w:t>
            </w:r>
          </w:p>
        </w:tc>
        <w:tc>
          <w:tcPr>
            <w:tcW w:w="100" w:type="dxa"/>
            <w:vAlign w:val="bottom"/>
          </w:tcPr>
          <w:p>
            <w:pPr>
              <w:spacing w:after="0"/>
              <w:rPr>
                <w:sz w:val="12"/>
                <w:szCs w:val="12"/>
                <w:color w:val="auto"/>
              </w:rPr>
            </w:pPr>
          </w:p>
        </w:tc>
        <w:tc>
          <w:tcPr>
            <w:tcW w:w="25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RDI</w:t>
            </w:r>
          </w:p>
        </w:tc>
        <w:tc>
          <w:tcPr>
            <w:tcW w:w="100" w:type="dxa"/>
            <w:vAlign w:val="bottom"/>
          </w:tcPr>
          <w:p>
            <w:pPr>
              <w:spacing w:after="0"/>
              <w:rPr>
                <w:sz w:val="12"/>
                <w:szCs w:val="12"/>
                <w:color w:val="auto"/>
              </w:rPr>
            </w:pPr>
          </w:p>
        </w:tc>
        <w:tc>
          <w:tcPr>
            <w:tcW w:w="37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38"/>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B Voting Common Stock, $0.01 par value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RDIB</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44" w:lineRule="exact"/>
        <w:rPr>
          <w:sz w:val="24"/>
          <w:szCs w:val="24"/>
          <w:color w:val="auto"/>
        </w:rPr>
      </w:pPr>
    </w:p>
    <w:p>
      <w:pPr>
        <w:ind w:right="30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24"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March 28, 2025 there were 20,603,203 shares of Class A Nonvoting Common Stock, $0.01 par value per share, and 1,680,590 shares of Class B Voting Common Stock, $0.01 par value per share, outstanding.</w:t>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97" w:lineRule="exact"/>
        <w:rPr>
          <w:sz w:val="20"/>
          <w:szCs w:val="20"/>
          <w:color w:val="auto"/>
        </w:rPr>
      </w:pPr>
    </w:p>
    <w:p>
      <w:pPr>
        <w:jc w:val="both"/>
        <w:ind w:right="100"/>
        <w:spacing w:after="0" w:line="236" w:lineRule="auto"/>
        <w:rPr>
          <w:sz w:val="20"/>
          <w:szCs w:val="20"/>
          <w:color w:val="auto"/>
        </w:rPr>
      </w:pPr>
      <w:r>
        <w:rPr>
          <w:rFonts w:ascii="Times New Roman" w:cs="Times New Roman" w:eastAsia="Times New Roman" w:hAnsi="Times New Roman"/>
          <w:sz w:val="18"/>
          <w:szCs w:val="18"/>
          <w:color w:val="auto"/>
        </w:rPr>
        <w:t>Reading International, Inc. (the “Company,” “Reading,” and “we,” “us,” or “our”) is filing this Amendment No. 1 on Form 10-Q/A (the “Amendment”) to amend and restate certain items in its Quarterly Report on Form 10-Q for the six months ended June 30, 2024, originally filed with the U.S. Securities and Exchange Commission (the “SEC”) on August 14, 2024 (the “Original Report”).</w:t>
      </w:r>
    </w:p>
    <w:p>
      <w:pPr>
        <w:spacing w:after="0" w:line="159"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In this Amendment, the Company is restating its previously issued unaudited consolidated financial statements as of June 30, 2024, to correct an error in previously reported accounts payable and accrued liabilities, and accumulated deficit within the unaudited Consolidated Balance Sheets. The errors stemmed from the erroneous reversal and treatment of a liability.</w:t>
      </w:r>
    </w:p>
    <w:p>
      <w:pPr>
        <w:spacing w:after="0" w:line="155" w:lineRule="exact"/>
        <w:rPr>
          <w:sz w:val="20"/>
          <w:szCs w:val="20"/>
          <w:color w:val="auto"/>
        </w:rPr>
      </w:pPr>
    </w:p>
    <w:p>
      <w:pPr>
        <w:ind w:right="600"/>
        <w:spacing w:after="0" w:line="253"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Restatement of Previously Issued Consolidated Financial Statements</w:t>
      </w:r>
      <w:r>
        <w:rPr>
          <w:rFonts w:ascii="Times New Roman" w:cs="Times New Roman" w:eastAsia="Times New Roman" w:hAnsi="Times New Roman"/>
          <w:sz w:val="18"/>
          <w:szCs w:val="18"/>
          <w:color w:val="auto"/>
        </w:rPr>
        <w:t>, for additional information on the unaudited consolidated financial statements as of June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the Company's Current Report on Form 8-K filed with the SEC on March 28, 2025, the Company identified an error that stemmed from the erroneous reversal and treatment of a liability in the quarter ended June 30, 2024.</w:t>
      </w:r>
    </w:p>
    <w:p>
      <w:pPr>
        <w:spacing w:after="0" w:line="14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a result, the Company’s unaudited consolidated financial statements as of and for the period ended June 30, 2024 included in the Form 10-Q originally filed with the SEC on August 14, 2024 (the “Original Report”) are being restated.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189"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restatements, as a result of the accounting error, the Company’s management has identified a material weakness in its internal control over financial reporting. See Item 4,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Amended in this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amends and restates the following items of the Original 10-Q Report:</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1. Financial Statements</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2. Management’s Discussion and Analysis of Financial Condition and Results of Operations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4. Controls and Procedures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6. Exhibits</w:t>
      </w:r>
    </w:p>
    <w:p>
      <w:pPr>
        <w:spacing w:after="0" w:line="16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this Amendment includes new certifications specified in Rule 13a-14 under the Exchange Act, dated as of the date of this Amendment, from the Company’s Chief Executive Officer and Chief Financial Officer.</w:t>
      </w:r>
    </w:p>
    <w:p>
      <w:pPr>
        <w:spacing w:after="0" w:line="159"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This Amendment continues to describe the conditions as of the date of the Original 10-Q Report and, except as contained herein, we have not updated or modified the disclosures contained in the Original 10-Q Report to reflect any events that have occurred after the Original 10-Q Report. Accordingly, forward-looking statements included in this</w:t>
      </w:r>
    </w:p>
    <w:p>
      <w:pPr>
        <w:spacing w:after="0"/>
        <w:rPr>
          <w:sz w:val="20"/>
          <w:szCs w:val="20"/>
          <w:color w:val="auto"/>
        </w:rPr>
      </w:pPr>
      <w:r>
        <w:rPr>
          <w:rFonts w:ascii="Times New Roman" w:cs="Times New Roman" w:eastAsia="Times New Roman" w:hAnsi="Times New Roman"/>
          <w:sz w:val="18"/>
          <w:szCs w:val="18"/>
          <w:color w:val="auto"/>
        </w:rPr>
        <w:t>Amendment may represent management’s views as of the Original 10-Q Report and should not be assumed to be accurate as of any date thereafter.</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0" w:type="dxa"/>
            <w:vAlign w:val="bottom"/>
            <w:gridSpan w:val="11"/>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READING INTERNATIONAL, INC. AND SUBSIDIARIES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7"/>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63"/>
        </w:trPr>
        <w:tc>
          <w:tcPr>
            <w:tcW w:w="10500" w:type="dxa"/>
            <w:vAlign w:val="bottom"/>
            <w:tcBorders>
              <w:top w:val="single" w:sz="8" w:color="CCEE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Item 1 – Financial Statements</w:t>
            </w:r>
          </w:p>
        </w:tc>
        <w:tc>
          <w:tcPr>
            <w:tcW w:w="8060" w:type="dxa"/>
            <w:vAlign w:val="bottom"/>
            <w:tcBorders>
              <w:top w:val="single" w:sz="8" w:color="CCEEFF"/>
            </w:tcBorders>
            <w:gridSpan w:val="14"/>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Balance Sheets (Unaudited)</w:t>
            </w:r>
          </w:p>
        </w:tc>
        <w:tc>
          <w:tcPr>
            <w:tcW w:w="7160" w:type="dxa"/>
            <w:vAlign w:val="bottom"/>
            <w:tcBorders>
              <w:bottom w:val="single" w:sz="8" w:color="CCEEFF"/>
            </w:tcBorders>
            <w:gridSpan w:val="10"/>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6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16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780" w:type="dxa"/>
            <w:vAlign w:val="bottom"/>
            <w:tcBorders>
              <w:top w:val="single" w:sz="8" w:color="0000FF"/>
              <w:bottom w:val="single" w:sz="8" w:color="0000FF"/>
            </w:tcBorders>
            <w:gridSpan w:val="13"/>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860" w:type="dxa"/>
            <w:vAlign w:val="bottom"/>
            <w:tcBorders>
              <w:top w:val="single" w:sz="8" w:color="0000FF"/>
            </w:tcBorders>
            <w:gridSpan w:val="3"/>
          </w:tcPr>
          <w:p>
            <w:pPr>
              <w:spacing w:after="0"/>
              <w:rPr>
                <w:sz w:val="14"/>
                <w:szCs w:val="14"/>
                <w:color w:val="auto"/>
              </w:rPr>
            </w:pPr>
          </w:p>
        </w:tc>
        <w:tc>
          <w:tcPr>
            <w:tcW w:w="5520" w:type="dxa"/>
            <w:vAlign w:val="bottom"/>
            <w:tcBorders>
              <w:top w:val="single" w:sz="8" w:color="CCEEFF"/>
            </w:tcBorders>
            <w:gridSpan w:val="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60" w:type="dxa"/>
            <w:vAlign w:val="bottom"/>
            <w:tcBorders>
              <w:bottom w:val="single" w:sz="8" w:color="0000FF"/>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6100" w:type="dxa"/>
            <w:vAlign w:val="bottom"/>
            <w:tcBorders>
              <w:bottom w:val="single" w:sz="8" w:color="CCEEFF"/>
            </w:tcBorders>
            <w:gridSpan w:val="7"/>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100" w:type="dxa"/>
            <w:vAlign w:val="bottom"/>
            <w:tcBorders>
              <w:bottom w:val="single" w:sz="8" w:color="0000FF"/>
            </w:tcBorders>
            <w:gridSpan w:val="21"/>
          </w:tcPr>
          <w:p>
            <w:pPr>
              <w:spacing w:after="0" w:line="162"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4880" w:type="dxa"/>
            <w:vAlign w:val="bottom"/>
            <w:tcBorders>
              <w:bottom w:val="single" w:sz="8" w:color="0000FF"/>
            </w:tcBorders>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Item 3 – Quantitative and Qualitative Disclosure about Market Risk</w:t>
            </w:r>
          </w:p>
        </w:tc>
        <w:tc>
          <w:tcPr>
            <w:tcW w:w="5480" w:type="dxa"/>
            <w:vAlign w:val="bottom"/>
            <w:tcBorders>
              <w:bottom w:val="single" w:sz="8" w:color="CCEEFF"/>
            </w:tcBorders>
            <w:gridSpan w:val="4"/>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420" w:type="dxa"/>
            <w:vAlign w:val="bottom"/>
            <w:tcBorders>
              <w:bottom w:val="single" w:sz="8" w:color="0000FF"/>
            </w:tcBorders>
            <w:gridSpan w:val="10"/>
          </w:tcPr>
          <w:p>
            <w:pPr>
              <w:spacing w:after="0" w:line="162" w:lineRule="exact"/>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7940" w:type="dxa"/>
            <w:vAlign w:val="bottom"/>
            <w:gridSpan w:val="12"/>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0000FF"/>
            </w:tcBorders>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 – Legal Proceedings</w:t>
            </w:r>
          </w:p>
        </w:tc>
        <w:tc>
          <w:tcPr>
            <w:tcW w:w="160" w:type="dxa"/>
            <w:vAlign w:val="bottom"/>
            <w:tcBorders>
              <w:top w:val="single" w:sz="8" w:color="0000FF"/>
            </w:tcBorders>
          </w:tcPr>
          <w:p>
            <w:pPr>
              <w:spacing w:after="0"/>
              <w:rPr>
                <w:sz w:val="14"/>
                <w:szCs w:val="14"/>
                <w:color w:val="auto"/>
              </w:rPr>
            </w:pPr>
          </w:p>
        </w:tc>
        <w:tc>
          <w:tcPr>
            <w:tcW w:w="8220" w:type="dxa"/>
            <w:vAlign w:val="bottom"/>
            <w:tcBorders>
              <w:top w:val="single" w:sz="8" w:color="CCEEFF"/>
            </w:tcBorders>
            <w:gridSpan w:val="1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0000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1A – Risk Factors</w:t>
            </w:r>
          </w:p>
        </w:tc>
        <w:tc>
          <w:tcPr>
            <w:tcW w:w="8680" w:type="dxa"/>
            <w:vAlign w:val="bottom"/>
            <w:tcBorders>
              <w:bottom w:val="single" w:sz="8" w:color="CCEEFF"/>
            </w:tcBorders>
            <w:gridSpan w:val="18"/>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4980" w:type="dxa"/>
            <w:vAlign w:val="bottom"/>
            <w:tcBorders>
              <w:top w:val="single" w:sz="8" w:color="0000FF"/>
            </w:tcBorders>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3 – Defaults Upon Senior Securities</w:t>
            </w:r>
          </w:p>
        </w:tc>
        <w:tc>
          <w:tcPr>
            <w:tcW w:w="5380" w:type="dxa"/>
            <w:vAlign w:val="bottom"/>
            <w:gridSpan w:val="3"/>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960" w:type="dxa"/>
            <w:vAlign w:val="bottom"/>
            <w:tcBorders>
              <w:top w:val="single" w:sz="8" w:color="0000FF"/>
            </w:tcBorders>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Item 4 – Mine Safety Disclosure</w:t>
            </w:r>
          </w:p>
        </w:tc>
        <w:tc>
          <w:tcPr>
            <w:tcW w:w="7400" w:type="dxa"/>
            <w:vAlign w:val="bottom"/>
            <w:tcBorders>
              <w:top w:val="single" w:sz="8" w:color="CCEEFF"/>
            </w:tcBorders>
            <w:gridSpan w:val="11"/>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top w:val="single" w:sz="8" w:color="0000FF"/>
              <w:bottom w:val="single" w:sz="8" w:color="0000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5 – Other Information</w:t>
            </w:r>
          </w:p>
        </w:tc>
        <w:tc>
          <w:tcPr>
            <w:tcW w:w="3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8020" w:type="dxa"/>
            <w:vAlign w:val="bottom"/>
            <w:tcBorders>
              <w:bottom w:val="single" w:sz="8" w:color="CCEEFF"/>
            </w:tcBorders>
            <w:gridSpan w:val="13"/>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6 – Exhibits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Certifications</w:t>
            </w:r>
          </w:p>
        </w:tc>
        <w:tc>
          <w:tcPr>
            <w:tcW w:w="9340" w:type="dxa"/>
            <w:vAlign w:val="bottom"/>
            <w:tcBorders>
              <w:top w:val="single" w:sz="8" w:color="CCEEFF"/>
            </w:tcBorders>
            <w:gridSpan w:val="20"/>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Financial Statements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information)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60" w:type="dxa"/>
            <w:vAlign w:val="bottom"/>
          </w:tcPr>
          <w:p>
            <w:pPr>
              <w:spacing w:after="0"/>
              <w:rPr>
                <w:sz w:val="16"/>
                <w:szCs w:val="16"/>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(As Restated)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12,906</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Receivables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w:t>
            </w: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r>
      <w:tr>
        <w:trPr>
          <w:trHeight w:val="229"/>
        </w:trPr>
        <w:tc>
          <w:tcPr>
            <w:tcW w:w="8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property held for sale</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11,179</w:t>
            </w:r>
          </w:p>
        </w:tc>
      </w:tr>
      <w:tr>
        <w:trPr>
          <w:trHeight w:val="209"/>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38,710</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property,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262,417</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181,542</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and development property,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8,789</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unconsolidated joint ventures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25,535</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29"/>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w:t>
            </w:r>
          </w:p>
        </w:tc>
      </w:tr>
      <w:tr>
        <w:trPr>
          <w:trHeight w:val="203"/>
        </w:trPr>
        <w:tc>
          <w:tcPr>
            <w:tcW w:w="8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494,855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533,051</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43,828</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Film rent payable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Debt -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34,484</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debt - current portion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Taxes payable - current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23,047</w:t>
            </w:r>
          </w:p>
        </w:tc>
      </w:tr>
      <w:tr>
        <w:trPr>
          <w:trHeight w:val="230"/>
        </w:trPr>
        <w:tc>
          <w:tcPr>
            <w:tcW w:w="8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6,731</w:t>
            </w: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127,083</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 long-term portion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146,605</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 non-current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Subordinated debt,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27,172</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Noncurrent tax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180,898</w:t>
            </w:r>
          </w:p>
        </w:tc>
      </w:tr>
      <w:tr>
        <w:trPr>
          <w:trHeight w:val="229"/>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11,711</w:t>
            </w:r>
          </w:p>
        </w:tc>
      </w:tr>
      <w:tr>
        <w:trPr>
          <w:trHeight w:val="210"/>
        </w:trPr>
        <w:tc>
          <w:tcPr>
            <w:tcW w:w="8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500,055</w:t>
            </w:r>
          </w:p>
        </w:tc>
      </w:tr>
      <w:tr>
        <w:trPr>
          <w:trHeight w:val="208"/>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7"/>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Class A non-voting common shares, par value $0.01, 100,000,000 shares authorized,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33,681,705 issued and 20,745,594 outstanding at June 30, 2024 and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33,602,627 issued and 20,666,516 outstanding at December 31, 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voting common shares, par value $0.01, 20,000,000 shares authorized and</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1,680,590 issued and outstanding at June 30, 2024 and December 31, 2023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Nonvoting preferred shares, par value $0.01, 12,000 shares authorized and no issued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2"/>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 outstanding shares at June 30, 2024 and December 31, 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156,529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155,402</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earnings/(deficits)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(105,523)</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(79,489)</w:t>
            </w:r>
          </w:p>
        </w:tc>
      </w:tr>
      <w:tr>
        <w:trPr>
          <w:trHeight w:val="23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(40,407)</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(40,407)</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(4,325)</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09"/>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Reading International, Inc.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33,087</w:t>
            </w: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9"/>
        </w:trPr>
        <w:tc>
          <w:tcPr>
            <w:tcW w:w="8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32,996</w:t>
            </w:r>
          </w:p>
        </w:tc>
      </w:tr>
      <w:tr>
        <w:trPr>
          <w:trHeight w:val="203"/>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494,855</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533,051</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4"/>
                <w:szCs w:val="14"/>
                <w:color w:val="auto"/>
              </w:rPr>
            </w:pPr>
          </w:p>
        </w:tc>
      </w:tr>
      <w:tr>
        <w:trPr>
          <w:trHeight w:val="19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69"/>
        </w:trPr>
        <w:tc>
          <w:tcPr>
            <w:tcW w:w="5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42,942</w:t>
            </w:r>
          </w:p>
        </w:tc>
        <w:tc>
          <w:tcPr>
            <w:tcW w:w="180" w:type="dxa"/>
            <w:vAlign w:val="bottom"/>
          </w:tcPr>
          <w:p>
            <w:pPr>
              <w:spacing w:after="0"/>
              <w:rPr>
                <w:sz w:val="16"/>
                <w:szCs w:val="16"/>
                <w:color w:val="auto"/>
              </w:rPr>
            </w:pPr>
          </w:p>
        </w:tc>
        <w:tc>
          <w:tcPr>
            <w:tcW w:w="440" w:type="dxa"/>
            <w:vAlign w:val="bottom"/>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61,056</w:t>
            </w:r>
          </w:p>
        </w:tc>
        <w:tc>
          <w:tcPr>
            <w:tcW w:w="80" w:type="dxa"/>
            <w:vAlign w:val="bottom"/>
          </w:tcPr>
          <w:p>
            <w:pPr>
              <w:spacing w:after="0"/>
              <w:rPr>
                <w:sz w:val="16"/>
                <w:szCs w:val="16"/>
                <w:color w:val="auto"/>
              </w:rPr>
            </w:pPr>
          </w:p>
        </w:tc>
        <w:tc>
          <w:tcPr>
            <w:tcW w:w="260" w:type="dxa"/>
            <w:vAlign w:val="bottom"/>
            <w:gridSpan w:val="2"/>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84,213</w:t>
            </w:r>
          </w:p>
        </w:tc>
        <w:tc>
          <w:tcPr>
            <w:tcW w:w="160" w:type="dxa"/>
            <w:vAlign w:val="bottom"/>
          </w:tcPr>
          <w:p>
            <w:pPr>
              <w:spacing w:after="0"/>
              <w:rPr>
                <w:sz w:val="16"/>
                <w:szCs w:val="16"/>
                <w:color w:val="auto"/>
              </w:rPr>
            </w:pPr>
          </w:p>
        </w:tc>
        <w:tc>
          <w:tcPr>
            <w:tcW w:w="50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103,042</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3,867</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7,648</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7,819</w:t>
            </w:r>
          </w:p>
        </w:tc>
      </w:tr>
      <w:tr>
        <w:trPr>
          <w:trHeight w:val="183"/>
        </w:trPr>
        <w:tc>
          <w:tcPr>
            <w:tcW w:w="514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46,809</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65,055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91,861</w:t>
            </w:r>
          </w:p>
        </w:tc>
        <w:tc>
          <w:tcPr>
            <w:tcW w:w="16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110,861</w:t>
            </w:r>
          </w:p>
        </w:tc>
      </w:tr>
      <w:tr>
        <w:trPr>
          <w:trHeight w:val="183"/>
        </w:trPr>
        <w:tc>
          <w:tcPr>
            <w:tcW w:w="5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(42,758)</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(51,364)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(83,478)</w:t>
            </w: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(93,019)</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(2,461)</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(4,696)</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(4,319)</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(4,011)</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(4,689)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(8,216)</w:t>
            </w: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(9,329)</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(5,271)</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(5,109)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(10,693)</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(10,288)</w:t>
            </w:r>
          </w:p>
        </w:tc>
      </w:tr>
      <w:tr>
        <w:trPr>
          <w:trHeight w:val="183"/>
        </w:trPr>
        <w:tc>
          <w:tcPr>
            <w:tcW w:w="514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(54,501)</w:t>
            </w:r>
          </w:p>
        </w:tc>
        <w:tc>
          <w:tcPr>
            <w:tcW w:w="1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(63,266)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(107,083)</w:t>
            </w:r>
          </w:p>
        </w:tc>
        <w:tc>
          <w:tcPr>
            <w:tcW w:w="16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(116,955)</w:t>
            </w:r>
          </w:p>
        </w:tc>
      </w:tr>
      <w:tr>
        <w:trPr>
          <w:trHeight w:val="183"/>
        </w:trPr>
        <w:tc>
          <w:tcPr>
            <w:tcW w:w="5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(7,692)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(15,222)</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(6,094)</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(5,377)</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(4,874)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(10,662)</w:t>
            </w: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(8,991)</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(1,116)</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(216)</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r>
      <w:tr>
        <w:trPr>
          <w:trHeight w:val="147"/>
        </w:trPr>
        <w:tc>
          <w:tcPr>
            <w:tcW w:w="514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Income (loss) before income tax expense and equity earnings of</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238"/>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unconsolidated joint ventures</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(13,276)</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(26,877)</w:t>
            </w: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r>
      <w:tr>
        <w:trPr>
          <w:trHeight w:val="183"/>
        </w:trPr>
        <w:tc>
          <w:tcPr>
            <w:tcW w:w="5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(13,157)</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(2,964)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(26,783)</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(14,768)</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583</w:t>
            </w:r>
          </w:p>
        </w:tc>
      </w:tr>
      <w:tr>
        <w:trPr>
          <w:trHeight w:val="183"/>
        </w:trPr>
        <w:tc>
          <w:tcPr>
            <w:tcW w:w="5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(13,001)</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(26,404)</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(14,185)</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(370)</w:t>
            </w: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r>
      <w:tr>
        <w:trPr>
          <w:trHeight w:val="203"/>
        </w:trPr>
        <w:tc>
          <w:tcPr>
            <w:tcW w:w="51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Reading International, Inc.</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(26,034)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(13,889)</w:t>
            </w:r>
          </w:p>
        </w:tc>
      </w:tr>
      <w:tr>
        <w:trPr>
          <w:trHeight w:val="183"/>
        </w:trPr>
        <w:tc>
          <w:tcPr>
            <w:tcW w:w="514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(0.57)</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7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(0.63)</w:t>
            </w:r>
          </w:p>
        </w:tc>
      </w:tr>
      <w:tr>
        <w:trPr>
          <w:trHeight w:val="209"/>
        </w:trPr>
        <w:tc>
          <w:tcPr>
            <w:tcW w:w="5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(0.57)</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(0.63)</w:t>
            </w:r>
          </w:p>
        </w:tc>
      </w:tr>
      <w:tr>
        <w:trPr>
          <w:trHeight w:val="176"/>
        </w:trPr>
        <w:tc>
          <w:tcPr>
            <w:tcW w:w="5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22,413,617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22,262,214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22,379,881</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8"/>
              </w:rPr>
              <w:t>22,183,618</w:t>
            </w:r>
          </w:p>
        </w:tc>
      </w:tr>
      <w:tr>
        <w:trPr>
          <w:trHeight w:val="196"/>
        </w:trPr>
        <w:tc>
          <w:tcPr>
            <w:tcW w:w="5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23,246,591</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23,502,506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23,294,887</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23,423,910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r>
      <w:tr>
        <w:trPr>
          <w:trHeight w:val="19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(13,001)</w:t>
            </w: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(2,861)</w:t>
            </w:r>
          </w:p>
        </w:tc>
        <w:tc>
          <w:tcPr>
            <w:tcW w:w="2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(26,404)</w:t>
            </w:r>
          </w:p>
        </w:tc>
        <w:tc>
          <w:tcPr>
            <w:tcW w:w="520" w:type="dxa"/>
            <w:vAlign w:val="bottom"/>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(14,185)</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gain (loss)</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932</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(1,659)</w:t>
            </w: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(1,352)</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cash flow hedges</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(788)</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r>
      <w:tr>
        <w:trPr>
          <w:trHeight w:val="183"/>
        </w:trPr>
        <w:tc>
          <w:tcPr>
            <w:tcW w:w="5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(12,115)</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(3,602)</w:t>
            </w: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(28,059)</w:t>
            </w: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(16,218)</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(370)</w:t>
            </w: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r>
      <w:tr>
        <w:trPr>
          <w:trHeight w:val="157"/>
        </w:trPr>
        <w:tc>
          <w:tcPr>
            <w:tcW w:w="53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34"/>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514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(11,920)</w:t>
            </w:r>
          </w:p>
        </w:tc>
        <w:tc>
          <w:tcPr>
            <w:tcW w:w="18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(27,688)</w:t>
            </w:r>
          </w:p>
        </w:tc>
        <w:tc>
          <w:tcPr>
            <w:tcW w:w="16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(15,920)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3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(26,404)</w:t>
            </w:r>
          </w:p>
        </w:tc>
        <w:tc>
          <w:tcPr>
            <w:tcW w:w="40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(14,185)</w:t>
            </w:r>
          </w:p>
        </w:tc>
      </w:tr>
      <w:tr>
        <w:trPr>
          <w:trHeight w:val="189"/>
        </w:trPr>
        <w:tc>
          <w:tcPr>
            <w:tcW w:w="80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Adjustments to reconcile net income (loss) to net cash provided by operating activities: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Distributions of earnings from unconsolidated joint ventures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338</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(Gain) loss recognized on foreign currency transactions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operating leases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9,290</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finance leases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operating lease liabilities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(9,903)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(10,059)</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 of derivative instruments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net deferred tax assets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8,216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9,329</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amortization</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753</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Stock based compensation expense</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751</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i w:val="1"/>
                <w:iCs w:val="1"/>
                <w:color w:val="auto"/>
              </w:rPr>
              <w:t>Net changes in operating assets and liabilities: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719</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Prepaid and other assets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(1,341)</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Payments for accrued pension</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(2,540)</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Film rent payable</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r>
      <w:tr>
        <w:trPr>
          <w:trHeight w:val="189"/>
        </w:trPr>
        <w:tc>
          <w:tcPr>
            <w:tcW w:w="80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Taxes payable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1,512</w:t>
            </w:r>
          </w:p>
        </w:tc>
      </w:tr>
      <w:tr>
        <w:trPr>
          <w:trHeight w:val="189"/>
        </w:trPr>
        <w:tc>
          <w:tcPr>
            <w:tcW w:w="80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Deferred revenue and other liabilities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(2,937)</w:t>
            </w:r>
          </w:p>
        </w:tc>
      </w:tr>
      <w:tr>
        <w:trPr>
          <w:trHeight w:val="183"/>
        </w:trPr>
        <w:tc>
          <w:tcPr>
            <w:tcW w:w="80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(13,157)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(8,808)</w:t>
            </w:r>
          </w:p>
        </w:tc>
      </w:tr>
      <w:tr>
        <w:trPr>
          <w:trHeight w:val="183"/>
        </w:trPr>
        <w:tc>
          <w:tcPr>
            <w:tcW w:w="8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Purchases of and additions to operating and investment properties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(3,430)</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020" w:type="dxa"/>
            <w:vAlign w:val="bottom"/>
            <w:tcBorders>
              <w:bottom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9,603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0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(3,430)</w:t>
            </w:r>
          </w:p>
        </w:tc>
      </w:tr>
      <w:tr>
        <w:trPr>
          <w:trHeight w:val="183"/>
        </w:trPr>
        <w:tc>
          <w:tcPr>
            <w:tcW w:w="80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Repayment of borrowings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(11,391)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(3,258)</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Repayment of finance lease principal</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12,980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3,154</w:t>
            </w: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Capitalized borrowing costs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(349)</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proceeds from the settlement of employee share transactions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w:t>
            </w:r>
          </w:p>
        </w:tc>
      </w:tr>
      <w:tr>
        <w:trPr>
          <w:trHeight w:val="183"/>
        </w:trPr>
        <w:tc>
          <w:tcPr>
            <w:tcW w:w="80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1,125</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(712)</w:t>
            </w:r>
          </w:p>
        </w:tc>
      </w:tr>
      <w:tr>
        <w:trPr>
          <w:trHeight w:val="183"/>
        </w:trPr>
        <w:tc>
          <w:tcPr>
            <w:tcW w:w="80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Effect of exchange rate on cash and restricted cash</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(188)</w:t>
            </w: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(13,138)</w:t>
            </w:r>
          </w:p>
        </w:tc>
      </w:tr>
      <w:tr>
        <w:trPr>
          <w:trHeight w:val="189"/>
        </w:trPr>
        <w:tc>
          <w:tcPr>
            <w:tcW w:w="80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beginning of the period</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34,979</w:t>
            </w:r>
          </w:p>
        </w:tc>
      </w:tr>
      <w:tr>
        <w:trPr>
          <w:trHeight w:val="190"/>
        </w:trPr>
        <w:tc>
          <w:tcPr>
            <w:tcW w:w="802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 period</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10,727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21,841</w:t>
            </w:r>
          </w:p>
        </w:tc>
      </w:tr>
      <w:tr>
        <w:trPr>
          <w:trHeight w:val="189"/>
        </w:trPr>
        <w:tc>
          <w:tcPr>
            <w:tcW w:w="8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consists of:</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9,242</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15,511</w:t>
            </w:r>
          </w:p>
        </w:tc>
      </w:tr>
      <w:tr>
        <w:trPr>
          <w:trHeight w:val="189"/>
        </w:trPr>
        <w:tc>
          <w:tcPr>
            <w:tcW w:w="8020" w:type="dxa"/>
            <w:vAlign w:val="bottom"/>
            <w:tcBorders>
              <w:bottom w:val="single" w:sz="8" w:color="CCEEFF"/>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1,485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6,330</w:t>
            </w:r>
          </w:p>
        </w:tc>
      </w:tr>
      <w:tr>
        <w:trPr>
          <w:trHeight w:val="190"/>
        </w:trPr>
        <w:tc>
          <w:tcPr>
            <w:tcW w:w="80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10,727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21,841</w:t>
            </w:r>
          </w:p>
        </w:tc>
      </w:tr>
      <w:tr>
        <w:trPr>
          <w:trHeight w:val="398"/>
        </w:trPr>
        <w:tc>
          <w:tcPr>
            <w:tcW w:w="80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r>
      <w:tr>
        <w:trPr>
          <w:trHeight w:val="189"/>
        </w:trPr>
        <w:tc>
          <w:tcPr>
            <w:tcW w:w="8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8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Interest paid</w:t>
            </w:r>
          </w:p>
        </w:tc>
        <w:tc>
          <w:tcPr>
            <w:tcW w:w="520" w:type="dxa"/>
            <w:vAlign w:val="bottom"/>
            <w:gridSpan w:val="2"/>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9,608</w:t>
            </w:r>
          </w:p>
        </w:tc>
        <w:tc>
          <w:tcPr>
            <w:tcW w:w="80" w:type="dxa"/>
            <w:vAlign w:val="bottom"/>
          </w:tcPr>
          <w:p>
            <w:pPr>
              <w:spacing w:after="0"/>
              <w:rPr>
                <w:sz w:val="16"/>
                <w:szCs w:val="16"/>
                <w:color w:val="auto"/>
              </w:rPr>
            </w:pPr>
          </w:p>
        </w:tc>
        <w:tc>
          <w:tcPr>
            <w:tcW w:w="400" w:type="dxa"/>
            <w:vAlign w:val="bottom"/>
            <w:gridSpan w:val="2"/>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7,724</w:t>
            </w: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taxes (refunded) paid</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(728)</w:t>
            </w:r>
          </w:p>
        </w:tc>
      </w:tr>
      <w:tr>
        <w:trPr>
          <w:trHeight w:val="189"/>
        </w:trPr>
        <w:tc>
          <w:tcPr>
            <w:tcW w:w="80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Non-Cash Transactions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8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Additions to operating and investing properties through accrued expenses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2,736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3,255</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Restatement of Previously Issued Consolidated Financial Statements</w:t>
      </w:r>
    </w:p>
    <w:p>
      <w:pPr>
        <w:spacing w:after="0" w:line="17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for year ended December 31, 2024, the Company identified errors that stemmed from the erroneous reversal and treatment of a liability. As a result of correcting the accounting for this liability, the Company restated its unaudited consolidated financial statements for the three and six months ended June 30,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represent our restated consolidated financial statements as of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and for the six months ended June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Consolidated Balance Sheet as of June 30, 2024 are summarized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60" w:type="dxa"/>
            <w:vAlign w:val="bottom"/>
          </w:tcPr>
          <w:p>
            <w:pPr>
              <w:spacing w:after="0"/>
              <w:rPr>
                <w:sz w:val="21"/>
                <w:szCs w:val="2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148,439</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488,789</w:t>
            </w: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earnings/(deficits)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(102,058)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Reading International, Inc. stockholders’ equity</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0"/>
        </w:trPr>
        <w:tc>
          <w:tcPr>
            <w:tcW w:w="7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2024</w:t>
      </w:r>
    </w:p>
    <w:p>
      <w:pPr>
        <w:spacing w:after="0" w:line="18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Operations for the three months ended June 30, 2024, are summarized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200" w:type="dxa"/>
            <w:vAlign w:val="bottom"/>
            <w:tcBorders>
              <w:bottom w:val="single" w:sz="8" w:color="auto"/>
            </w:tcBorders>
          </w:tcPr>
          <w:p>
            <w:pPr>
              <w:spacing w:after="0"/>
              <w:rPr>
                <w:sz w:val="16"/>
                <w:szCs w:val="16"/>
                <w:color w:val="auto"/>
              </w:rPr>
            </w:pPr>
          </w:p>
        </w:tc>
      </w:tr>
      <w:tr>
        <w:trPr>
          <w:trHeight w:val="41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340" w:type="dxa"/>
            <w:vAlign w:val="bottom"/>
          </w:tcPr>
          <w:p>
            <w:pPr>
              <w:spacing w:after="0"/>
              <w:rPr>
                <w:sz w:val="24"/>
                <w:szCs w:val="24"/>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9"/>
        </w:trPr>
        <w:tc>
          <w:tcPr>
            <w:tcW w:w="5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Cinema expenses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(39,418)</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(42,758)</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(51,161)</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(54,501)</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(4,352)</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(5,252)</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r>
      <w:tr>
        <w:trPr>
          <w:trHeight w:val="23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and equity earnings of unconsolidated</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(9,811)</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(9,692)</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(9,536)</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(9,341)</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bl>
    <w:p>
      <w:pPr>
        <w:spacing w:after="0" w:line="157"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effects of the restatement on the Summary of Controlling and Noncontrolling Stockholders’ Equity for the three months ended June 30, 2024, are summarized in the following table.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801"/>
              <w:spacing w:after="0"/>
              <w:rPr>
                <w:sz w:val="20"/>
                <w:szCs w:val="20"/>
                <w:color w:val="auto"/>
              </w:rPr>
            </w:pPr>
            <w:r>
              <w:rPr>
                <w:rFonts w:ascii="Times New Roman" w:cs="Times New Roman" w:eastAsia="Times New Roman" w:hAnsi="Times New Roman"/>
                <w:sz w:val="14"/>
                <w:szCs w:val="14"/>
                <w:b w:val="1"/>
                <w:bCs w:val="1"/>
                <w:color w:val="auto"/>
              </w:rPr>
              <w:t>Retained earnings / (deficits)</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80" w:type="dxa"/>
            <w:vAlign w:val="bottom"/>
          </w:tcPr>
          <w:p>
            <w:pPr>
              <w:spacing w:after="0"/>
              <w:rPr>
                <w:sz w:val="17"/>
                <w:szCs w:val="17"/>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16510</wp:posOffset>
            </wp:positionV>
            <wp:extent cx="2434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60" w:type="dxa"/>
            <w:vAlign w:val="bottom"/>
          </w:tcPr>
          <w:p>
            <w:pPr>
              <w:spacing w:after="0"/>
              <w:rPr>
                <w:sz w:val="14"/>
                <w:szCs w:val="14"/>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June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88900</wp:posOffset>
            </wp:positionV>
            <wp:extent cx="2434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ind w:right="180"/>
        <w:spacing w:after="0" w:line="266"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Comprehensive Income for the three months ended June 30, 2024, are summarized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200" w:type="dxa"/>
            <w:vAlign w:val="bottom"/>
            <w:tcBorders>
              <w:bottom w:val="single" w:sz="8" w:color="auto"/>
            </w:tcBorders>
          </w:tcPr>
          <w:p>
            <w:pPr>
              <w:spacing w:after="0"/>
              <w:rPr>
                <w:sz w:val="16"/>
                <w:szCs w:val="16"/>
                <w:color w:val="auto"/>
              </w:rPr>
            </w:pPr>
          </w:p>
        </w:tc>
      </w:tr>
      <w:tr>
        <w:trPr>
          <w:trHeight w:val="426"/>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340" w:type="dxa"/>
            <w:vAlign w:val="bottom"/>
          </w:tcPr>
          <w:p>
            <w:pPr>
              <w:spacing w:after="0"/>
              <w:rPr>
                <w:sz w:val="24"/>
                <w:szCs w:val="24"/>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9"/>
        </w:trPr>
        <w:tc>
          <w:tcPr>
            <w:tcW w:w="5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(9,536)</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(8,650)</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(8,455)</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r>
      <w:tr>
        <w:trPr>
          <w:trHeight w:val="68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200" w:type="dxa"/>
            <w:vAlign w:val="bottom"/>
            <w:tcBorders>
              <w:bottom w:val="single" w:sz="8" w:color="auto"/>
            </w:tcBorders>
          </w:tcPr>
          <w:p>
            <w:pPr>
              <w:spacing w:after="0"/>
              <w:rPr>
                <w:sz w:val="24"/>
                <w:szCs w:val="24"/>
                <w:color w:val="auto"/>
              </w:rPr>
            </w:pPr>
          </w:p>
        </w:tc>
      </w:tr>
      <w:tr>
        <w:trPr>
          <w:trHeight w:val="209"/>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340" w:type="dxa"/>
            <w:vAlign w:val="bottom"/>
          </w:tcPr>
          <w:p>
            <w:pPr>
              <w:spacing w:after="0"/>
              <w:rPr>
                <w:sz w:val="18"/>
                <w:szCs w:val="18"/>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6"/>
        </w:trPr>
        <w:tc>
          <w:tcPr>
            <w:tcW w:w="5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(22,939)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(24,594)</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(24,223)</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Consolidated Statement of Operations for the six months ended June 30, 2024, are summarized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240" w:type="dxa"/>
            <w:vAlign w:val="bottom"/>
            <w:tcBorders>
              <w:bottom w:val="single" w:sz="8" w:color="auto"/>
            </w:tcBorders>
          </w:tcPr>
          <w:p>
            <w:pPr>
              <w:spacing w:after="0"/>
              <w:rPr>
                <w:sz w:val="16"/>
                <w:szCs w:val="16"/>
                <w:color w:val="auto"/>
              </w:rPr>
            </w:pPr>
          </w:p>
        </w:tc>
      </w:tr>
      <w:tr>
        <w:trPr>
          <w:trHeight w:val="41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30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9"/>
        </w:trPr>
        <w:tc>
          <w:tcPr>
            <w:tcW w:w="5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Cinema expenses</w:t>
            </w:r>
          </w:p>
        </w:tc>
        <w:tc>
          <w:tcPr>
            <w:tcW w:w="7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(80,138)</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(103,743)</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(107,083)</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(11,882)</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(10,537)</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r>
      <w:tr>
        <w:trPr>
          <w:trHeight w:val="23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and equity earnings of unconsolidated</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(23,412)</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(23,318)</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(22,939)</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(22,569)</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(26,034)</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Consolidated Statement of Cash Flows for the six months ended June 30, 2024 are summarized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60" w:type="dxa"/>
            <w:vAlign w:val="bottom"/>
          </w:tcPr>
          <w:p>
            <w:pPr>
              <w:spacing w:after="0"/>
              <w:rPr>
                <w:sz w:val="18"/>
                <w:szCs w:val="18"/>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c>
          <w:tcPr>
            <w:tcW w:w="0" w:type="dxa"/>
            <w:vAlign w:val="bottom"/>
          </w:tcPr>
          <w:p>
            <w:pPr>
              <w:spacing w:after="0"/>
              <w:rPr>
                <w:sz w:val="1"/>
                <w:szCs w:val="1"/>
                <w:color w:val="auto"/>
              </w:rPr>
            </w:pPr>
          </w:p>
        </w:tc>
      </w:tr>
      <w:tr>
        <w:trPr>
          <w:trHeight w:val="21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following footnotes have been updated to reflect the restatements made to the consolidated financial statements:</w:t>
      </w:r>
    </w:p>
    <w:p>
      <w:pPr>
        <w:spacing w:after="0" w:line="14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2 </w:t>
      </w:r>
      <w:r>
        <w:rPr>
          <w:rFonts w:ascii="Times New Roman" w:cs="Times New Roman" w:eastAsia="Times New Roman" w:hAnsi="Times New Roman"/>
          <w:sz w:val="18"/>
          <w:szCs w:val="18"/>
          <w:i w:val="1"/>
          <w:iCs w:val="1"/>
          <w:color w:val="auto"/>
        </w:rPr>
        <w:t>Description of Business and Segment Reporting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sectPr>
      </w:pPr>
    </w:p>
    <w:bookmarkStart w:id="10" w:name="page11"/>
    <w:bookmarkEnd w:id="10"/>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4 </w:t>
      </w:r>
      <w:r>
        <w:rPr>
          <w:rFonts w:ascii="Times New Roman" w:cs="Times New Roman" w:eastAsia="Times New Roman" w:hAnsi="Times New Roman"/>
          <w:sz w:val="18"/>
          <w:szCs w:val="18"/>
          <w:i w:val="1"/>
          <w:iCs w:val="1"/>
          <w:color w:val="auto"/>
        </w:rPr>
        <w:t>Liquidity and Impairment Assessment</w:t>
      </w:r>
    </w:p>
    <w:p>
      <w:pPr>
        <w:spacing w:after="0" w:line="17"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6 </w:t>
      </w:r>
      <w:r>
        <w:rPr>
          <w:rFonts w:ascii="Times New Roman" w:cs="Times New Roman" w:eastAsia="Times New Roman" w:hAnsi="Times New Roman"/>
          <w:sz w:val="18"/>
          <w:szCs w:val="18"/>
          <w:i w:val="1"/>
          <w:iCs w:val="1"/>
          <w:color w:val="auto"/>
        </w:rPr>
        <w:t>Earnings Per Share</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8 </w:t>
      </w:r>
      <w:r>
        <w:rPr>
          <w:rFonts w:ascii="Times New Roman" w:cs="Times New Roman" w:eastAsia="Times New Roman" w:hAnsi="Times New Roman"/>
          <w:sz w:val="18"/>
          <w:szCs w:val="18"/>
          <w:i w:val="1"/>
          <w:iCs w:val="1"/>
          <w:color w:val="auto"/>
        </w:rPr>
        <w:t>Leases</w:t>
      </w:r>
    </w:p>
    <w:p>
      <w:pPr>
        <w:ind w:left="660" w:hanging="328"/>
        <w:spacing w:after="0" w:line="21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12 </w:t>
      </w:r>
      <w:r>
        <w:rPr>
          <w:rFonts w:ascii="Times New Roman" w:cs="Times New Roman" w:eastAsia="Times New Roman" w:hAnsi="Times New Roman"/>
          <w:sz w:val="18"/>
          <w:szCs w:val="18"/>
          <w:i w:val="1"/>
          <w:iCs w:val="1"/>
          <w:color w:val="auto"/>
        </w:rPr>
        <w:t>Income Tax</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17 S</w:t>
      </w:r>
      <w:r>
        <w:rPr>
          <w:rFonts w:ascii="Times New Roman" w:cs="Times New Roman" w:eastAsia="Times New Roman" w:hAnsi="Times New Roman"/>
          <w:sz w:val="18"/>
          <w:szCs w:val="18"/>
          <w:i w:val="1"/>
          <w:iCs w:val="1"/>
          <w:color w:val="auto"/>
        </w:rPr>
        <w:t>ummary of Controlling and Noncontrolling Stockholders’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Description of Business and Segment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Company</w:t>
      </w:r>
    </w:p>
    <w:p>
      <w:pPr>
        <w:spacing w:after="0" w:line="2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development, ownership, and operation of cinemas in the United States, Australia, and New Zealand; and</w:t>
      </w:r>
    </w:p>
    <w:p>
      <w:pPr>
        <w:spacing w:after="0" w:line="76"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the development, ownership, operation and/or rental of retail, commercial and live venue real estate assets in Australia, New Zealand, and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Segments</w:t>
      </w:r>
    </w:p>
    <w:p>
      <w:pPr>
        <w:spacing w:after="0" w:line="20"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8"/>
          <w:szCs w:val="18"/>
          <w:color w:val="auto"/>
        </w:rPr>
        <w:t>Reported below are the operating segments of our Company for which separate financial information is available and evaluated regularly by the Chief Executive Officer, the chief operating decision-maker of our Company. As part of our real estate activities, we hold undeveloped land in urban and suburban centers in the United States and New Zealand.</w:t>
      </w:r>
    </w:p>
    <w:p>
      <w:pPr>
        <w:spacing w:after="0" w:line="14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business segments for the quarter and six months ended June 30, 2024, and 2023, respectively. Operating expense includes costs associated with the day-to-day operations of the cinemas and the management of rental properties, including our live theatre assets.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206"/>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223"/>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Cinema exhibition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42,942</w:t>
            </w:r>
          </w:p>
        </w:tc>
        <w:tc>
          <w:tcPr>
            <w:tcW w:w="180" w:type="dxa"/>
            <w:vAlign w:val="bottom"/>
          </w:tcPr>
          <w:p>
            <w:pPr>
              <w:spacing w:after="0"/>
              <w:rPr>
                <w:sz w:val="19"/>
                <w:szCs w:val="19"/>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61,055</w:t>
            </w:r>
          </w:p>
        </w:tc>
        <w:tc>
          <w:tcPr>
            <w:tcW w:w="80" w:type="dxa"/>
            <w:vAlign w:val="bottom"/>
          </w:tcPr>
          <w:p>
            <w:pPr>
              <w:spacing w:after="0"/>
              <w:rPr>
                <w:sz w:val="19"/>
                <w:szCs w:val="19"/>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84,213</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103,042</w:t>
            </w:r>
          </w:p>
        </w:tc>
      </w:tr>
      <w:tr>
        <w:trPr>
          <w:trHeight w:val="22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w:t>
            </w:r>
          </w:p>
        </w:tc>
      </w:tr>
      <w:tr>
        <w:trPr>
          <w:trHeight w:val="23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Inter-segment elimination</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w:t>
            </w:r>
          </w:p>
        </w:tc>
        <w:tc>
          <w:tcPr>
            <w:tcW w:w="4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(2,298)</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5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46,809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65,054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91,861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110,861</w:t>
            </w:r>
          </w:p>
        </w:tc>
      </w:tr>
      <w:tr>
        <w:trPr>
          <w:trHeight w:val="203"/>
        </w:trPr>
        <w:tc>
          <w:tcPr>
            <w:tcW w:w="53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Cinema exhibition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(4,609)</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5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03"/>
        </w:trPr>
        <w:tc>
          <w:tcPr>
            <w:tcW w:w="5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(3,663)</w:t>
            </w: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5,760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(6,938)</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2,150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operating income to income before income taxes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5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(3,663)</w:t>
            </w: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5,760</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(6,938)</w:t>
            </w:r>
          </w:p>
        </w:tc>
        <w:tc>
          <w:tcPr>
            <w:tcW w:w="520" w:type="dxa"/>
            <w:vAlign w:val="bottom"/>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Unallocated corporate expense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(201)</w:t>
            </w: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89"/>
        </w:trPr>
        <w:tc>
          <w:tcPr>
            <w:tcW w:w="530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(3,929)</w:t>
            </w: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(8,083)</w:t>
            </w: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(7,889)</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(5,377)</w:t>
            </w: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(4,875)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(10,662)</w:t>
            </w: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(8,991)</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(1,116)</w:t>
            </w: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(216)</w:t>
            </w: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0"/>
        </w:trPr>
        <w:tc>
          <w:tcPr>
            <w:tcW w:w="53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(13,157)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(2,964)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(26,783)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(14,768)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Consolidation</w:t>
      </w:r>
    </w:p>
    <w:p>
      <w:pPr>
        <w:spacing w:after="0" w:line="2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2023 (“2023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results for the quarter and six months ended June 30, 2024, are not necessarily indicative of the results that may be expected for the year ending December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 Liquidity and Impairment Assessment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18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We continue to evaluate the going concern assertion required by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the end of the second quarter, 2024, we have $58.6 million of debt due in twelve months. We have cash of $9.2 million and negative working capital of $93.3 million, inclusive of land and property held for sale of $36.4 million (based on book as opposed to fair market value). In order to alleviate doubt that our Company will be able to generate sufficient cash flows for the coming twelve-months, these loans need to be refinanced and our revenues and net income need to increase through improved operations and asset monetization.</w:t>
      </w:r>
    </w:p>
    <w:p>
      <w:pPr>
        <w:spacing w:after="0" w:line="144" w:lineRule="exact"/>
        <w:rPr>
          <w:sz w:val="20"/>
          <w:szCs w:val="20"/>
          <w:color w:val="auto"/>
        </w:rPr>
      </w:pPr>
    </w:p>
    <w:p>
      <w:pPr>
        <w:jc w:val="both"/>
        <w:ind w:right="200"/>
        <w:spacing w:after="0" w:line="243" w:lineRule="auto"/>
        <w:rPr>
          <w:sz w:val="20"/>
          <w:szCs w:val="20"/>
          <w:color w:val="auto"/>
        </w:rPr>
      </w:pPr>
      <w:r>
        <w:rPr>
          <w:rFonts w:ascii="Times New Roman" w:cs="Times New Roman" w:eastAsia="Times New Roman" w:hAnsi="Times New Roman"/>
          <w:sz w:val="17"/>
          <w:szCs w:val="17"/>
          <w:color w:val="auto"/>
        </w:rPr>
        <w:t>In April 2024, we exercised our first option to extend our Union Square financing facility, extending the maturity date of that loan ($47.1 million at June 30, 2024) to May 6, 2025. We also obtained an extension of our NAB facility ($66.8 million at June 30, 2024), extending the maturity date of that loan to July 31, 2026. This extension also included a bridge loan in the amount of $13.4 million, maturing on March 31, 2025, subject to prepayment obligations from the net sales proceeds of certain assets. We are in discussions with Santander to extend the maturity date of that loan ($8.0 million) and believe that we will be able to reach mutually acceptable terms with respect to our Cinemas 123 ($21.0 million, due third quarter of 2024) and our Westpac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million, due first quarter of 2025) credit facilities.</w:t>
      </w:r>
    </w:p>
    <w:p>
      <w:pPr>
        <w:spacing w:after="0" w:line="16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We believe that the global cinema industry will continue to improve in the last half of 2024 and 2025. This belief underpins our forecasts and cash flow projections. Our forecasts rely upon, among other things, the market reception to current films such as </w:t>
      </w:r>
      <w:r>
        <w:rPr>
          <w:rFonts w:ascii="Times New Roman" w:cs="Times New Roman" w:eastAsia="Times New Roman" w:hAnsi="Times New Roman"/>
          <w:sz w:val="18"/>
          <w:szCs w:val="18"/>
          <w:i w:val="1"/>
          <w:iCs w:val="1"/>
          <w:color w:val="auto"/>
        </w:rPr>
        <w:t>Inside Out 2, Twisters, Deadpool and Wolverine,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the current industry movie release schedule, which demonstrates an increased number of movies to be released from the major studios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asset monetizations.</w:t>
      </w:r>
    </w:p>
    <w:p>
      <w:pPr>
        <w:spacing w:after="0" w:line="15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In conclusion, as of the date of issuance of these financial statements, based on our 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Considerations</w:t>
      </w:r>
    </w:p>
    <w:p>
      <w:pPr>
        <w:spacing w:after="0" w:line="1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Company considers that the events and factors described above constitute impairment indicators under </w:t>
      </w:r>
      <w:r>
        <w:rPr>
          <w:rFonts w:ascii="Times New Roman" w:cs="Times New Roman" w:eastAsia="Times New Roman" w:hAnsi="Times New Roman"/>
          <w:sz w:val="18"/>
          <w:szCs w:val="18"/>
          <w:i w:val="1"/>
          <w:iCs w:val="1"/>
          <w:color w:val="auto"/>
        </w:rPr>
        <w:t>ASC 360 Property, Plant and Equipment</w:t>
      </w:r>
      <w:r>
        <w:rPr>
          <w:rFonts w:ascii="Times New Roman" w:cs="Times New Roman" w:eastAsia="Times New Roman" w:hAnsi="Times New Roman"/>
          <w:sz w:val="18"/>
          <w:szCs w:val="18"/>
          <w:color w:val="auto"/>
        </w:rPr>
        <w:t>. At December 31, 2023, our Company performed a quantitative recoverability test of the carrying values of all its asset groups. Our Company estimated the undiscounted future cash flows expected to result from the use of these asset groups and found that no impairment charge was necessary. The financial performance of our cinemas has been improving, despite the challenges described above, and particularly the ongoing impacts of the WGA and SAG strikes on the first six months of 2024. This improved performance at an asset group level, and the impact of this performance on our impairment modelling, resulted in no impairment charges being recognized for the first six months of 2024.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Company also considers that the events and factors described above continue to constitute impairment indicators under </w:t>
      </w:r>
      <w:r>
        <w:rPr>
          <w:rFonts w:ascii="Times New Roman" w:cs="Times New Roman" w:eastAsia="Times New Roman" w:hAnsi="Times New Roman"/>
          <w:sz w:val="18"/>
          <w:szCs w:val="18"/>
          <w:i w:val="1"/>
          <w:iCs w:val="1"/>
          <w:color w:val="auto"/>
        </w:rPr>
        <w:t>ASC 350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Our Company performed a quantitative goodwill impairment test and determined that our goodwill was not impaired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Given the continuing improvements in trading conditions, taking into account the actual and expecting impacts of the WGA and SAG strikes, no impairment charges were recorded in the first six months of 2024. Actual performance against our forecasts is dependent on several variables and conditions, including among other things, the factors presented above, and as a result, actual results may materially differ from management’s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Operations in Foreign Currency</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 from our domestic cinema operations. Our Australian and New Zealand assets and liabilities are translated from their functional currencies of Australian dollar (“AU$”) and New Zealand dollar (“NZ$”), respectively, to the U.S. dollar based on the exchange rate as of June 30, 2024.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take a global view of our financial resources and are flexible in making use of resources from one jurisdiction in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are the currency exchange rates for Australia and New Zealand: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 / USD</w:t>
            </w: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40" w:type="dxa"/>
            <w:vAlign w:val="bottom"/>
          </w:tcPr>
          <w:p>
            <w:pPr>
              <w:jc w:val="center"/>
              <w:ind w:left="163"/>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1620" w:type="dxa"/>
            <w:vAlign w:val="bottom"/>
            <w:gridSpan w:val="2"/>
            <w:vMerge w:val="restart"/>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194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940" w:type="dxa"/>
            <w:vAlign w:val="bottom"/>
          </w:tcPr>
          <w:p>
            <w:pPr>
              <w:jc w:val="center"/>
              <w:ind w:left="203"/>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1560" w:type="dxa"/>
            <w:vAlign w:val="bottom"/>
            <w:vMerge w:val="restart"/>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‎for the</w:t>
            </w:r>
          </w:p>
        </w:tc>
        <w:tc>
          <w:tcPr>
            <w:tcW w:w="1620" w:type="dxa"/>
            <w:vAlign w:val="bottom"/>
            <w:gridSpan w:val="2"/>
            <w:vMerge w:val="continue"/>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9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the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20" w:type="dxa"/>
            <w:vAlign w:val="bottom"/>
            <w:gridSpan w:val="2"/>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w w:val="99"/>
              </w:rPr>
              <w:t>for‎ the</w:t>
            </w:r>
          </w:p>
        </w:tc>
        <w:tc>
          <w:tcPr>
            <w:tcW w:w="9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2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62"/>
        </w:trPr>
        <w:tc>
          <w:tcPr>
            <w:tcW w:w="4240" w:type="dxa"/>
            <w:vAlign w:val="bottom"/>
            <w:tcBorders>
              <w:top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Spot Rate</w:t>
            </w:r>
          </w:p>
        </w:tc>
        <w:tc>
          <w:tcPr>
            <w:tcW w:w="9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940" w:type="dxa"/>
            <w:vAlign w:val="bottom"/>
          </w:tcPr>
          <w:p>
            <w:pPr>
              <w:spacing w:after="0"/>
              <w:rPr>
                <w:sz w:val="16"/>
                <w:szCs w:val="16"/>
                <w:color w:val="auto"/>
              </w:rPr>
            </w:pPr>
          </w:p>
        </w:tc>
        <w:tc>
          <w:tcPr>
            <w:tcW w:w="1540" w:type="dxa"/>
            <w:vAlign w:val="bottom"/>
          </w:tcPr>
          <w:p>
            <w:pPr>
              <w:jc w:val="center"/>
              <w:ind w:right="878"/>
              <w:spacing w:after="0" w:line="189" w:lineRule="exact"/>
              <w:rPr>
                <w:sz w:val="20"/>
                <w:szCs w:val="20"/>
                <w:color w:val="auto"/>
              </w:rPr>
            </w:pPr>
            <w:r>
              <w:rPr>
                <w:rFonts w:ascii="Times New Roman" w:cs="Times New Roman" w:eastAsia="Times New Roman" w:hAnsi="Times New Roman"/>
                <w:sz w:val="18"/>
                <w:szCs w:val="18"/>
                <w:color w:val="auto"/>
              </w:rPr>
              <w:t>0.6677</w:t>
            </w:r>
          </w:p>
        </w:tc>
        <w:tc>
          <w:tcPr>
            <w:tcW w:w="80" w:type="dxa"/>
            <w:vAlign w:val="bottom"/>
          </w:tcPr>
          <w:p>
            <w:pPr>
              <w:spacing w:after="0"/>
              <w:rPr>
                <w:sz w:val="16"/>
                <w:szCs w:val="16"/>
                <w:color w:val="auto"/>
              </w:rPr>
            </w:pPr>
          </w:p>
        </w:tc>
        <w:tc>
          <w:tcPr>
            <w:tcW w:w="18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0.6828</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center"/>
              <w:ind w:right="858"/>
              <w:spacing w:after="0" w:line="189" w:lineRule="exact"/>
              <w:rPr>
                <w:sz w:val="20"/>
                <w:szCs w:val="20"/>
                <w:color w:val="auto"/>
              </w:rPr>
            </w:pPr>
            <w:r>
              <w:rPr>
                <w:rFonts w:ascii="Times New Roman" w:cs="Times New Roman" w:eastAsia="Times New Roman" w:hAnsi="Times New Roman"/>
                <w:sz w:val="18"/>
                <w:szCs w:val="18"/>
                <w:color w:val="auto"/>
              </w:rPr>
              <w:t>0.6663</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New Zealand Dollar</w:t>
            </w:r>
          </w:p>
        </w:tc>
        <w:tc>
          <w:tcPr>
            <w:tcW w:w="9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878"/>
              <w:spacing w:after="0" w:line="189" w:lineRule="exact"/>
              <w:rPr>
                <w:sz w:val="20"/>
                <w:szCs w:val="20"/>
                <w:color w:val="auto"/>
              </w:rPr>
            </w:pPr>
            <w:r>
              <w:rPr>
                <w:rFonts w:ascii="Times New Roman" w:cs="Times New Roman" w:eastAsia="Times New Roman" w:hAnsi="Times New Roman"/>
                <w:sz w:val="18"/>
                <w:szCs w:val="18"/>
                <w:color w:val="auto"/>
              </w:rPr>
              <w:t>0.6096</w:t>
            </w: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0.6340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ind w:right="858"/>
              <w:spacing w:after="0" w:line="189" w:lineRule="exact"/>
              <w:rPr>
                <w:sz w:val="20"/>
                <w:szCs w:val="20"/>
                <w:color w:val="auto"/>
              </w:rPr>
            </w:pPr>
            <w:r>
              <w:rPr>
                <w:rFonts w:ascii="Times New Roman" w:cs="Times New Roman" w:eastAsia="Times New Roman" w:hAnsi="Times New Roman"/>
                <w:sz w:val="18"/>
                <w:szCs w:val="18"/>
                <w:color w:val="auto"/>
              </w:rPr>
              <w:t>0.6133</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7"/>
              </w:rPr>
              <w:t>Average Rate</w:t>
            </w:r>
          </w:p>
        </w:tc>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940" w:type="dxa"/>
            <w:vAlign w:val="bottom"/>
            <w:shd w:val="clear" w:color="auto" w:fill="CCEEFF"/>
          </w:tcPr>
          <w:p>
            <w:pPr>
              <w:jc w:val="center"/>
              <w:ind w:left="163"/>
              <w:spacing w:after="0" w:line="189" w:lineRule="exact"/>
              <w:rPr>
                <w:sz w:val="20"/>
                <w:szCs w:val="20"/>
                <w:color w:val="auto"/>
              </w:rPr>
            </w:pPr>
            <w:r>
              <w:rPr>
                <w:rFonts w:ascii="Times New Roman" w:cs="Times New Roman" w:eastAsia="Times New Roman" w:hAnsi="Times New Roman"/>
                <w:sz w:val="18"/>
                <w:szCs w:val="18"/>
                <w:color w:val="auto"/>
              </w:rPr>
              <w:t>0.6591</w:t>
            </w:r>
          </w:p>
        </w:tc>
        <w:tc>
          <w:tcPr>
            <w:tcW w:w="1540" w:type="dxa"/>
            <w:vAlign w:val="bottom"/>
            <w:shd w:val="clear" w:color="auto" w:fill="CCEEFF"/>
          </w:tcPr>
          <w:p>
            <w:pPr>
              <w:jc w:val="center"/>
              <w:ind w:left="238"/>
              <w:spacing w:after="0" w:line="189" w:lineRule="exact"/>
              <w:rPr>
                <w:sz w:val="20"/>
                <w:szCs w:val="20"/>
                <w:color w:val="auto"/>
              </w:rPr>
            </w:pPr>
            <w:r>
              <w:rPr>
                <w:rFonts w:ascii="Times New Roman" w:cs="Times New Roman" w:eastAsia="Times New Roman" w:hAnsi="Times New Roman"/>
                <w:sz w:val="18"/>
                <w:szCs w:val="18"/>
                <w:color w:val="auto"/>
              </w:rPr>
              <w:t>0.6582</w:t>
            </w: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0.6647</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203"/>
              <w:spacing w:after="0" w:line="189" w:lineRule="exact"/>
              <w:rPr>
                <w:sz w:val="20"/>
                <w:szCs w:val="20"/>
                <w:color w:val="auto"/>
              </w:rPr>
            </w:pPr>
            <w:r>
              <w:rPr>
                <w:rFonts w:ascii="Times New Roman" w:cs="Times New Roman" w:eastAsia="Times New Roman" w:hAnsi="Times New Roman"/>
                <w:sz w:val="18"/>
                <w:szCs w:val="18"/>
                <w:color w:val="auto"/>
              </w:rPr>
              <w:t>0.6681</w:t>
            </w:r>
          </w:p>
        </w:tc>
        <w:tc>
          <w:tcPr>
            <w:tcW w:w="1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0.6761</w:t>
            </w: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 Dollar</w:t>
            </w:r>
          </w:p>
        </w:tc>
        <w:tc>
          <w:tcPr>
            <w:tcW w:w="940" w:type="dxa"/>
            <w:vAlign w:val="bottom"/>
          </w:tcPr>
          <w:p>
            <w:pPr>
              <w:jc w:val="center"/>
              <w:ind w:left="163"/>
              <w:spacing w:after="0"/>
              <w:rPr>
                <w:sz w:val="20"/>
                <w:szCs w:val="20"/>
                <w:color w:val="auto"/>
              </w:rPr>
            </w:pPr>
            <w:r>
              <w:rPr>
                <w:rFonts w:ascii="Times New Roman" w:cs="Times New Roman" w:eastAsia="Times New Roman" w:hAnsi="Times New Roman"/>
                <w:sz w:val="18"/>
                <w:szCs w:val="18"/>
                <w:color w:val="auto"/>
              </w:rPr>
              <w:t>0.6054</w:t>
            </w:r>
          </w:p>
        </w:tc>
        <w:tc>
          <w:tcPr>
            <w:tcW w:w="154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rPr>
              <w:t>0.6089</w:t>
            </w:r>
          </w:p>
        </w:tc>
        <w:tc>
          <w:tcPr>
            <w:tcW w:w="8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0.6145</w:t>
            </w:r>
          </w:p>
        </w:tc>
        <w:tc>
          <w:tcPr>
            <w:tcW w:w="80" w:type="dxa"/>
            <w:vAlign w:val="bottom"/>
          </w:tcPr>
          <w:p>
            <w:pPr>
              <w:spacing w:after="0"/>
              <w:rPr>
                <w:sz w:val="20"/>
                <w:szCs w:val="20"/>
                <w:color w:val="auto"/>
              </w:rPr>
            </w:pPr>
          </w:p>
        </w:tc>
        <w:tc>
          <w:tcPr>
            <w:tcW w:w="940" w:type="dxa"/>
            <w:vAlign w:val="bottom"/>
          </w:tcPr>
          <w:p>
            <w:pPr>
              <w:jc w:val="center"/>
              <w:ind w:left="203"/>
              <w:spacing w:after="0"/>
              <w:rPr>
                <w:sz w:val="20"/>
                <w:szCs w:val="20"/>
                <w:color w:val="auto"/>
              </w:rPr>
            </w:pPr>
            <w:r>
              <w:rPr>
                <w:rFonts w:ascii="Times New Roman" w:cs="Times New Roman" w:eastAsia="Times New Roman" w:hAnsi="Times New Roman"/>
                <w:sz w:val="18"/>
                <w:szCs w:val="18"/>
                <w:color w:val="auto"/>
              </w:rPr>
              <w:t>0.6186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0.6243</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Earnings Per Share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and a reconciliation of the weighted average number of common and common equivalent shares outstanding: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8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share data)</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5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(12,806)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(26,034)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 – basic</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22,413,617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22,379,881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22,183,618</w:t>
            </w: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832,974</w:t>
            </w:r>
          </w:p>
        </w:tc>
        <w:tc>
          <w:tcPr>
            <w:tcW w:w="2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1,240,292</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915,006</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1,240,292</w:t>
            </w:r>
          </w:p>
        </w:tc>
      </w:tr>
      <w:tr>
        <w:trPr>
          <w:trHeight w:val="203"/>
        </w:trPr>
        <w:tc>
          <w:tcPr>
            <w:tcW w:w="49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23,246,591</w:t>
            </w: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23,502,506</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23,294,887</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23,423,910</w:t>
            </w:r>
          </w:p>
        </w:tc>
      </w:tr>
      <w:tr>
        <w:trPr>
          <w:trHeight w:val="209"/>
        </w:trPr>
        <w:tc>
          <w:tcPr>
            <w:tcW w:w="496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(0.57)</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(0.63)</w:t>
            </w:r>
          </w:p>
        </w:tc>
      </w:tr>
      <w:tr>
        <w:trPr>
          <w:trHeight w:val="391"/>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1"/>
        </w:trPr>
        <w:tc>
          <w:tcPr>
            <w:tcW w:w="4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09"/>
        </w:trPr>
        <w:tc>
          <w:tcPr>
            <w:tcW w:w="460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Awards excluded from diluted earnings (loss) per share</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207,657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205,122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207,657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205,122</w:t>
            </w: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weighted average number of common stock - basic increased, primarily as a result of the vesting of restricted stock units. We did not repurchase any shares of Class A Common Stock during the first six months of 2024 or 2023.</w:t>
      </w:r>
    </w:p>
    <w:p>
      <w:pPr>
        <w:spacing w:after="0" w:line="13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207,657 shares issuable under stock options and restricted stock units were excluded from the computation of diluted net income (loss) per share in periods when their effect was anti-dilutive;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Property,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associated with our operating activities as at June 30, 2024 and December 31, 2023, is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61,095</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205,821</w:t>
            </w:r>
          </w:p>
        </w:tc>
      </w:tr>
      <w:tr>
        <w:trPr>
          <w:trHeight w:val="22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53,984</w:t>
            </w: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Fixtures and equipment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155,156</w:t>
            </w:r>
          </w:p>
        </w:tc>
      </w:tr>
      <w:tr>
        <w:trPr>
          <w:trHeight w:val="22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09"/>
        </w:trPr>
        <w:tc>
          <w:tcPr>
            <w:tcW w:w="8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419,111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480,346</w:t>
            </w:r>
          </w:p>
        </w:tc>
      </w:tr>
      <w:tr>
        <w:trPr>
          <w:trHeight w:val="210"/>
        </w:trPr>
        <w:tc>
          <w:tcPr>
            <w:tcW w:w="8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(217,929)</w:t>
            </w:r>
          </w:p>
        </w:tc>
      </w:tr>
      <w:tr>
        <w:trPr>
          <w:trHeight w:val="203"/>
        </w:trPr>
        <w:tc>
          <w:tcPr>
            <w:tcW w:w="8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Operating property, net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225,473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262,417</w:t>
            </w:r>
          </w:p>
        </w:tc>
      </w:tr>
    </w:tbl>
    <w:p>
      <w:pPr>
        <w:spacing w:after="0" w:line="171" w:lineRule="exact"/>
        <w:rPr>
          <w:sz w:val="20"/>
          <w:szCs w:val="20"/>
          <w:color w:val="auto"/>
        </w:rPr>
      </w:pPr>
    </w:p>
    <w:p>
      <w:pPr>
        <w:ind w:right="640"/>
        <w:spacing w:after="0" w:line="250" w:lineRule="auto"/>
        <w:rPr>
          <w:sz w:val="20"/>
          <w:szCs w:val="20"/>
          <w:color w:val="auto"/>
        </w:rPr>
      </w:pPr>
      <w:r>
        <w:rPr>
          <w:rFonts w:ascii="Times New Roman" w:cs="Times New Roman" w:eastAsia="Times New Roman" w:hAnsi="Times New Roman"/>
          <w:sz w:val="18"/>
          <w:szCs w:val="18"/>
          <w:color w:val="auto"/>
        </w:rPr>
        <w:t>Depreciation expense for operating property was $4.0 million and $8.1 million for the quarter and six months ended June 30, 2024, respectively, as compared to $4.7 million and $9.3 million for the quarter and six months ended June 30,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Development Property,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 and development property as of June 30, 2024 and December 31, 2023, is summarized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 (including capitalized interest)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03"/>
        </w:trPr>
        <w:tc>
          <w:tcPr>
            <w:tcW w:w="8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and development property</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top w:val="single" w:sz="8" w:color="auto"/>
              <w:bottom w:val="single" w:sz="8" w:color="auto"/>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8,789</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Construction-in-Progress – Operating and Investment Properties</w:t>
      </w:r>
    </w:p>
    <w:p>
      <w:pPr>
        <w:spacing w:after="0" w:line="18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Construction-in-Progress balances are included in both our operating and development properties. The balances of our major projects along with the movements for the six months ended June 30, 2024, are shown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9"/>
        </w:trPr>
        <w:tc>
          <w:tcPr>
            <w:tcW w:w="3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3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Additions during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Transferred to</w:t>
            </w:r>
          </w:p>
        </w:tc>
        <w:tc>
          <w:tcPr>
            <w:tcW w:w="1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Held for Sale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Courtenay Central development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8"/>
              </w:rPr>
              <w:t>6,412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Cinema developments and improvements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left="458"/>
              <w:spacing w:after="0"/>
              <w:rPr>
                <w:sz w:val="20"/>
                <w:szCs w:val="20"/>
                <w:color w:val="auto"/>
              </w:rPr>
            </w:pPr>
            <w:r>
              <w:rPr>
                <w:rFonts w:ascii="Times New Roman" w:cs="Times New Roman" w:eastAsia="Times New Roman" w:hAnsi="Times New Roman"/>
                <w:sz w:val="18"/>
                <w:szCs w:val="18"/>
                <w:color w:val="auto"/>
                <w:w w:val="98"/>
              </w:rPr>
              <w:t>1,658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projects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8"/>
              </w:rPr>
              <w:t>1,153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3"/>
        </w:trPr>
        <w:tc>
          <w:tcPr>
            <w:tcW w:w="35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gridSpan w:val="2"/>
          </w:tcPr>
          <w:p>
            <w:pPr>
              <w:jc w:val="center"/>
              <w:ind w:left="458"/>
              <w:spacing w:after="0" w:line="196" w:lineRule="exact"/>
              <w:rPr>
                <w:sz w:val="20"/>
                <w:szCs w:val="20"/>
                <w:color w:val="auto"/>
              </w:rPr>
            </w:pPr>
            <w:r>
              <w:rPr>
                <w:rFonts w:ascii="Times New Roman" w:cs="Times New Roman" w:eastAsia="Times New Roman" w:hAnsi="Times New Roman"/>
                <w:sz w:val="18"/>
                <w:szCs w:val="18"/>
                <w:b w:val="1"/>
                <w:bCs w:val="1"/>
                <w:color w:val="auto"/>
                <w:w w:val="98"/>
              </w:rPr>
              <w:t>9,223</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(503)</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(6,536)</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(341)</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2,418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Real Estate Monetizations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Between the fourth quarter of 2020 and the fourth quarter of 2023, we classified as assets held for sale disposal groups and thereafter monetized the following real estate assets: The Auburn/Redyard Entertainment Themed Center (“ETC”), Manukau (land), Coachella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both"/>
        <w:spacing w:after="0" w:line="251" w:lineRule="auto"/>
        <w:rPr>
          <w:sz w:val="20"/>
          <w:szCs w:val="20"/>
          <w:color w:val="auto"/>
        </w:rPr>
      </w:pPr>
      <w:r>
        <w:rPr>
          <w:rFonts w:ascii="Times New Roman" w:cs="Times New Roman" w:eastAsia="Times New Roman" w:hAnsi="Times New Roman"/>
          <w:sz w:val="18"/>
          <w:szCs w:val="18"/>
          <w:color w:val="auto"/>
        </w:rPr>
        <w:t>(land), the Royal George Theatre, our property in Maitland, New South Wales, our Invercargill, New Zealand cinema and associated ancillary land, and our office building in Culver City (sold in February 2024).</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second quarter of 2023, we classified our 2483 Trenton Avenue, Williamsport, Pennsylvania, as held for sale. In the second quarter of 2024, we further classified as held for sale our Cannon Park ETC, our Courtenay Central ETC and associated land and improvements, and our Rotorua land and improvements.</w:t>
      </w:r>
    </w:p>
    <w:p>
      <w:pPr>
        <w:spacing w:after="0" w:line="15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A ‘disposal group’ represents assets to be disposed of in a single transaction. A disposal group may represent a single asset, or multiple assets. Discussed below are those real estate transactions affecting the presentation in our consolidated balance sheet as of June 30, 2024 and 2023, and the profitability determination in our consolidated statements of income for the six months ended June 30, 2024, and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Culver City, Los Angeles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May 2023, we classified our Culver City administrative building, commonly known as 5995 Sepulveda Blvd., as held for sale. Our book value (as opposed to fair value) of the property was $10.8 million, being the lower of cost and fair value less costs to sell. No adjustments to the book value of the assets contained within this disposal group were required. The disposal group consisted of land, a building and various leasehold improvements. The sale was completed on February 23, 2024, at a gross sales price of $10.0 million. The proceeds were used to discharge the $8.3 million first mortgage on the property.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sale of this property is calculated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9"/>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price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gross of direct costs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Direct sale costs incurred</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3"/>
        </w:trPr>
        <w:tc>
          <w:tcPr>
            <w:tcW w:w="8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on sale, net of direct costs</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Disposal Groups Held for Sale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Cannon Park ETC</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current book value (as opposed to fair value) of the property is $18.8 million. No adjustments to the book value of the assets contained within this disposal group were required. We expect to complete the sale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Wellington, New Zealand</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June 2024, we classified our Courtenay Central ETC in Wellington, New Zealand, as held for sale at the lower of cost and fair value less costs to sell. The disposal group consists of our Courtenay Central cinema and retail property, along with our Tory and Wakefield Street car parks. The current book value (as opposed to fair value) of the property is $15.8 million. No adjustments to the book value of the assets contained within this disposal group were required. We expect to complete the sale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Reading Cinema in Rotorua, New Zealand</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June 2024, we classified the land and improvements constituting our Rotorua cinema in Rotorua, New Zealand, as held for sale at the lower of cost and fair value less costs to sell. The disposal group consists of our land, cinema building and the associated improvements. The current book value (as opposed to fair value) of the property is $1.4 million. No adjustments to the book value of the assets contained within this disposal group were required. We expect to complete the sale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2483 Trenton Avenue, Williamsport, Pennsylvania</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June 2023, we classified our industrial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 square foot industrial building, and certain rail bed improvements. No adjustments to the book value of the assets contained within this disposal group were required. We continue to hold this property as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held for sale, and sales efforts continue as we work to resolve certain easement issues. The property continues to meet the ASC 360 held for sale criteria.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operating leases for certain cinemas, and finance leases for certain equipment assets. Our leases have remaining lease terms of 1 to 25 years, with certain leases having options to extend up to a further 20 years. Lease payments for our cinema operating leases consist of fixed base rent, and for certain leases, variable lease payments consisting of contracted percentages of revenue, changes in the relevant CPI, and/or other contracted financial metrics.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5"/>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4"/>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209"/>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r>
      <w:tr>
        <w:trPr>
          <w:trHeight w:val="229"/>
        </w:trPr>
        <w:tc>
          <w:tcPr>
            <w:tcW w:w="5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53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8,836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8,633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17,245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17,093</w:t>
            </w:r>
          </w:p>
        </w:tc>
      </w:tr>
      <w:tr>
        <w:trPr>
          <w:trHeight w:val="37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5"/>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0"/>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relating to lease cost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16,849</w:t>
            </w:r>
          </w:p>
        </w:tc>
      </w:tr>
      <w:tr>
        <w:trPr>
          <w:trHeight w:val="230"/>
        </w:trPr>
        <w:tc>
          <w:tcPr>
            <w:tcW w:w="55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594"/>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99"/>
              </w:rPr>
              <w:t>17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7"/>
        </w:trPr>
        <w:tc>
          <w:tcPr>
            <w:tcW w:w="5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5"/>
                <w:szCs w:val="15"/>
                <w:color w:val="auto"/>
              </w:rPr>
            </w:pP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600" w:type="dxa"/>
            <w:vAlign w:val="bottom"/>
            <w:gridSpan w:val="2"/>
          </w:tcPr>
          <w:p>
            <w:pPr>
              <w:jc w:val="right"/>
              <w:ind w:right="176"/>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168,546</w:t>
            </w:r>
          </w:p>
        </w:tc>
        <w:tc>
          <w:tcPr>
            <w:tcW w:w="22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181,542</w:t>
            </w:r>
          </w:p>
        </w:tc>
        <w:tc>
          <w:tcPr>
            <w:tcW w:w="0" w:type="dxa"/>
            <w:vAlign w:val="bottom"/>
          </w:tcPr>
          <w:p>
            <w:pPr>
              <w:spacing w:after="0"/>
              <w:rPr>
                <w:sz w:val="1"/>
                <w:szCs w:val="1"/>
                <w:color w:val="auto"/>
              </w:rPr>
            </w:pPr>
          </w:p>
        </w:tc>
      </w:tr>
      <w:tr>
        <w:trPr>
          <w:trHeight w:val="183"/>
        </w:trPr>
        <w:tc>
          <w:tcPr>
            <w:tcW w:w="7060" w:type="dxa"/>
            <w:vAlign w:val="bottom"/>
            <w:tcBorders>
              <w:top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21,797</w:t>
            </w: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23,047</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168,246</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180,898</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190,043</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203,945</w:t>
            </w:r>
          </w:p>
        </w:tc>
        <w:tc>
          <w:tcPr>
            <w:tcW w:w="0" w:type="dxa"/>
            <w:vAlign w:val="bottom"/>
          </w:tcPr>
          <w:p>
            <w:pPr>
              <w:spacing w:after="0"/>
              <w:rPr>
                <w:sz w:val="1"/>
                <w:szCs w:val="1"/>
                <w:color w:val="auto"/>
              </w:rPr>
            </w:pPr>
          </w:p>
        </w:tc>
      </w:tr>
      <w:tr>
        <w:trPr>
          <w:trHeight w:val="176"/>
        </w:trPr>
        <w:tc>
          <w:tcPr>
            <w:tcW w:w="70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Property plant and equipment, gross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3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176"/>
        </w:trPr>
        <w:tc>
          <w:tcPr>
            <w:tcW w:w="70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70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36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maturities of our leases were as follows: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24"/>
                <w:szCs w:val="24"/>
                <w:color w:val="auto"/>
              </w:rPr>
            </w:pPr>
          </w:p>
        </w:tc>
        <w:tc>
          <w:tcPr>
            <w:tcW w:w="15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80"/>
        </w:trPr>
        <w:tc>
          <w:tcPr>
            <w:tcW w:w="7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5"/>
                <w:szCs w:val="15"/>
                <w:color w:val="auto"/>
              </w:rPr>
            </w:pP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70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30,207</w:t>
            </w: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29,007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26,751</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23,446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21,288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112,162</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242,861</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(52,818)</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190,043</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Lessor</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relating to operating lease payments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FFFF00"/>
          </w:tcPr>
          <w:p>
            <w:pPr>
              <w:spacing w:after="0"/>
              <w:rPr>
                <w:sz w:val="2"/>
                <w:szCs w:val="2"/>
                <w:color w:val="auto"/>
              </w:rPr>
            </w:pPr>
          </w:p>
        </w:tc>
        <w:tc>
          <w:tcPr>
            <w:tcW w:w="1040" w:type="dxa"/>
            <w:vAlign w:val="bottom"/>
            <w:shd w:val="clear" w:color="auto" w:fill="FFFF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12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52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Components of lease income</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 payments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2,765</w:t>
            </w:r>
          </w:p>
        </w:tc>
        <w:tc>
          <w:tcPr>
            <w:tcW w:w="480" w:type="dxa"/>
            <w:vAlign w:val="bottom"/>
            <w:gridSpan w:val="2"/>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5,425</w:t>
            </w:r>
          </w:p>
        </w:tc>
        <w:tc>
          <w:tcPr>
            <w:tcW w:w="680" w:type="dxa"/>
            <w:vAlign w:val="bottom"/>
            <w:gridSpan w:val="2"/>
          </w:tcPr>
          <w:p>
            <w:pPr>
              <w:jc w:val="right"/>
              <w:ind w:right="3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5,392</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lease payments</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0"/>
        </w:trPr>
        <w:tc>
          <w:tcPr>
            <w:tcW w:w="5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income</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2,980</w:t>
            </w:r>
          </w:p>
        </w:tc>
        <w:tc>
          <w:tcPr>
            <w:tcW w:w="160" w:type="dxa"/>
            <w:vAlign w:val="bottom"/>
          </w:tcPr>
          <w:p>
            <w:pPr>
              <w:spacing w:after="0"/>
              <w:rPr>
                <w:sz w:val="16"/>
                <w:szCs w:val="16"/>
                <w:color w:val="auto"/>
              </w:rPr>
            </w:pPr>
          </w:p>
        </w:tc>
        <w:tc>
          <w:tcPr>
            <w:tcW w:w="460" w:type="dxa"/>
            <w:vAlign w:val="bottom"/>
            <w:tcBorders>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2,941</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5,848</w:t>
            </w:r>
          </w:p>
        </w:tc>
        <w:tc>
          <w:tcPr>
            <w:tcW w:w="160" w:type="dxa"/>
            <w:vAlign w:val="bottom"/>
          </w:tcPr>
          <w:p>
            <w:pPr>
              <w:spacing w:after="0"/>
              <w:rPr>
                <w:sz w:val="16"/>
                <w:szCs w:val="16"/>
                <w:color w:val="auto"/>
              </w:rPr>
            </w:pPr>
          </w:p>
        </w:tc>
        <w:tc>
          <w:tcPr>
            <w:tcW w:w="520" w:type="dxa"/>
            <w:vAlign w:val="bottom"/>
            <w:tcBorders>
              <w:bottom w:val="single" w:sz="8" w:color="auto"/>
            </w:tcBorders>
          </w:tcPr>
          <w:p>
            <w:pPr>
              <w:jc w:val="right"/>
              <w:ind w:right="3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5,786</w:t>
            </w:r>
          </w:p>
        </w:tc>
        <w:tc>
          <w:tcPr>
            <w:tcW w:w="0" w:type="dxa"/>
            <w:vAlign w:val="bottom"/>
          </w:tcPr>
          <w:p>
            <w:pPr>
              <w:spacing w:after="0"/>
              <w:rPr>
                <w:sz w:val="1"/>
                <w:szCs w:val="1"/>
                <w:color w:val="auto"/>
              </w:rPr>
            </w:pPr>
          </w:p>
        </w:tc>
      </w:tr>
      <w:tr>
        <w:trPr>
          <w:trHeight w:val="59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book value of underlying assets under operating leases from owned assets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Building and improvements</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Gross balance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115,569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4"/>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127,222</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(20,961)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(23,270)</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94,608</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103,952</w:t>
            </w:r>
          </w:p>
        </w:tc>
        <w:tc>
          <w:tcPr>
            <w:tcW w:w="0" w:type="dxa"/>
            <w:vAlign w:val="bottom"/>
          </w:tcPr>
          <w:p>
            <w:pPr>
              <w:spacing w:after="0"/>
              <w:rPr>
                <w:sz w:val="1"/>
                <w:szCs w:val="1"/>
                <w:color w:val="auto"/>
              </w:rPr>
            </w:pPr>
          </w:p>
        </w:tc>
      </w:tr>
      <w:tr>
        <w:trPr>
          <w:trHeight w:val="405"/>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minimum contractual rent payments due on our leases were as follows: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0"/>
        </w:trPr>
        <w:tc>
          <w:tcPr>
            <w:tcW w:w="6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8,751</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7,303</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6,568</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21,323</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54,776</w:t>
            </w:r>
          </w:p>
        </w:tc>
        <w:tc>
          <w:tcPr>
            <w:tcW w:w="0" w:type="dxa"/>
            <w:vAlign w:val="bottom"/>
          </w:tcPr>
          <w:p>
            <w:pPr>
              <w:spacing w:after="0"/>
              <w:rPr>
                <w:sz w:val="1"/>
                <w:szCs w:val="1"/>
                <w:color w:val="auto"/>
              </w:rPr>
            </w:pPr>
          </w:p>
        </w:tc>
      </w:tr>
      <w:tr>
        <w:trPr>
          <w:trHeight w:val="581"/>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summarizes goodwill by business segment as of June 30, 2024, and December 31, 2023.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Cinema</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20,311</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5,224</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25,535</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(512)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0"/>
        </w:trPr>
        <w:tc>
          <w:tcPr>
            <w:tcW w:w="6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19,799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3"/>
            <w:shd w:val="clear" w:color="auto" w:fill="CCEEFF"/>
          </w:tcPr>
          <w:p>
            <w:pPr>
              <w:jc w:val="right"/>
              <w:ind w:right="3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25,023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2024. To test the impairment of goodwill, our Company compares the fair value of each reporting unit to its carrying amount, including the goodwill, to determine if there is potential goodwill impairment. A reporting unit is generally one level below the operating segment. As of June 30, 2024, we were not aware that any events indicating potential impairment of goodwill had occurred outside of those described at </w:t>
      </w:r>
      <w:r>
        <w:rPr>
          <w:rFonts w:ascii="Times New Roman" w:cs="Times New Roman" w:eastAsia="Times New Roman" w:hAnsi="Times New Roman"/>
          <w:sz w:val="18"/>
          <w:szCs w:val="18"/>
          <w:i w:val="1"/>
          <w:iCs w:val="1"/>
          <w:color w:val="auto"/>
        </w:rPr>
        <w:t>Note 3 – Liquidity and Impairment Assessment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intangible assets other than goodwill, as of June 30, 2024, and December 31, 2023,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7"/>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4"/>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10,459</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4,380</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23,863</w:t>
            </w: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(10,285)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(8,032)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(3,647)</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(21,964)</w:t>
            </w:r>
          </w:p>
        </w:tc>
      </w:tr>
      <w:tr>
        <w:trPr>
          <w:trHeight w:val="189"/>
        </w:trPr>
        <w:tc>
          <w:tcPr>
            <w:tcW w:w="530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1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733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1,899</w:t>
            </w:r>
          </w:p>
        </w:tc>
      </w:tr>
      <w:tr>
        <w:trPr>
          <w:trHeight w:val="615"/>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37"/>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8"/>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4"/>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516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11,283</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4,400</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24,707</w:t>
            </w: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(11,089)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(22,661)</w:t>
            </w:r>
          </w:p>
        </w:tc>
      </w:tr>
      <w:tr>
        <w:trPr>
          <w:trHeight w:val="189"/>
        </w:trPr>
        <w:tc>
          <w:tcPr>
            <w:tcW w:w="5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90"/>
        </w:trPr>
        <w:tc>
          <w:tcPr>
            <w:tcW w:w="5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781</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2,038</w:t>
            </w:r>
          </w:p>
        </w:tc>
      </w:tr>
      <w:tr>
        <w:trPr>
          <w:trHeight w:val="594"/>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8"/>
        </w:trPr>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jc w:val="both"/>
        <w:spacing w:after="0"/>
        <w:rPr>
          <w:sz w:val="20"/>
          <w:szCs w:val="20"/>
          <w:color w:val="auto"/>
        </w:rPr>
      </w:pPr>
      <w:r>
        <w:rPr>
          <w:rFonts w:ascii="Times New Roman" w:cs="Times New Roman" w:eastAsia="Times New Roman" w:hAnsi="Times New Roman"/>
          <w:sz w:val="18"/>
          <w:szCs w:val="18"/>
          <w:color w:val="auto"/>
        </w:rPr>
        <w:t>Beneficial leases obtained in business combinations where we are the landlord are amortized over the life of the relevant leases. Trade names are amortized based on the accelerated amortization method over their estimated useful life of 30 years, and other intangible assets are amortized over their estimated useful lives of up to 30 years (except for transferrable liquor licenses, which are indefinite-lived assets). The table below summarizes the amortization expense of intangible assets for the quarter and six months ended June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Beneficial lease amortization</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80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0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amortization</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intangible assets amortization</w:t>
            </w:r>
          </w:p>
        </w:tc>
        <w:tc>
          <w:tcPr>
            <w:tcW w:w="900" w:type="dxa"/>
            <w:vAlign w:val="bottom"/>
            <w:tcBorders>
              <w:bottom w:val="single" w:sz="8" w:color="auto"/>
            </w:tcBorders>
            <w:shd w:val="clear" w:color="auto" w:fill="CCEEFF"/>
          </w:tcPr>
          <w:p>
            <w:pPr>
              <w:jc w:val="right"/>
              <w:ind w:right="71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81</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75</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144</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 in Unconsolidated Joint Ventures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unconsolidated joint ventures are accounted for under the equity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active investment holdings in two (2) unconsolidated joint ventures as of June 30,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7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768</w:t>
            </w:r>
          </w:p>
        </w:tc>
        <w:tc>
          <w:tcPr>
            <w:tcW w:w="360" w:type="dxa"/>
            <w:vAlign w:val="bottom"/>
            <w:tcBorders>
              <w:top w:val="single" w:sz="8" w:color="auto"/>
            </w:tcBorders>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848</w:t>
            </w:r>
          </w:p>
        </w:tc>
      </w:tr>
      <w:tr>
        <w:trPr>
          <w:trHeight w:val="189"/>
        </w:trPr>
        <w:tc>
          <w:tcPr>
            <w:tcW w:w="68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1280" w:type="dxa"/>
            <w:vAlign w:val="bottom"/>
            <w:tcBorders>
              <w:bottom w:val="single" w:sz="8" w:color="CCEEFF"/>
            </w:tcBorders>
          </w:tcPr>
          <w:p>
            <w:pPr>
              <w:ind w:left="400"/>
              <w:spacing w:after="0" w:line="189" w:lineRule="exact"/>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3,660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3,908</w:t>
            </w:r>
          </w:p>
        </w:tc>
      </w:tr>
      <w:tr>
        <w:trPr>
          <w:trHeight w:val="189"/>
        </w:trPr>
        <w:tc>
          <w:tcPr>
            <w:tcW w:w="68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investments</w:t>
            </w:r>
          </w:p>
        </w:tc>
        <w:tc>
          <w:tcPr>
            <w:tcW w:w="1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4,428</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4,756</w:t>
            </w:r>
          </w:p>
        </w:tc>
      </w:tr>
    </w:tbl>
    <w:p>
      <w:pPr>
        <w:spacing w:after="0" w:line="171"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For the quarter and six months ended June 30, 2024 and 2023, the recognized share of equity earnings from our investments in unconsolidated joint ventures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15"/>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equity earnings</w:t>
            </w:r>
          </w:p>
        </w:tc>
        <w:tc>
          <w:tcPr>
            <w:tcW w:w="900" w:type="dxa"/>
            <w:vAlign w:val="bottom"/>
            <w:tcBorders>
              <w:bottom w:val="single" w:sz="8" w:color="auto"/>
            </w:tcBorders>
            <w:shd w:val="clear" w:color="auto" w:fill="CCEEFF"/>
          </w:tcPr>
          <w:p>
            <w:pPr>
              <w:jc w:val="right"/>
              <w:ind w:right="715"/>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119</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207</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5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58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Prepaid and Other Assets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assets are summarized as follows: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gridSpan w:val="3"/>
          </w:tcPr>
          <w:p>
            <w:pPr>
              <w:jc w:val="right"/>
              <w:ind w:right="7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taxes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Deposits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Investments in marketable securities</w:t>
            </w: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2,485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2,881</w:t>
            </w:r>
          </w:p>
        </w:tc>
        <w:tc>
          <w:tcPr>
            <w:tcW w:w="0" w:type="dxa"/>
            <w:vAlign w:val="bottom"/>
          </w:tcPr>
          <w:p>
            <w:pPr>
              <w:spacing w:after="0"/>
              <w:rPr>
                <w:sz w:val="1"/>
                <w:szCs w:val="1"/>
                <w:color w:val="auto"/>
              </w:rPr>
            </w:pPr>
          </w:p>
        </w:tc>
      </w:tr>
      <w:tr>
        <w:trPr>
          <w:trHeight w:val="176"/>
        </w:trPr>
        <w:tc>
          <w:tcPr>
            <w:tcW w:w="5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non-cinema and non-rental real estate assets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 in Reading International Trust I</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Straight-line rent asset</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7,202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deposits</w:t>
            </w: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8,725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8,965</w:t>
            </w:r>
          </w:p>
        </w:tc>
        <w:tc>
          <w:tcPr>
            <w:tcW w:w="0" w:type="dxa"/>
            <w:vAlign w:val="bottom"/>
          </w:tcPr>
          <w:p>
            <w:pPr>
              <w:spacing w:after="0"/>
              <w:rPr>
                <w:sz w:val="1"/>
                <w:szCs w:val="1"/>
                <w:color w:val="auto"/>
              </w:rPr>
            </w:pPr>
          </w:p>
        </w:tc>
      </w:tr>
      <w:tr>
        <w:trPr>
          <w:trHeight w:val="783"/>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1.4% and 3.9% for the six months ended June 30, 2024 and 2023, respectively. The difference is primarily due to an increase in unrecognized tax benefits in 2024. The forecasted effective tax rate is updated each quarter as new information becomes available.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Borrowings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Company’s borrowings at June 30, 2024 and December 31, 2023, net of deferred financing costs and including the impact of interest rate derivatives on effective interest rates, are summarized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4"/>
                <w:szCs w:val="14"/>
                <w:b w:val="1"/>
                <w:bCs w:val="1"/>
                <w:color w:val="auto"/>
              </w:rPr>
              <w:t>Stated</w:t>
            </w: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20" w:type="dxa"/>
            <w:vAlign w:val="bottom"/>
          </w:tcPr>
          <w:p>
            <w:pPr>
              <w:jc w:val="right"/>
              <w:ind w:right="228"/>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2"/>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27,283</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9.59%</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18,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Cinemas 1, 2, 3 Term Loan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20,770</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8.83%</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 2024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Union Square Financing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46,938</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Money Promissory Note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18, 2024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Denominated in foreign currency ("FC") </w:t>
            </w:r>
            <w:r>
              <w:rPr>
                <w:rFonts w:ascii="Times New Roman" w:cs="Times New Roman" w:eastAsia="Times New Roman" w:hAnsi="Times New Roman"/>
                <w:sz w:val="23"/>
                <w:szCs w:val="23"/>
                <w:color w:val="auto"/>
                <w:vertAlign w:val="superscript"/>
              </w:rPr>
              <w:t>(2)</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NAB Corporate Term Loan (AU)</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31, 2026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66,610</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6.09%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NAB Bridge Facility (AU)</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13,329</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6.12%</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8.20%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218,277</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210,418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209,229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$1.2 million.</w:t>
      </w:r>
    </w:p>
    <w:p>
      <w:pPr>
        <w:spacing w:after="0" w:line="3" w:lineRule="exact"/>
        <w:rPr>
          <w:rFonts w:ascii="Times New Roman" w:cs="Times New Roman" w:eastAsia="Times New Roman" w:hAnsi="Times New Roman"/>
          <w:sz w:val="14"/>
          <w:szCs w:val="14"/>
          <w:color w:val="auto"/>
        </w:rPr>
      </w:pPr>
    </w:p>
    <w:p>
      <w:pPr>
        <w:ind w:left="660" w:right="380" w:hanging="328"/>
        <w:spacing w:after="0" w:line="258"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June 30,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3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Stated</w:t>
            </w: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6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8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6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2"/>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27,172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9.65%</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(US)(3)</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4, 2024</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Cinemas 1, 2, 3 Term Loan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8.84%</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1,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U.S. Corporate Office Term Loan (US)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2027</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8,356</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4.64% / 4.44%</w:t>
            </w:r>
          </w:p>
        </w:tc>
        <w:tc>
          <w:tcPr>
            <w:tcW w:w="8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4.64% /</w:t>
            </w:r>
          </w:p>
        </w:tc>
        <w:tc>
          <w:tcPr>
            <w:tcW w:w="0" w:type="dxa"/>
            <w:vAlign w:val="bottom"/>
          </w:tcPr>
          <w:p>
            <w:pPr>
              <w:spacing w:after="0"/>
              <w:rPr>
                <w:sz w:val="1"/>
                <w:szCs w:val="1"/>
                <w:color w:val="auto"/>
              </w:rPr>
            </w:pPr>
          </w:p>
        </w:tc>
      </w:tr>
      <w:tr>
        <w:trPr>
          <w:trHeight w:val="185"/>
        </w:trPr>
        <w:tc>
          <w:tcPr>
            <w:tcW w:w="41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Union Square Financing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6,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46,925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 Money Promissory Note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18,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foreign currency ("FC")(2)</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NAB Corporate Term Loan (AU)</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68,173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8,775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62"/>
        </w:trPr>
        <w:tc>
          <w:tcPr>
            <w:tcW w:w="4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218,159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210,300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208,847</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$1.5 million.</w:t>
      </w:r>
    </w:p>
    <w:p>
      <w:pPr>
        <w:spacing w:after="0" w:line="17" w:lineRule="exact"/>
        <w:rPr>
          <w:rFonts w:ascii="Times New Roman" w:cs="Times New Roman" w:eastAsia="Times New Roman" w:hAnsi="Times New Roman"/>
          <w:sz w:val="14"/>
          <w:szCs w:val="14"/>
          <w:color w:val="auto"/>
        </w:rPr>
      </w:pPr>
    </w:p>
    <w:p>
      <w:pPr>
        <w:ind w:left="660" w:right="380" w:hanging="328"/>
        <w:spacing w:after="0" w:line="23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December 31, 2023.</w:t>
      </w: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financing facility was extended after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loan arrangements are presented, net of the deferred financing costs, on the face of our consolidated balance sheet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Caption (Dollars in thousands)</w:t>
            </w:r>
          </w:p>
        </w:tc>
        <w:tc>
          <w:tcPr>
            <w:tcW w:w="40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Debt - current portion</w:t>
            </w:r>
          </w:p>
        </w:tc>
        <w:tc>
          <w:tcPr>
            <w:tcW w:w="4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58,401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34,484</w:t>
            </w:r>
          </w:p>
        </w:tc>
      </w:tr>
      <w:tr>
        <w:trPr>
          <w:trHeight w:val="189"/>
        </w:trPr>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Debt - long-term portion</w:t>
            </w: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123,347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146,605</w:t>
            </w:r>
          </w:p>
        </w:tc>
      </w:tr>
      <w:tr>
        <w:trPr>
          <w:trHeight w:val="189"/>
        </w:trPr>
        <w:tc>
          <w:tcPr>
            <w:tcW w:w="4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current portion</w:t>
            </w:r>
          </w:p>
        </w:tc>
        <w:tc>
          <w:tcPr>
            <w:tcW w:w="4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586</w:t>
            </w:r>
          </w:p>
        </w:tc>
      </w:tr>
      <w:tr>
        <w:trPr>
          <w:trHeight w:val="189"/>
        </w:trPr>
        <w:tc>
          <w:tcPr>
            <w:tcW w:w="41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long-term portion</w:t>
            </w:r>
          </w:p>
        </w:tc>
        <w:tc>
          <w:tcPr>
            <w:tcW w:w="40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27,283</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27,172</w:t>
            </w:r>
          </w:p>
        </w:tc>
      </w:tr>
      <w:tr>
        <w:trPr>
          <w:trHeight w:val="203"/>
        </w:trPr>
        <w:tc>
          <w:tcPr>
            <w:tcW w:w="41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4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209,229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208,847</w:t>
            </w:r>
          </w:p>
        </w:tc>
      </w:tr>
      <w:tr>
        <w:trPr>
          <w:trHeight w:val="378"/>
        </w:trPr>
        <w:tc>
          <w:tcPr>
            <w:tcW w:w="4160" w:type="dxa"/>
            <w:vAlign w:val="bottom"/>
          </w:tcPr>
          <w:p>
            <w:pPr>
              <w:spacing w:after="0"/>
              <w:rPr>
                <w:sz w:val="24"/>
                <w:szCs w:val="24"/>
                <w:color w:val="auto"/>
              </w:rPr>
            </w:pPr>
          </w:p>
        </w:tc>
        <w:tc>
          <w:tcPr>
            <w:tcW w:w="40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41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Bank of America Credit Facility</w:t>
      </w:r>
    </w:p>
    <w:p>
      <w:pPr>
        <w:spacing w:after="0" w:line="17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Our Bank of America facility was amended on March 27, 2024, to among other terms and conditions, (i) extend the Maturity Date to August 18, 2025, (ii) require a $275,000 principal paydown, (iii) eliminate the minimum liquidity covenant, (iv) reduce the principal amortization amounts and provide a</w:t>
      </w:r>
    </w:p>
    <w:p>
      <w:pPr>
        <w:spacing w:after="0" w:line="204" w:lineRule="auto"/>
        <w:tabs>
          <w:tab w:leader="none" w:pos="7240" w:val="left"/>
        </w:tabs>
        <w:rPr>
          <w:sz w:val="20"/>
          <w:szCs w:val="20"/>
          <w:color w:val="auto"/>
        </w:rPr>
      </w:pPr>
      <w:r>
        <w:rPr>
          <w:rFonts w:ascii="Times New Roman" w:cs="Times New Roman" w:eastAsia="Times New Roman" w:hAnsi="Times New Roman"/>
          <w:sz w:val="18"/>
          <w:szCs w:val="18"/>
          <w:color w:val="auto"/>
        </w:rPr>
        <w:t>principal holiday period, and (v) require certain paydowns on the sale of certain real estate assets.</w:t>
        <w:tab/>
        <w:t>Interest is charged at 3.0% above the Bank of America</w:t>
      </w:r>
    </w:p>
    <w:p>
      <w:pPr>
        <w:jc w:val="both"/>
        <w:spacing w:after="0" w:line="195" w:lineRule="auto"/>
        <w:rPr>
          <w:sz w:val="20"/>
          <w:szCs w:val="20"/>
          <w:color w:val="auto"/>
        </w:rPr>
      </w:pPr>
      <w:r>
        <w:rPr>
          <w:rFonts w:ascii="Times New Roman" w:cs="Times New Roman" w:eastAsia="Times New Roman" w:hAnsi="Times New Roman"/>
          <w:sz w:val="18"/>
          <w:szCs w:val="18"/>
          <w:color w:val="auto"/>
        </w:rPr>
        <w:t>Prime rate, which itself has a floor of 1.0%. Payment-in-kind interest at a rate of 0.5% commenced on January 1, 2024, and will continue until December 31, 2024, increasing to 1.5% on January 1, 2025, until the facility is repaid in full. This loan is subject to mandatory prepayment out of a portion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net proceeds realized by us in the event that we determine to sell certain specified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Minetta and Orpheum Theatres Loan</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November 1, 2023, our $8.0 million loan with Santander Bank, which is secured by our Minetta and Orpheum Theatres, matured. On January 26, 2024, we extended this loan for a further six months to June 1, 2024. We are in discussions with Santander to extend the maturity date of this loan.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Cinemas 1,2,3 Term Loan</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Cinemas 1,2,3 Term Loan is held by Sutton Hill Properties LLC (“SHP”), a 75% owned subsidiary of RDI. On September 29, 2023, we extended the maturity of this loan from October 3, 2023, to October 1, 2024. The loan is with Valley National Bank, carries an interest rate of 3.50% above monthly SOFR, with a floor of 7.50%, and includes provisions for a prepaid interest reserve.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Square Financing</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7, 2021, we closed on a new three year $55.0 million loan facility with Emerald Creek Capital secured by our 44 Union Square property and certain limited guarantees. Following the phase out of LIBOR, the facility bears a variable interest rate of TERM SOFR plus 6.9% and includes provisions for a prepaid interest and property tax reserve fund. On April 23, 2024, we executed the first 12 month extension on this loan, taking the maturity to May 6, 2025. The loan has one remaining 12-month option to extend, and may be repaid at any time, without the payment of any premium. As this option is within our control, we will continue to keep the loan classified as long-term.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Money Promissory Note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18, 2019, we purchased for $5.5 million 407,000 shares of our Class A Common Stock in a privately negotiated transaction under our Share Repurchase Program. Of this amount, $3.5 million was paid by the issuance of a Purchase Money Promissory Note, which bears an interest rate of 5.0% per annum, payable in equal quarterly payments of principal plus accrued interest. The Purchase Money Promissory Note matures on September 18,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Corporate Office Term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repaid this $8.4 million loan in full in February 2024, with a portion of the proceeds from the sale of our Culver City office building.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denominated in foreign currencies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Westpac Bank Corporate Credit Facility (NZ)</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Westpac Corporate Credit Facility for NZ$13.8 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June 30, 2024.</w:t>
      </w:r>
    </w:p>
    <w:p>
      <w:pPr>
        <w:spacing w:after="0" w:line="14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On August 13, 2024, we increased the limit on this facility by NZ$5.0 million to NZ$18.8 million. The maturity date remains January 1, 2025.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NAB Corporate Term Loan (AU)</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31, 2024, our Revolving Corporate Markets Loan Facility with National Australia Bank (“NAB”) matured on July 31, 2025. It consisted of</w:t>
      </w:r>
    </w:p>
    <w:p>
      <w:pPr>
        <w:spacing w:after="0" w:line="16" w:lineRule="exact"/>
        <w:rPr>
          <w:sz w:val="20"/>
          <w:szCs w:val="20"/>
          <w:color w:val="auto"/>
        </w:rPr>
      </w:pPr>
    </w:p>
    <w:p>
      <w:pPr>
        <w:ind w:firstLine="8"/>
        <w:spacing w:after="0" w:line="233"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AU$100.0 million Corporate Loan facility at 1.75% above BBSY, of which AU $60.0 million was revolving and AU$40.0 million was core and (ii) a Bank Guarantee Facility of AU$5.0 million at a rate of 1.9% per annum.</w:t>
      </w:r>
    </w:p>
    <w:p>
      <w:pPr>
        <w:spacing w:after="0" w:line="1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April 4, 2024, we amended this facility, which now matures on July 31, 2026. As part of the amendment, we obtained an additional AU$20.0 million bridge facility which matures on March 31, 2025 (or earlier, upon the sale of certain assets), and modified certain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2" w:name="page23"/>
    <w:bookmarkEnd w:id="22"/>
    <w:p>
      <w:pPr>
        <w:jc w:val="both"/>
        <w:spacing w:after="0" w:line="242" w:lineRule="auto"/>
        <w:rPr>
          <w:sz w:val="20"/>
          <w:szCs w:val="20"/>
          <w:color w:val="auto"/>
        </w:rPr>
      </w:pPr>
      <w:r>
        <w:rPr>
          <w:rFonts w:ascii="Times New Roman" w:cs="Times New Roman" w:eastAsia="Times New Roman" w:hAnsi="Times New Roman"/>
          <w:sz w:val="18"/>
          <w:szCs w:val="18"/>
          <w:color w:val="auto"/>
        </w:rPr>
        <w:t>covenants. We are also required, from March 31, 2025, to make quarterly repayments of AU$1.5 million against the AU$100.0 million Corporate Loan facility, until maturity date, representing permanent reductions in that facility’s ceiling. The bank guarantee facility was reduced to AU$3.0 million. No other changes were made.</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June 28, 2024, we entered into an Interest Rate Hedging Agreement with NAB on AU$50.0 million of the Corporate Loan Facility with the Termination date on July 31, 2026. The Interest Rate Collar transaction has a floor of 4.18% and a cap of 4.78%.</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Other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are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gridSpan w:val="2"/>
          </w:tcPr>
          <w:p>
            <w:pPr>
              <w:jc w:val="right"/>
              <w:ind w:right="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Security deposit payable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03"/>
        </w:trPr>
        <w:tc>
          <w:tcPr>
            <w:tcW w:w="818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6,625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6,731</w:t>
            </w:r>
          </w:p>
        </w:tc>
      </w:tr>
      <w:tr>
        <w:trPr>
          <w:trHeight w:val="176"/>
        </w:trPr>
        <w:tc>
          <w:tcPr>
            <w:tcW w:w="8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make-good provision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6,018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6,050</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2,542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2,646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rent liability</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Environmental reserve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Acquired leases</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89"/>
        </w:trPr>
        <w:tc>
          <w:tcPr>
            <w:tcW w:w="818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11,493</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11,711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Liability – Supplemental Executive Retirement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Details of our Supplemental Executive Retirement Plan are disclosed in </w:t>
      </w:r>
      <w:r>
        <w:rPr>
          <w:rFonts w:ascii="Times New Roman" w:cs="Times New Roman" w:eastAsia="Times New Roman" w:hAnsi="Times New Roman"/>
          <w:sz w:val="18"/>
          <w:szCs w:val="18"/>
          <w:i w:val="1"/>
          <w:iCs w:val="1"/>
          <w:color w:val="auto"/>
        </w:rPr>
        <w:t>Note 13 – Pension and Other Liabilities</w:t>
      </w:r>
      <w:r>
        <w:rPr>
          <w:rFonts w:ascii="Times New Roman" w:cs="Times New Roman" w:eastAsia="Times New Roman" w:hAnsi="Times New Roman"/>
          <w:sz w:val="18"/>
          <w:szCs w:val="18"/>
          <w:color w:val="auto"/>
        </w:rPr>
        <w:t xml:space="preserve"> in our 2023 Form 10-K.</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Included in our current and non-current liabilities are accrued pension costs of $3.1 million on June 30, 2024. The benefits of our pension plan are fully vested and therefore no service costs were recognized for the quarter and six months ended June 30, 2024, and 2023. Our pension plan is unfunded.</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quarter and six months ended June 30, 2024, the interest cost was $42,000 and $86,000, respectively, and the actuarial loss was $52,000 and $104,000, respectively. During the quarter and six months ended June 30, 2023, the interest cost was $50,000 and $99,000, respectively, and the actuarial loss was $51,000 and $103,000,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each component of accumulated other comprehensive income attributable to RDI:</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on‎ Available-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5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January 1, 2024</w:t>
            </w:r>
          </w:p>
        </w:tc>
        <w:tc>
          <w:tcPr>
            <w:tcW w:w="260" w:type="dxa"/>
            <w:vAlign w:val="bottom"/>
            <w:tcBorders>
              <w:top w:val="single" w:sz="8" w:color="auto"/>
            </w:tcBorders>
            <w:gridSpan w:val="2"/>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w w:val="99"/>
              </w:rPr>
              <w:t>Change related to derivatives</w:t>
            </w:r>
          </w:p>
        </w:tc>
        <w:tc>
          <w:tcPr>
            <w:tcW w:w="2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Total change in hedge fair value recorded in Other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Net change related to derivatives</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(2,645)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(1,565)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(4,325)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to the extent required, have accrued estimates of probable and estimable losses for the resolution of these claims, including legal costs.</w:t>
      </w:r>
    </w:p>
    <w:p>
      <w:pPr>
        <w:spacing w:after="0" w:line="25"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plaintiffs</w:t>
      </w:r>
      <w:r>
        <w:rPr>
          <w:rFonts w:ascii="Times New Roman" w:cs="Times New Roman" w:eastAsia="Times New Roman" w:hAnsi="Times New Roman"/>
          <w:sz w:val="18"/>
          <w:szCs w:val="18"/>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49"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defendants</w:t>
      </w:r>
      <w:r>
        <w:rPr>
          <w:rFonts w:ascii="Times New Roman" w:cs="Times New Roman" w:eastAsia="Times New Roman" w:hAnsi="Times New Roman"/>
          <w:sz w:val="18"/>
          <w:szCs w:val="18"/>
          <w:color w:val="auto"/>
        </w:rPr>
        <w:t xml:space="preserve">, we accrue for probable damages that insurance may not cover as they become known and can be reasonably estimated, as permitted under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and Asbestos Claims on Reading Legacy Operations</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17 – Non-controlling Interests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composed of the following enterprises: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Australia Country Cinemas Pty Ltd. - 25% noncontrolling interest owned by Panorama Group International Pty Ltd;</w:t>
      </w:r>
    </w:p>
    <w:p>
      <w:pPr>
        <w:spacing w:after="0" w:line="76" w:lineRule="exact"/>
        <w:rPr>
          <w:sz w:val="20"/>
          <w:szCs w:val="20"/>
          <w:color w:val="auto"/>
        </w:rPr>
      </w:pPr>
    </w:p>
    <w:p>
      <w:pPr>
        <w:ind w:left="660" w:right="400"/>
        <w:spacing w:after="0" w:line="250" w:lineRule="auto"/>
        <w:rPr>
          <w:sz w:val="20"/>
          <w:szCs w:val="20"/>
          <w:color w:val="auto"/>
        </w:rPr>
      </w:pPr>
      <w:r>
        <w:rPr>
          <w:rFonts w:ascii="Times New Roman" w:cs="Times New Roman" w:eastAsia="Times New Roman" w:hAnsi="Times New Roman"/>
          <w:sz w:val="18"/>
          <w:szCs w:val="18"/>
          <w:color w:val="auto"/>
        </w:rPr>
        <w:t>Shadow View Land and Farming, LLC - 50% noncontrolling membership interest owned by the estate of Mr. James J. Cotter, Sr. (the “Cotter Estate”); and,</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Sutton Hill Properties, LLC - 25% noncontrolling interest owned by Sutton Hill Capital, LLC (which in turn is 50% owned by the Cotter Estate).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noncontrolling interests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Noncontrolling interests in consolidated subsidiaries</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(463)</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392"/>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attributable to noncontrolling interests are as follows: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69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900" w:type="dxa"/>
            <w:vAlign w:val="bottom"/>
            <w:tcBorders>
              <w:top w:val="single" w:sz="8" w:color="auto"/>
            </w:tcBorders>
            <w:shd w:val="clear" w:color="auto" w:fill="CCEEFF"/>
          </w:tcPr>
          <w:p>
            <w:pPr>
              <w:jc w:val="right"/>
              <w:ind w:right="74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88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6"/>
                <w:szCs w:val="16"/>
                <w:color w:val="auto"/>
              </w:rPr>
            </w:pPr>
          </w:p>
        </w:tc>
        <w:tc>
          <w:tcPr>
            <w:tcW w:w="5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8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(198)</w:t>
            </w:r>
          </w:p>
        </w:tc>
        <w:tc>
          <w:tcPr>
            <w:tcW w:w="9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tc>
        <w:tc>
          <w:tcPr>
            <w:tcW w:w="880" w:type="dxa"/>
            <w:vAlign w:val="bottom"/>
            <w:tcBorders>
              <w:top w:val="single" w:sz="8" w:color="auto"/>
              <w:bottom w:val="single" w:sz="8" w:color="auto"/>
            </w:tcBorders>
          </w:tcPr>
          <w:p>
            <w:pPr>
              <w:jc w:val="right"/>
              <w:ind w:right="69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(195)</w:t>
            </w:r>
          </w:p>
        </w:tc>
        <w:tc>
          <w:tcPr>
            <w:tcW w:w="1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4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(370)</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Controlling and Noncontrolling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controlling and noncontrolling stockholders’ equity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3"/>
                <w:szCs w:val="13"/>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08"/>
        </w:trPr>
        <w:tc>
          <w:tcPr>
            <w:tcW w:w="23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right="1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2024</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20,664</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155,402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(79,489)</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(2,673)</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33,087</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32,996</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(13,403)</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r>
      <w:tr>
        <w:trPr>
          <w:trHeight w:val="135"/>
        </w:trPr>
        <w:tc>
          <w:tcPr>
            <w:tcW w:w="2340" w:type="dxa"/>
            <w:vAlign w:val="bottom"/>
            <w:tcBorders>
              <w:bottom w:val="single" w:sz="8" w:color="auto"/>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135"/>
        </w:trPr>
        <w:tc>
          <w:tcPr>
            <w:tcW w:w="23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2024</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20,673</w:t>
            </w:r>
          </w:p>
        </w:tc>
        <w:tc>
          <w:tcPr>
            <w:tcW w:w="260" w:type="dxa"/>
            <w:vAlign w:val="bottom"/>
            <w:tcBorders>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156,078</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(92,717)</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(5,211)</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17,997</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17,728</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w:t>
            </w:r>
          </w:p>
        </w:tc>
      </w:tr>
      <w:tr>
        <w:trPr>
          <w:trHeight w:val="135"/>
        </w:trPr>
        <w:tc>
          <w:tcPr>
            <w:tcW w:w="2340" w:type="dxa"/>
            <w:vAlign w:val="bottom"/>
            <w:tcBorders>
              <w:bottom w:val="single" w:sz="8" w:color="auto"/>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June 30, 2024 (As Restated)</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20,745</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238</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156,529</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(105,523)</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(4,325)</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6,529</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(463)</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6,066</w:t>
            </w:r>
          </w:p>
        </w:tc>
      </w:tr>
      <w:tr>
        <w:trPr>
          <w:trHeight w:val="540"/>
        </w:trPr>
        <w:tc>
          <w:tcPr>
            <w:tcW w:w="2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24"/>
                <w:szCs w:val="24"/>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8"/>
        </w:trPr>
        <w:tc>
          <w:tcPr>
            <w:tcW w:w="23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right="1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2023</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20,410</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1,680</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153,784</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(48,816)</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62,856</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63,279</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(11,324)</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r>
      <w:tr>
        <w:trPr>
          <w:trHeight w:val="135"/>
        </w:trPr>
        <w:tc>
          <w:tcPr>
            <w:tcW w:w="2340" w:type="dxa"/>
            <w:vAlign w:val="bottom"/>
            <w:tcBorders>
              <w:bottom w:val="single" w:sz="8" w:color="auto"/>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r>
      <w:tr>
        <w:trPr>
          <w:trHeight w:val="135"/>
        </w:trPr>
        <w:tc>
          <w:tcPr>
            <w:tcW w:w="23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2023</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20,499</w:t>
            </w:r>
          </w:p>
        </w:tc>
        <w:tc>
          <w:tcPr>
            <w:tcW w:w="260" w:type="dxa"/>
            <w:vAlign w:val="bottom"/>
            <w:tcBorders>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1,680</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154,095</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(59,927)</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50,763</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50,972</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(741)</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r>
      <w:tr>
        <w:trPr>
          <w:trHeight w:val="135"/>
        </w:trPr>
        <w:tc>
          <w:tcPr>
            <w:tcW w:w="2340" w:type="dxa"/>
            <w:vAlign w:val="bottom"/>
            <w:tcBorders>
              <w:bottom w:val="single" w:sz="8" w:color="auto"/>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2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June 30, 2023</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20,591</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1,680</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154,290</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(62,705)</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(3,990)</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47,441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47,566</w:t>
            </w: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18 – Stock-Based Compensation and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and Director Stock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Stock Incentive Plan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November 4, 2020, the Company enacted the 2020 Stock Incentive Plan, which was also approved by the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 On December 7, 2023, the Company’s stockholders, upon recommendation of the Company’s board of directors, approved the First Amendment to the 2020 Stock Incentive Plan, increasing the number of Class A Common Stock reserved for issuance under the 2020 Plan by an additional 971,807 shares.</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Under the 2020 Plan, the Company may grant stock options and other share-based payment awards of our Class A Common Stock to eligible employees, directors and consultants. At June 30, 2024, there were 1,486,907 shares of Class A Common Stock available for issuance under the 2020 Plan, which includes shares from the 2010 Plan that become available for issuance due to the forfeiture of then outstanding out of the money stock options.</w:t>
      </w:r>
    </w:p>
    <w:p>
      <w:pPr>
        <w:spacing w:after="0" w:line="1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or options granted to management. At the time the options are exercised or RSUs vest and are settled, at the discretion of management, we will issue treasury shares or make a new issuance of shares to the option or RSU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Stock options to purchase 207,657 shares of Class A Common Stock were issued to the Board of Directors upon their reelection to the Board in December 2023 for their services for their 2024 term. No other stock options were granted in 2023. On June 6, 2024, we issued options to purchase 1,264,603 shares of Class A Common Stock to our senior executives. These options have a one-year vesting and a ten-year term and were granted in lieu of cash bonuses which would otherwise have been paid under our Company's Incentive Compensation Program. No other stock options were granted during the two quarters of 2024.</w:t>
      </w:r>
    </w:p>
    <w:p>
      <w:pPr>
        <w:spacing w:after="0" w:line="1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 the quarter and six months ended June 30, 2024, we recorded a compensation expense of $115,000 and $164,000 respectively, with respect to our prior stock option grants. For the quarter and six months ended June 30, 2023, we recorded a compensation expense of and $9,000 and $18,000 respectively, with respect to our prior stock option grants At June 30, 2024, the total unrecognized estimated compensation expense related to non-vested stock options was $815,000, which we expect to recognize over a weighted average vesting period of 1.03 years. The intrinsic, unrealized value of all options outstanding vested and expected to vest, at June 30, 2024, was nil, as the closing price of our Class A Common Stock on that date was $1.42.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summarizes the number of options outstanding and exercisable as of June 30, 2024, and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Outstanding Stock Options - Class A Shares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7"/>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6"/>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4"/>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gridSpan w:val="3"/>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4"/>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327,498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gridSpan w:val="4"/>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207,657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(122,376)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412,779</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14.19</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gridSpan w:val="4"/>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1,264,603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(205,122)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June 30, 2024</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1,472,260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following table</w:t>
            </w:r>
          </w:p>
        </w:tc>
        <w:tc>
          <w:tcPr>
            <w:tcW w:w="48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summarizes the status of RSUs granted to date as of June 30, 2024: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RSU Grants (in units)</w:t>
            </w:r>
          </w:p>
        </w:tc>
        <w:tc>
          <w:tcPr>
            <w:tcW w:w="4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4"/>
                <w:szCs w:val="14"/>
                <w:color w:val="auto"/>
              </w:rPr>
            </w:pPr>
          </w:p>
        </w:tc>
        <w:tc>
          <w:tcPr>
            <w:tcW w:w="88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5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880" w:type="dxa"/>
            <w:vAlign w:val="bottom"/>
            <w:gridSpan w:val="4"/>
          </w:tcPr>
          <w:p>
            <w:pPr>
              <w:jc w:val="right"/>
              <w:ind w:right="302"/>
              <w:spacing w:after="0" w:line="110"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tcPr>
          <w:p>
            <w:pPr>
              <w:jc w:val="center"/>
              <w:ind w:right="140"/>
              <w:spacing w:after="0" w:line="110"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60" w:type="dxa"/>
            <w:vAlign w:val="bottom"/>
          </w:tcPr>
          <w:p>
            <w:pPr>
              <w:spacing w:after="0"/>
              <w:rPr>
                <w:sz w:val="9"/>
                <w:szCs w:val="9"/>
                <w:color w:val="auto"/>
              </w:rPr>
            </w:pPr>
          </w:p>
        </w:tc>
        <w:tc>
          <w:tcPr>
            <w:tcW w:w="880" w:type="dxa"/>
            <w:vAlign w:val="bottom"/>
            <w:gridSpan w:val="2"/>
          </w:tcPr>
          <w:p>
            <w:pPr>
              <w:jc w:val="center"/>
              <w:ind w:left="158"/>
              <w:spacing w:after="0" w:line="110"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center"/>
              <w:ind w:right="20"/>
              <w:spacing w:after="0" w:line="110" w:lineRule="exact"/>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94"/>
        </w:trPr>
        <w:tc>
          <w:tcPr>
            <w:tcW w:w="3580" w:type="dxa"/>
            <w:vAlign w:val="bottom"/>
            <w:gridSpan w:val="4"/>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880" w:type="dxa"/>
            <w:vAlign w:val="bottom"/>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Opening balance</w:t>
            </w: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265,755</w:t>
            </w: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793,353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1,059,108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944,946</w:t>
            </w:r>
          </w:p>
        </w:tc>
        <w:tc>
          <w:tcPr>
            <w:tcW w:w="1300" w:type="dxa"/>
            <w:vAlign w:val="bottom"/>
            <w:gridSpan w:val="5"/>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50,259</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63,904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gridSpan w:val="3"/>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gridSpan w:val="2"/>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4"/>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18, 2022</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428,899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428,899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151,033</w:t>
            </w:r>
          </w:p>
        </w:tc>
        <w:tc>
          <w:tcPr>
            <w:tcW w:w="130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230,601</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December 15, 2022</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3"/>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11, 2023</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413,536</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413,536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146,714</w:t>
            </w:r>
          </w:p>
        </w:tc>
        <w:tc>
          <w:tcPr>
            <w:tcW w:w="130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257,790</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April 21, 2023</w:t>
            </w:r>
          </w:p>
        </w:tc>
        <w:tc>
          <w:tcPr>
            <w:tcW w:w="13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237,719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237,719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79,328</w:t>
            </w:r>
          </w:p>
        </w:tc>
        <w:tc>
          <w:tcPr>
            <w:tcW w:w="13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149,866</w:t>
            </w: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28, 2023</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5,109</w:t>
            </w:r>
          </w:p>
        </w:tc>
        <w:tc>
          <w:tcPr>
            <w:tcW w:w="130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15,318</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339,438</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1,893,934</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2,233,372</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3"/>
            <w:shd w:val="clear" w:color="auto" w:fill="CCEEFF"/>
          </w:tcPr>
          <w:p>
            <w:pPr>
              <w:jc w:val="right"/>
              <w:ind w:right="40"/>
              <w:spacing w:after="0" w:line="182" w:lineRule="exact"/>
              <w:rPr>
                <w:sz w:val="20"/>
                <w:szCs w:val="20"/>
                <w:color w:val="auto"/>
              </w:rPr>
            </w:pPr>
            <w:r>
              <w:rPr>
                <w:rFonts w:ascii="Times New Roman" w:cs="Times New Roman" w:eastAsia="Times New Roman" w:hAnsi="Times New Roman"/>
                <w:sz w:val="18"/>
                <w:szCs w:val="18"/>
                <w:b w:val="1"/>
                <w:bCs w:val="1"/>
                <w:color w:val="auto"/>
              </w:rPr>
              <w:t>1,400,813</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703,834</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128,726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 RSUs, which vested on April 11, 2024 and 52,360 RSUs, which vested on April 21, 2024. No RSUs were granted during the remainder of 2023 or the first two quarters of 2024, however, the Compensation Committee has not completed its final review of 2024 incentive compensation.</w:t>
      </w:r>
    </w:p>
    <w:p>
      <w:pPr>
        <w:spacing w:after="0" w:line="16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For the quarter and six months ended June 30, 2024, we recorded compensation expense of $341,000 and $1.0 million, respectively. For the quarter and six months ended June 30, 2023, we recorded compensation expense of $299,000, and $733,000, respectively. The total unrecognized compensation expense related to the non-vested RSUs was $2.6 million as of June 30, 2024, which we expect to recognize over a weighted average vesting period of 1.17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Repurchase Program expired on March 10, 2024. It has not been renewed. No stock has been repurchased by our Company since March 10, 2020.</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19 – Hedge Accounting</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June 30, 2024, our Company held derivative instruments to the notional value of $33.4 million. The changes in fair value of that instrument were recorded in Other Comprehensive Income and released into interest expense in the same period(s) in which the hedged transactions affect earnings. As of December 31, 2023, our Company held no derivative instruments. In the quarter and six months ended June 30, 2024 and June 30, 2023, respectively, the derivative instruments affected Comprehensive Income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96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Location of Loss Recognized in 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40" w:type="dxa"/>
            <w:vAlign w:val="bottom"/>
            <w:gridSpan w:val="1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 of Loss (Gain) Recognized in Income on Derivatives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3960" w:type="dxa"/>
            <w:vAlign w:val="bottom"/>
            <w:gridSpan w:val="3"/>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40" w:type="dxa"/>
            <w:vAlign w:val="bottom"/>
            <w:gridSpan w:val="14"/>
            <w:vMerge w:val="continue"/>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400" w:type="dxa"/>
            <w:vAlign w:val="bottom"/>
            <w:tcBorders>
              <w:bottom w:val="single" w:sz="8" w:color="auto"/>
            </w:tcBorders>
            <w:vMerge w:val="continue"/>
          </w:tcPr>
          <w:p>
            <w:pPr>
              <w:spacing w:after="0"/>
              <w:rPr>
                <w:sz w:val="7"/>
                <w:szCs w:val="7"/>
                <w:color w:val="auto"/>
              </w:rPr>
            </w:pPr>
          </w:p>
        </w:tc>
        <w:tc>
          <w:tcPr>
            <w:tcW w:w="3960" w:type="dxa"/>
            <w:vAlign w:val="bottom"/>
            <w:tcBorders>
              <w:bottom w:val="single" w:sz="8" w:color="auto"/>
            </w:tcBorders>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39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4"/>
                <w:szCs w:val="14"/>
                <w:b w:val="1"/>
                <w:bCs w:val="1"/>
                <w:color w:val="auto"/>
              </w:rPr>
              <w:t>Loss (Gain) Recognized in OCI on Derivatives (Effective Portion)</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vMerge w:val="continue"/>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spacing w:after="0"/>
              <w:rPr>
                <w:sz w:val="14"/>
                <w:szCs w:val="14"/>
                <w:color w:val="auto"/>
              </w:rPr>
            </w:pPr>
          </w:p>
        </w:tc>
        <w:tc>
          <w:tcPr>
            <w:tcW w:w="15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2420" w:type="dxa"/>
            <w:vAlign w:val="bottom"/>
            <w:gridSpan w:val="2"/>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13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98</w:t>
            </w:r>
          </w:p>
        </w:tc>
        <w:tc>
          <w:tcPr>
            <w:tcW w:w="220" w:type="dxa"/>
            <w:vAlign w:val="bottom"/>
            <w:gridSpan w:val="2"/>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85"/>
              </w:rPr>
              <w:t>98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20" w:type="dxa"/>
            <w:vAlign w:val="bottom"/>
            <w:gridSpan w:val="2"/>
          </w:tcPr>
          <w:p>
            <w:pPr>
              <w:spacing w:after="0"/>
              <w:rPr>
                <w:sz w:val="14"/>
                <w:szCs w:val="14"/>
                <w:color w:val="auto"/>
              </w:rPr>
            </w:pPr>
          </w:p>
        </w:tc>
        <w:tc>
          <w:tcPr>
            <w:tcW w:w="1540" w:type="dxa"/>
            <w:vAlign w:val="bottom"/>
            <w:tcBorders>
              <w:bottom w:val="single" w:sz="8" w:color="auto"/>
            </w:tcBorders>
          </w:tcPr>
          <w:p>
            <w:pPr>
              <w:jc w:val="right"/>
              <w:ind w:right="13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98</w:t>
            </w:r>
          </w:p>
        </w:tc>
        <w:tc>
          <w:tcPr>
            <w:tcW w:w="22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780"/>
              <w:spacing w:after="0" w:line="155" w:lineRule="exact"/>
              <w:rPr>
                <w:sz w:val="20"/>
                <w:szCs w:val="20"/>
                <w:color w:val="auto"/>
              </w:rPr>
            </w:pPr>
            <w:r>
              <w:rPr>
                <w:rFonts w:ascii="Times New Roman" w:cs="Times New Roman" w:eastAsia="Times New Roman" w:hAnsi="Times New Roman"/>
                <w:sz w:val="14"/>
                <w:szCs w:val="14"/>
                <w:b w:val="1"/>
                <w:bCs w:val="1"/>
                <w:color w:val="auto"/>
                <w:w w:val="85"/>
              </w:rPr>
              <w:t>98</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7"/>
          </w:tcPr>
          <w:p>
            <w:pPr>
              <w:ind w:left="140"/>
              <w:spacing w:after="0"/>
              <w:rPr>
                <w:sz w:val="20"/>
                <w:szCs w:val="20"/>
                <w:color w:val="auto"/>
              </w:rPr>
            </w:pPr>
            <w:r>
              <w:rPr>
                <w:rFonts w:ascii="Times New Roman" w:cs="Times New Roman" w:eastAsia="Times New Roman" w:hAnsi="Times New Roman"/>
                <w:sz w:val="14"/>
                <w:szCs w:val="14"/>
                <w:b w:val="1"/>
                <w:bCs w:val="1"/>
                <w:color w:val="auto"/>
              </w:rPr>
              <w:t>Loss (Gain) Reclassified from OCI into Income (Effective Portion)</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13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Borders>
              <w:bottom w:val="single" w:sz="8" w:color="auto"/>
            </w:tcBorders>
          </w:tcPr>
          <w:p>
            <w:pPr>
              <w:jc w:val="right"/>
              <w:ind w:right="13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(220)</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Fair Value Measurements</w:t>
      </w:r>
    </w:p>
    <w:p>
      <w:pPr>
        <w:spacing w:after="0" w:line="18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76"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1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tables summarize our financial liabilities that are carried at cost and measured at fair value on a non-recurring basis as of June 30, 2024, and December 31, 2023, by level within the fair value hierarchy.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2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 at June 30, 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7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3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Borders>
              <w:top w:val="single" w:sz="8" w:color="auto"/>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182,307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183,045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183,045</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28,111</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210,418</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210,816</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210,816</w:t>
            </w:r>
          </w:p>
        </w:tc>
        <w:tc>
          <w:tcPr>
            <w:tcW w:w="0" w:type="dxa"/>
            <w:vAlign w:val="bottom"/>
          </w:tcPr>
          <w:p>
            <w:pPr>
              <w:spacing w:after="0"/>
              <w:rPr>
                <w:sz w:val="1"/>
                <w:szCs w:val="1"/>
                <w:color w:val="auto"/>
              </w:rPr>
            </w:pPr>
          </w:p>
        </w:tc>
      </w:tr>
      <w:tr>
        <w:trPr>
          <w:trHeight w:val="331"/>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40" w:type="dxa"/>
            <w:vAlign w:val="bottom"/>
            <w:tcBorders>
              <w:top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payable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181,801</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gridSpan w:val="2"/>
            <w:shd w:val="clear" w:color="auto" w:fill="CCEEFF"/>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0" w:type="dxa"/>
            <w:vAlign w:val="bottom"/>
          </w:tcPr>
          <w:p>
            <w:pPr>
              <w:spacing w:after="0"/>
              <w:rPr>
                <w:sz w:val="1"/>
                <w:szCs w:val="1"/>
                <w:color w:val="auto"/>
              </w:rPr>
            </w:pPr>
          </w:p>
        </w:tc>
      </w:tr>
      <w:tr>
        <w:trPr>
          <w:trHeight w:val="189"/>
        </w:trPr>
        <w:tc>
          <w:tcPr>
            <w:tcW w:w="35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6"/>
              </w:rPr>
              <w:t>28,499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0" w:type="dxa"/>
            <w:vAlign w:val="bottom"/>
          </w:tcPr>
          <w:p>
            <w:pPr>
              <w:spacing w:after="0"/>
              <w:rPr>
                <w:sz w:val="1"/>
                <w:szCs w:val="1"/>
                <w:color w:val="auto"/>
              </w:rPr>
            </w:pPr>
          </w:p>
        </w:tc>
      </w:tr>
      <w:tr>
        <w:trPr>
          <w:trHeight w:val="190"/>
        </w:trPr>
        <w:tc>
          <w:tcPr>
            <w:tcW w:w="35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210,300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ind w:left="8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ind w:left="8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are presented before any deduction for deferred financing costs.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to estimate the fair value of our financial assets and liabilities. There have been no changes in the methodologies used as of June 30, 2024, and December 31, 2023.</w:t>
      </w:r>
    </w:p>
    <w:p>
      <w:pPr>
        <w:spacing w:after="0" w:line="2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investments in marketable securities primarily consist of investments associated with the ownership of marketable securities in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Zealand. These investments are valued based on observable market quotes on the last trading date of the reporting period.</w:t>
      </w:r>
    </w:p>
    <w:p>
      <w:pPr>
        <w:spacing w:after="0" w:line="32"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derivative financial instruments are valued based on discounted cash flow models that incorporate observable inputs such as interest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yield curves from the derivative counterparties. The credit valuation adjustments associated with our non-performance risk and counterparty credit risk are incorporated in the fair value estimates of our derivatives. As of June 30, 2024, and December 31, 2023, we concluded that the credit valuation adjustments were not significant to the overall valuation of our derivatives.</w:t>
      </w:r>
    </w:p>
    <w:p>
      <w:pPr>
        <w:spacing w:after="0" w:line="46"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borrowings include our secured and unsecured notes payable, trust preferred securities and other debt instruments. The borrowings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Company’s financial instruments also include cash, cash equivalents, receivables and accounts payable. The carrying values of these financial instruments approximate the fair values due to their short maturities. Additionally, there were no transfers of assets and liabilities between levels 1, 2, or 3 during the quarter and six months ended June 30, 2024, and June 30, 2023.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August 12, 2024, the date for the closing of our acquisition of the ground lessee’s interest in the land and improvements constituting our Village East Theatre was extended to November 30, 2024, and our sublease of that facility was extended until September 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13, 2024, we increased the limit of the Westpac Corporate Credit Facility by NZ$5.0 million to NZ$18.8 million.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This MD&amp;A should be read in conjunction with the accompanying unaudited consolidated financial statements included in Part I, Item 1 (Financial Statements). The foregoing discussions and</w:t>
      </w:r>
    </w:p>
    <w:p>
      <w:pPr>
        <w:spacing w:after="0" w:line="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analyses contain certain forward-looking statements. Please refer to the “Cautionary Statement Regarding Forward-Looking Statements” included at the conclusion of this section and our “Risk Factors” set forth in our 2023 Form 10-K, Part 1 – Financial Information, Item 1A and the Risk Factors set out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Management’s Discussion and Analysis (“MD&amp;A”) of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should be read in conjunction with our consolidated financial statements and related notes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Issued Consolidated Financial Statements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have restated our unaudited consolidated financial statements as of June 30, 2024 and for the three and six months ended June 30, 2024 contained within this Amendment. Refer to the Explanatory Note for background on the restatement, the interim periods impacted, internal control considerations, and other information. As a result, the previously reported financial information for the three and six months ended June 30, 2024 in this Item 2 –</w:t>
      </w: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has been updated to reflect the relevant restatements. See Note 1</w:t>
      </w:r>
      <w:r>
        <w:rPr>
          <w:rFonts w:ascii="Times New Roman" w:cs="Times New Roman" w:eastAsia="Times New Roman" w:hAnsi="Times New Roman"/>
          <w:sz w:val="18"/>
          <w:szCs w:val="18"/>
          <w:i w:val="1"/>
          <w:iCs w:val="1"/>
          <w:color w:val="auto"/>
        </w:rPr>
        <w:t xml:space="preserve"> Restatement of Previously issued Consolidated Financial Statements </w:t>
      </w:r>
      <w:r>
        <w:rPr>
          <w:rFonts w:ascii="Times New Roman" w:cs="Times New Roman" w:eastAsia="Times New Roman" w:hAnsi="Times New Roman"/>
          <w:sz w:val="18"/>
          <w:szCs w:val="18"/>
          <w:color w:val="auto"/>
        </w:rPr>
        <w:t>in Item 1 –</w:t>
      </w:r>
      <w:r>
        <w:rPr>
          <w:rFonts w:ascii="Times New Roman" w:cs="Times New Roman" w:eastAsia="Times New Roman" w:hAnsi="Times New Roman"/>
          <w:sz w:val="18"/>
          <w:szCs w:val="18"/>
          <w:i w:val="1"/>
          <w:iCs w:val="1"/>
          <w:color w:val="auto"/>
        </w:rPr>
        <w:t xml:space="preserve"> Financial Statements</w:t>
      </w:r>
      <w:r>
        <w:rPr>
          <w:rFonts w:ascii="Times New Roman" w:cs="Times New Roman" w:eastAsia="Times New Roman" w:hAnsi="Times New Roman"/>
          <w:sz w:val="18"/>
          <w:szCs w:val="18"/>
          <w:color w:val="auto"/>
        </w:rPr>
        <w:t>, for additional information related to the restatement,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descriptions of the adjustments and the impacts on our consolidated financial statements.</w:t>
      </w:r>
    </w:p>
    <w:p>
      <w:pPr>
        <w:spacing w:after="0" w:line="1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the effect of the restatement, this section has not been otherwise modified and does not reflect any information or events occurring after August 14, 2024, the filing date of the Original 10-Q Report, or modify or update those disclosures affected by events that occurred at a later date or facts that subsequently became known to the Company, except to the extent they are otherwise required to be included and discussed herein.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Overview &amp; Updates</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continue to be optimistic about the current trajectory of our cinema business and the cinema industry as a whole. Although we remain positive, we are currently, and have in recent years, been impacted by multiple factors, such as COVID – 19, the 2023 Hollywood Strikes and current macroeconomic situations such as inflation, interest rates, labor increases and the declining value of the Australian and New Zealand dollars. These factors are largely beyond our control, and continue to adversely impact the profitability of our global cinema segment when compared to pre-pandemic levels: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Cinema patronage levels have not yet returned to pre-pandemic levels;</w:t>
      </w:r>
    </w:p>
    <w:p>
      <w:pPr>
        <w:spacing w:after="0" w:line="2" w:lineRule="exact"/>
        <w:rPr>
          <w:sz w:val="20"/>
          <w:szCs w:val="20"/>
          <w:color w:val="auto"/>
        </w:rPr>
      </w:pPr>
    </w:p>
    <w:p>
      <w:pPr>
        <w:ind w:left="980" w:right="20"/>
        <w:spacing w:after="0" w:line="226" w:lineRule="auto"/>
        <w:rPr>
          <w:sz w:val="20"/>
          <w:szCs w:val="20"/>
          <w:color w:val="auto"/>
        </w:rPr>
      </w:pPr>
      <w:r>
        <w:rPr>
          <w:rFonts w:ascii="Times New Roman" w:cs="Times New Roman" w:eastAsia="Times New Roman" w:hAnsi="Times New Roman"/>
          <w:sz w:val="18"/>
          <w:szCs w:val="18"/>
          <w:color w:val="auto"/>
        </w:rPr>
        <w:t>Inflationary pressures, ongoing supply chain issues, mandatory minimum wage increases, increased operating expenses all arising post-pandemic continue to push up our variable costs while we encounter consumer resistance to higher ticket prices;</w:t>
      </w:r>
    </w:p>
    <w:p>
      <w:pPr>
        <w:spacing w:after="0" w:line="1" w:lineRule="exact"/>
        <w:rPr>
          <w:sz w:val="20"/>
          <w:szCs w:val="20"/>
          <w:color w:val="auto"/>
        </w:rPr>
      </w:pPr>
    </w:p>
    <w:p>
      <w:pPr>
        <w:ind w:left="980"/>
        <w:spacing w:after="0" w:line="224" w:lineRule="auto"/>
        <w:rPr>
          <w:sz w:val="20"/>
          <w:szCs w:val="20"/>
          <w:color w:val="auto"/>
        </w:rPr>
      </w:pPr>
      <w:r>
        <w:rPr>
          <w:rFonts w:ascii="Times New Roman" w:cs="Times New Roman" w:eastAsia="Times New Roman" w:hAnsi="Times New Roman"/>
          <w:sz w:val="18"/>
          <w:szCs w:val="18"/>
          <w:color w:val="auto"/>
        </w:rPr>
        <w:t>Increased fixed costs for third party cinema rents, some of which are increasing due to fixed rent escalations, some of which are fixed and some of which are adjusted by reference to changes in the cost-of-living index, which are exacerbated by having to also pay COVID-19 related rent deferrals for the periods of time when our operations were closed or restricted;</w:t>
      </w:r>
    </w:p>
    <w:p>
      <w:pPr>
        <w:ind w:left="980" w:right="420"/>
        <w:spacing w:after="0" w:line="226" w:lineRule="auto"/>
        <w:rPr>
          <w:sz w:val="20"/>
          <w:szCs w:val="20"/>
          <w:color w:val="auto"/>
        </w:rPr>
      </w:pPr>
      <w:r>
        <w:rPr>
          <w:rFonts w:ascii="Times New Roman" w:cs="Times New Roman" w:eastAsia="Times New Roman" w:hAnsi="Times New Roman"/>
          <w:sz w:val="18"/>
          <w:szCs w:val="18"/>
          <w:color w:val="auto"/>
        </w:rPr>
        <w:t>Reserve banks in the U.S., Australia and New Zealand have increased interest rates causing our cost of borrowing to increase materially; Decreases in exchange rates for the Australian and New Zealand currencies when compared to the U.S. Dollar;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market and economic conditions.</w:t>
      </w:r>
    </w:p>
    <w:p>
      <w:pPr>
        <w:spacing w:after="0" w:line="15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In addition to the above factors negatively influencing the profitability of our global cinema business, we continue to feel the repercussions of the 2023 Hollywood Strikes on our second quarter 2024 operations. Several notable movie titles initially slated for 2024 have been postponed to 2025, including </w:t>
      </w:r>
      <w:r>
        <w:rPr>
          <w:rFonts w:ascii="Times New Roman" w:cs="Times New Roman" w:eastAsia="Times New Roman" w:hAnsi="Times New Roman"/>
          <w:sz w:val="18"/>
          <w:szCs w:val="18"/>
          <w:i w:val="1"/>
          <w:iCs w:val="1"/>
          <w:color w:val="auto"/>
        </w:rPr>
        <w:t>Captain America: Brave New World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Thunderbolts</w:t>
      </w:r>
      <w:r>
        <w:rPr>
          <w:rFonts w:ascii="Times New Roman" w:cs="Times New Roman" w:eastAsia="Times New Roman" w:hAnsi="Times New Roman"/>
          <w:sz w:val="18"/>
          <w:szCs w:val="18"/>
          <w:color w:val="auto"/>
        </w:rPr>
        <w:t>, Disney’s</w:t>
      </w:r>
      <w:r>
        <w:rPr>
          <w:rFonts w:ascii="Times New Roman" w:cs="Times New Roman" w:eastAsia="Times New Roman" w:hAnsi="Times New Roman"/>
          <w:sz w:val="18"/>
          <w:szCs w:val="18"/>
          <w:i w:val="1"/>
          <w:iCs w:val="1"/>
          <w:color w:val="auto"/>
        </w:rPr>
        <w:t xml:space="preserve"> Snow White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Mission: Impossible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SpongeBob SquarePants</w:t>
      </w:r>
      <w:r>
        <w:rPr>
          <w:rFonts w:ascii="Times New Roman" w:cs="Times New Roman" w:eastAsia="Times New Roman" w:hAnsi="Times New Roman"/>
          <w:sz w:val="18"/>
          <w:szCs w:val="18"/>
          <w:color w:val="auto"/>
        </w:rPr>
        <w:t>, and James Cameron’s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eagerly awaited </w:t>
      </w:r>
      <w:r>
        <w:rPr>
          <w:rFonts w:ascii="Times New Roman" w:cs="Times New Roman" w:eastAsia="Times New Roman" w:hAnsi="Times New Roman"/>
          <w:sz w:val="18"/>
          <w:szCs w:val="18"/>
          <w:i w:val="1"/>
          <w:iCs w:val="1"/>
          <w:color w:val="auto"/>
        </w:rPr>
        <w:t>Avatar</w:t>
      </w:r>
      <w:r>
        <w:rPr>
          <w:rFonts w:ascii="Times New Roman" w:cs="Times New Roman" w:eastAsia="Times New Roman" w:hAnsi="Times New Roman"/>
          <w:sz w:val="18"/>
          <w:szCs w:val="18"/>
          <w:color w:val="auto"/>
        </w:rPr>
        <w:t xml:space="preserve"> sequel. While certain second quarter 2024 movies such as </w:t>
      </w:r>
      <w:r>
        <w:rPr>
          <w:rFonts w:ascii="Times New Roman" w:cs="Times New Roman" w:eastAsia="Times New Roman" w:hAnsi="Times New Roman"/>
          <w:sz w:val="18"/>
          <w:szCs w:val="18"/>
          <w:i w:val="1"/>
          <w:iCs w:val="1"/>
          <w:color w:val="auto"/>
        </w:rPr>
        <w:t>Kingdom of the Planet of the Apes, Bad Boys: Ride or Die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Inside 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 </w:t>
      </w:r>
      <w:r>
        <w:rPr>
          <w:rFonts w:ascii="Times New Roman" w:cs="Times New Roman" w:eastAsia="Times New Roman" w:hAnsi="Times New Roman"/>
          <w:sz w:val="18"/>
          <w:szCs w:val="18"/>
          <w:color w:val="auto"/>
        </w:rPr>
        <w:t>delivered impressive box office performances, they did not save the second quarter of 2024 in comparison to the same period in 2023. Three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releases, in addition to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which is now the highest grossing animated movie of all time worldwide, have exceeded box office expectations, but were released either late in the second quarter, or in the third quarter of 2024 and, consequently, did not materially impact our results in the first two quarters: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xml:space="preserve"> (global box office to date of $809 million),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xml:space="preserve"> (global box office to date of $312 million) and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(global box office to date of $1.0 billion). However, the remaining 2024 film lineup looks strong, featuring highly anticipated releases expected to continue driving audiences to our big screens, including: </w:t>
      </w:r>
      <w:r>
        <w:rPr>
          <w:rFonts w:ascii="Times New Roman" w:cs="Times New Roman" w:eastAsia="Times New Roman" w:hAnsi="Times New Roman"/>
          <w:sz w:val="18"/>
          <w:szCs w:val="18"/>
          <w:i w:val="1"/>
          <w:iCs w:val="1"/>
          <w:color w:val="auto"/>
        </w:rPr>
        <w:t>Joker: Folie a Deux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Moana 2, Gladiator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Mufasa: Lion King</w:t>
      </w:r>
      <w:r>
        <w:rPr>
          <w:rFonts w:ascii="Times New Roman" w:cs="Times New Roman" w:eastAsia="Times New Roman" w:hAnsi="Times New Roman"/>
          <w:sz w:val="18"/>
          <w:szCs w:val="18"/>
          <w:color w:val="auto"/>
        </w:rPr>
        <w:t>. Even though we continue to monitor the above factors, we are optimistic about the long-term outlook for our industry for several reasons: (i) more product is being produced catering to niche cinema audiences, like those for concert films and faith-based movies, (ii) major studios and distributors, including streaming platforms such as Amazon, Apple TV and Netflix recognize the economic importance of the theatrical movie release window not only for its contribution to box office revenues, but also as a platform to publicize and differentiate their product from other product available on cable or through streaming, and (iii) the attendance levels of certain highly anticipated, well marketed movies have demonstrated that moviegoers will leave their homes for a night at the movies at attendance rates comparable to pre-pandemic blockbusters.</w:t>
      </w:r>
    </w:p>
    <w:p>
      <w:pPr>
        <w:spacing w:after="0" w:line="16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continue to work with our landlords to address our occupancy costs, which are high at current revenue levels. Acknowledging that that there is an excess of cinemas in the U.S, we have been assessing our U.S. holdings and intend to continue to close non-performing locations where reasonable accommodations cannot be worked out with the applicable landlord. Since the beginning of the fourth quarter of 2022, we have not renewed our leases at three locations in Hawaii, one location in Texas and one location in Northern California (all of which suffered from negative theater level cash flow). While from time to time in these negotiations, certain of our existing U.S. cinema landlords have engaged in legal proceedings, in each such pending case, we have reached tentative agreements as to revised going forward lease terms, which agreements are currently being documented. We continue to be confident that in the coming years, our cinema revenue will once again support our real estate development ventures. We have one project in Australia for eight screens in the pipeline today.</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Recognizing our needs for administrative space reduced in 2024, we streamlined our operations by divesting our administrative building in Culver City, California, freeing up $1.2 million in cash after covering mortgage settlements, brokerage commissions, and transactional fees. It is our expectation that this asset disposition will yield savings of approximately $1.5 million in operational and holding expenses between now and the end of 2025. At the present time, we are managing our California overhead by working remotely, while we work to relocate in less expensive right-sized space.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Additionally, we anticipate sustained improvements in the operational performance of our cinemas as our global circuit continues its recovery. One driving factor for this optimism is the ongoing expansion and refinement of our Food and Beverage (“F&amp;B”) menus. Notably, as mentioned above, in 2023, we can sell beer and wine in 100% of our U.S. cinemas and can sell liquor in all, but three, U.S. Cinemas. We are in the process of seeking the licenses to sell liquor at each of these U.S. Cinemas, along with beer and wine. Looking ahead, we are committed to obtaining liquor licenses and enriching our F&amp;B offerings across our circuits in Australia and New Zealand. This strategic focus displays our dedication to enhancing the overall cinema experience for our valued customers.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Box Office Improvements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Despite the impact from the 2023 Hollywood Strikes, the box office revenue of certain movies released during the second quarter of 2024 demonstrated strength. As mentioned above, sequel movies such as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Kingdom of the Planet of the Apes,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Bad Boys: Ride or Die</w:t>
      </w:r>
      <w:r>
        <w:rPr>
          <w:rFonts w:ascii="Times New Roman" w:cs="Times New Roman" w:eastAsia="Times New Roman" w:hAnsi="Times New Roman"/>
          <w:sz w:val="18"/>
          <w:szCs w:val="18"/>
          <w:color w:val="auto"/>
        </w:rPr>
        <w:t xml:space="preserve"> delivered record breaking result</w:t>
      </w:r>
      <w:r>
        <w:rPr>
          <w:rFonts w:ascii="Times New Roman" w:cs="Times New Roman" w:eastAsia="Times New Roman" w:hAnsi="Times New Roman"/>
          <w:sz w:val="18"/>
          <w:szCs w:val="18"/>
          <w:i w:val="1"/>
          <w:iCs w:val="1"/>
          <w:color w:val="auto"/>
        </w:rPr>
        <w:t>s. Inside Out 2</w:t>
      </w:r>
      <w:r>
        <w:rPr>
          <w:rFonts w:ascii="Times New Roman" w:cs="Times New Roman" w:eastAsia="Times New Roman" w:hAnsi="Times New Roman"/>
          <w:sz w:val="18"/>
          <w:szCs w:val="18"/>
          <w:color w:val="auto"/>
        </w:rPr>
        <w:t xml:space="preserve"> has soared to over $1.5 billion in worldwide box office, becoming the highest grossing animated movie worldwide of all time. This Disney sequel’s domestic opening in June 2024 increased over 71% from the initial movie released in 2015 and became Pixar’s top-grossing</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movie of all time. </w:t>
      </w:r>
      <w:r>
        <w:rPr>
          <w:rFonts w:ascii="Times New Roman" w:cs="Times New Roman" w:eastAsia="Times New Roman" w:hAnsi="Times New Roman"/>
          <w:sz w:val="18"/>
          <w:szCs w:val="18"/>
          <w:i w:val="1"/>
          <w:iCs w:val="1"/>
          <w:color w:val="auto"/>
        </w:rPr>
        <w:t>Kingdom of the Planet of the Apes</w:t>
      </w:r>
      <w:r>
        <w:rPr>
          <w:rFonts w:ascii="Times New Roman" w:cs="Times New Roman" w:eastAsia="Times New Roman" w:hAnsi="Times New Roman"/>
          <w:sz w:val="18"/>
          <w:szCs w:val="18"/>
          <w:color w:val="auto"/>
        </w:rPr>
        <w:t xml:space="preserve"> currently has a worldwide gross of over $397 million, becoming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best domestic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Century Studios movie ever. With a worldwide gross of over $400 million, </w:t>
      </w:r>
      <w:r>
        <w:rPr>
          <w:rFonts w:ascii="Times New Roman" w:cs="Times New Roman" w:eastAsia="Times New Roman" w:hAnsi="Times New Roman"/>
          <w:sz w:val="18"/>
          <w:szCs w:val="18"/>
          <w:i w:val="1"/>
          <w:iCs w:val="1"/>
          <w:color w:val="auto"/>
        </w:rPr>
        <w:t>Bad Boys Ride o</w:t>
      </w:r>
      <w:r>
        <w:rPr>
          <w:rFonts w:ascii="Times New Roman" w:cs="Times New Roman" w:eastAsia="Times New Roman" w:hAnsi="Times New Roman"/>
          <w:sz w:val="18"/>
          <w:szCs w:val="18"/>
          <w:color w:val="auto"/>
        </w:rPr>
        <w:t>r Die, the fourth movie in the series, has now helped the franchise reach</w:t>
      </w:r>
    </w:p>
    <w:p>
      <w:pPr>
        <w:spacing w:after="0" w:line="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 xml:space="preserve">over $1.2 billion worldwide. Further growing the second quarter 2024 box office, </w:t>
      </w:r>
      <w:r>
        <w:rPr>
          <w:rFonts w:ascii="Times New Roman" w:cs="Times New Roman" w:eastAsia="Times New Roman" w:hAnsi="Times New Roman"/>
          <w:sz w:val="18"/>
          <w:szCs w:val="18"/>
          <w:i w:val="1"/>
          <w:iCs w:val="1"/>
          <w:color w:val="auto"/>
        </w:rPr>
        <w:t>Civil War</w:t>
      </w:r>
      <w:r>
        <w:rPr>
          <w:rFonts w:ascii="Times New Roman" w:cs="Times New Roman" w:eastAsia="Times New Roman" w:hAnsi="Times New Roman"/>
          <w:sz w:val="18"/>
          <w:szCs w:val="18"/>
          <w:color w:val="auto"/>
        </w:rPr>
        <w:t xml:space="preserve"> brought in over $122 million making it A24’s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highest-grossing movie behind </w:t>
      </w:r>
      <w:r>
        <w:rPr>
          <w:rFonts w:ascii="Times New Roman" w:cs="Times New Roman" w:eastAsia="Times New Roman" w:hAnsi="Times New Roman"/>
          <w:sz w:val="18"/>
          <w:szCs w:val="18"/>
          <w:i w:val="1"/>
          <w:iCs w:val="1"/>
          <w:color w:val="auto"/>
        </w:rPr>
        <w:t>Everything, Everywhere, All at Once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achievement of these films not only reinforces our confidence in the enduring strength of the global cinema industry but also highlights its resilience in the face of past and continuing challenges such as rising operating expenses, labor shortages, changes to movie release dates and supply chain disruptions. As we enter the third quarter of 2024, we are ready to build on this momentum with another exciting movie lineup. Audiences have already been treated to </w:t>
      </w:r>
      <w:r>
        <w:rPr>
          <w:rFonts w:ascii="Times New Roman" w:cs="Times New Roman" w:eastAsia="Times New Roman" w:hAnsi="Times New Roman"/>
          <w:sz w:val="18"/>
          <w:szCs w:val="18"/>
          <w:i w:val="1"/>
          <w:iCs w:val="1"/>
          <w:color w:val="auto"/>
        </w:rPr>
        <w:t xml:space="preserve">Inside Out 2, Despicable Me 4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Twisters and now Deadpool &amp; Wolverine. Despicable Me 4 </w:t>
      </w:r>
      <w:r>
        <w:rPr>
          <w:rFonts w:ascii="Times New Roman" w:cs="Times New Roman" w:eastAsia="Times New Roman" w:hAnsi="Times New Roman"/>
          <w:sz w:val="18"/>
          <w:szCs w:val="18"/>
          <w:color w:val="auto"/>
        </w:rPr>
        <w:t>grossed almost $809 million worldwide, catapulting the</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franchise to over a $5 billion worldwide gross, making it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highest movie of 2024 at the domestic box office.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xml:space="preserve"> had a positive impact at the box office by having a domestic opening gross of over $81 million and over a 97% increase from its 1996 domestic opening.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Again, we look forward to a diverse range of upcoming releases for the remainder of 2024, including (i) </w:t>
      </w:r>
      <w:r>
        <w:rPr>
          <w:rFonts w:ascii="Times New Roman" w:cs="Times New Roman" w:eastAsia="Times New Roman" w:hAnsi="Times New Roman"/>
          <w:sz w:val="18"/>
          <w:szCs w:val="18"/>
          <w:i w:val="1"/>
          <w:iCs w:val="1"/>
          <w:color w:val="auto"/>
        </w:rPr>
        <w:t>Beetlejuice Beetlejuice, Transformers One, Joker: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Folie a Deux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Venom: the Last Da</w:t>
      </w:r>
      <w:r>
        <w:rPr>
          <w:rFonts w:ascii="Times New Roman" w:cs="Times New Roman" w:eastAsia="Times New Roman" w:hAnsi="Times New Roman"/>
          <w:sz w:val="17"/>
          <w:szCs w:val="17"/>
          <w:color w:val="auto"/>
        </w:rPr>
        <w:t>nce,</w:t>
      </w:r>
      <w:r>
        <w:rPr>
          <w:rFonts w:ascii="Times New Roman" w:cs="Times New Roman" w:eastAsia="Times New Roman" w:hAnsi="Times New Roman"/>
          <w:sz w:val="17"/>
          <w:szCs w:val="17"/>
          <w:i w:val="1"/>
          <w:iCs w:val="1"/>
          <w:color w:val="auto"/>
        </w:rPr>
        <w:t xml:space="preserve"> Wicked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Moana 2, Gladiator 2, Mufasa: Lion King and Sonic the Hedgehog 3 </w:t>
      </w:r>
      <w:r>
        <w:rPr>
          <w:rFonts w:ascii="Times New Roman" w:cs="Times New Roman" w:eastAsia="Times New Roman" w:hAnsi="Times New Roman"/>
          <w:sz w:val="17"/>
          <w:szCs w:val="17"/>
          <w:color w:val="auto"/>
        </w:rPr>
        <w:t>and (ii) critically acclaimed films from</w:t>
      </w:r>
    </w:p>
    <w:p>
      <w:pPr>
        <w:spacing w:after="0" w:line="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specialty distributors, including, without limitation, director John Crowley’s </w:t>
      </w:r>
      <w:r>
        <w:rPr>
          <w:rFonts w:ascii="Times New Roman" w:cs="Times New Roman" w:eastAsia="Times New Roman" w:hAnsi="Times New Roman"/>
          <w:sz w:val="18"/>
          <w:szCs w:val="18"/>
          <w:i w:val="1"/>
          <w:iCs w:val="1"/>
          <w:color w:val="auto"/>
        </w:rPr>
        <w:t>We Live in Time,</w:t>
      </w:r>
      <w:r>
        <w:rPr>
          <w:rFonts w:ascii="Times New Roman" w:cs="Times New Roman" w:eastAsia="Times New Roman" w:hAnsi="Times New Roman"/>
          <w:sz w:val="18"/>
          <w:szCs w:val="18"/>
          <w:color w:val="auto"/>
        </w:rPr>
        <w:t xml:space="preserve"> director Andrea Arnold’s </w:t>
      </w:r>
      <w:r>
        <w:rPr>
          <w:rFonts w:ascii="Times New Roman" w:cs="Times New Roman" w:eastAsia="Times New Roman" w:hAnsi="Times New Roman"/>
          <w:sz w:val="18"/>
          <w:szCs w:val="18"/>
          <w:i w:val="1"/>
          <w:iCs w:val="1"/>
          <w:color w:val="auto"/>
        </w:rPr>
        <w:t>Bird,</w:t>
      </w:r>
      <w:r>
        <w:rPr>
          <w:rFonts w:ascii="Times New Roman" w:cs="Times New Roman" w:eastAsia="Times New Roman" w:hAnsi="Times New Roman"/>
          <w:sz w:val="18"/>
          <w:szCs w:val="18"/>
          <w:color w:val="auto"/>
        </w:rPr>
        <w:t xml:space="preserve"> director RaMell Ross’ </w:t>
      </w:r>
      <w:r>
        <w:rPr>
          <w:rFonts w:ascii="Times New Roman" w:cs="Times New Roman" w:eastAsia="Times New Roman" w:hAnsi="Times New Roman"/>
          <w:sz w:val="18"/>
          <w:szCs w:val="18"/>
          <w:i w:val="1"/>
          <w:iCs w:val="1"/>
          <w:color w:val="auto"/>
        </w:rPr>
        <w:t>Nickel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Boys, </w:t>
      </w:r>
      <w:r>
        <w:rPr>
          <w:rFonts w:ascii="Times New Roman" w:cs="Times New Roman" w:eastAsia="Times New Roman" w:hAnsi="Times New Roman"/>
          <w:sz w:val="18"/>
          <w:szCs w:val="18"/>
          <w:color w:val="auto"/>
        </w:rPr>
        <w:t>director Luca Guadagnino’s</w:t>
      </w:r>
      <w:r>
        <w:rPr>
          <w:rFonts w:ascii="Times New Roman" w:cs="Times New Roman" w:eastAsia="Times New Roman" w:hAnsi="Times New Roman"/>
          <w:sz w:val="18"/>
          <w:szCs w:val="18"/>
          <w:i w:val="1"/>
          <w:iCs w:val="1"/>
          <w:color w:val="auto"/>
        </w:rPr>
        <w:t xml:space="preserve"> Queer, </w:t>
      </w:r>
      <w:r>
        <w:rPr>
          <w:rFonts w:ascii="Times New Roman" w:cs="Times New Roman" w:eastAsia="Times New Roman" w:hAnsi="Times New Roman"/>
          <w:sz w:val="18"/>
          <w:szCs w:val="18"/>
          <w:color w:val="auto"/>
        </w:rPr>
        <w:t>director James Mangold’s</w:t>
      </w:r>
      <w:r>
        <w:rPr>
          <w:rFonts w:ascii="Times New Roman" w:cs="Times New Roman" w:eastAsia="Times New Roman" w:hAnsi="Times New Roman"/>
          <w:sz w:val="18"/>
          <w:szCs w:val="18"/>
          <w:i w:val="1"/>
          <w:iCs w:val="1"/>
          <w:color w:val="auto"/>
        </w:rPr>
        <w:t xml:space="preserve"> A Complete Unknown </w:t>
      </w:r>
      <w:r>
        <w:rPr>
          <w:rFonts w:ascii="Times New Roman" w:cs="Times New Roman" w:eastAsia="Times New Roman" w:hAnsi="Times New Roman"/>
          <w:sz w:val="18"/>
          <w:szCs w:val="18"/>
          <w:color w:val="auto"/>
        </w:rPr>
        <w:t>and director Pedro Almodovar’s</w:t>
      </w:r>
      <w:r>
        <w:rPr>
          <w:rFonts w:ascii="Times New Roman" w:cs="Times New Roman" w:eastAsia="Times New Roman" w:hAnsi="Times New Roman"/>
          <w:sz w:val="18"/>
          <w:szCs w:val="18"/>
          <w:i w:val="1"/>
          <w:iCs w:val="1"/>
          <w:color w:val="auto"/>
        </w:rPr>
        <w:t xml:space="preserve"> The Room Next Door.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 xml:space="preserve">In the United States, during the first quarter of </w:t>
      </w:r>
      <w:r>
        <w:rPr>
          <w:rFonts w:ascii="Times New Roman" w:cs="Times New Roman" w:eastAsia="Times New Roman" w:hAnsi="Times New Roman"/>
          <w:sz w:val="18"/>
          <w:szCs w:val="18"/>
          <w:color w:val="000000"/>
        </w:rPr>
        <w:t>2024, we sold our underutilized administrative office building in Culver City, California for $10.0 million.</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With respect to our 44 Union Square property in New York City, during the first quarter we engaged a new leasing broker, George Comfort &amp; Sons (www.gcomfort.com), to head the leasing efforts for the remaining space at 44 Union Square. While the space was originally designed for office uses, given the dramatic presence of the property on Union Square, the rebound in foot traffic being enjoyed by Union Square and our building’s significant branding potential, we are considering, a range of uses beyond traditional office tenants, including short term and special purpose uses.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June 30, 2024, all of our tenants (excluding one tenant completing refurbishment upgrade works and one tenant completing make good works) were currently open for business at our Australian and New Zealand properties. Most of the rentable retail portions of our Courtenay Central location in New Zealand continue to be closed due to seismic concerns, however one tenant remains open and trading. Furthermore, there is also one tenant trading on our Wakefield property. Our open land areas in Wellington are generating parking revenues.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Due to our liquidity needs, our development endeavors have largely been put on hold. Our limited capital expenditures during 2023 and the first half of 2024 have been largely focused on the enhancement of our existing cinemas. To increase our liquidity, in addition to our industrial property in Williamsport, Pennsylvania, the Company has listed for sale its property assets in (i) Townsville (Queensland), Australia, (ii) Wellington, New Zealand and (iii) Rotorua, New Zealand.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Cinema exhibition, through our 60 cinemas as of June 30,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 estate, including real estate development and the rental of retail, commercial, and live theatre assets.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these two business segments complement and support one another. Prior to COVID-19, we used cash flows generated by our cinema operations to fund the front-end cash demands of our real estate development business. Post pandemic, we relied more upon income from our real estate assets, and tapped into the imbedded value in those assets, to support our Company through the COVID-19 crisis. As the impact of residual macroeconomic issues diminishes and the movie release schedule improves in terms of both quality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1" w:name="page32"/>
    <w:bookmarkEnd w:id="31"/>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quantity thereby enticing patrons back to our cinemas, we believe that we will once again be able to rely on the cash flows generated by our cinema portfolio. For example, a 100-basis point reduction in rates would save us $2 million per year.</w:t>
      </w:r>
    </w:p>
    <w:p>
      <w:pPr>
        <w:spacing w:after="0" w:line="14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Despite our confidence in the long-term viability of the cinema industry, in light of our upcoming liquidity needs due to debt maturities and other factors, we have identified certain real estate assets to monetize and will be exploring the monetization of other properties to the extent our liquidity needs require. We are steadfast in our belief that our two-pronged, diversified international business strategy will keep carrying our Company through these difficult times as we continue to navigate the uncertainty and challenges posed by the recent macroeconomic obstacles. See Note 3 – </w:t>
      </w:r>
      <w:r>
        <w:rPr>
          <w:rFonts w:ascii="Times New Roman" w:cs="Times New Roman" w:eastAsia="Times New Roman" w:hAnsi="Times New Roman"/>
          <w:sz w:val="18"/>
          <w:szCs w:val="18"/>
          <w:i w:val="1"/>
          <w:iCs w:val="1"/>
          <w:color w:val="auto"/>
        </w:rPr>
        <w:t>Liquidity and Impairment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Food and Beverage Spend Per Patron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key performance indicator utilized by management in our cinema segment is F&amp;B Spend Per Patron (“SPP”). This metric is calculated by dividing our post-tax Food &amp; Beverage Revenues by the number of cinema attendees during a specific period.</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One of our strategic priorities has been to continue upgrading the food and beverage menu at several of our global cinemas. As of June 30, 2024, we have a total of 38 theater locations with elevated food and beverage menus (i.e. menus that are beyond traditional popcorn, soda, and candy). We use SPP to assess our food and beverage performance compared to our competitors. While various factors like labor and cost of goods affect our F&amp;B profitability, SPP indicates our ability to maintain strong top-line performance. It also reflects our success in generating additional revenue by promoting and selling supplementary products to our customers during their visits. Furthermore, this metric helps us evaluate how well we differentiate our F&amp;B offerings from competitors. Management uses F&amp;B SPP to adjust pricing strategies, measure the effectiveness of marketing initiatives, optimize menu offerings, and ensure that prices remain accessible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241300</wp:posOffset>
            </wp:positionV>
            <wp:extent cx="6172200" cy="132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Average Ticket Price per Patron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Another key performance indicator used by management in our cinema segment is Average Ticket Price (“ATP”) per Patron, which is calculated based on our total Box Office Revenues on a post-tax basis divided by our cinema attendance during a specific period. ATP measures our operational cinema performance when compared to that of our competitors. ATP is a useful metric for evaluating our ability to achieve a strong top line performance, gauging the effectiveness of our cinemas’ pricing strategies and our ability to entice customers back to our theaters. Management uses ATP to adjust and inform ticket pricing schemes for our individual theaters, measures the effectiveness of our content programming, and ensures that price barriers are not created for our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120650</wp:posOffset>
            </wp:positionV>
            <wp:extent cx="6077585" cy="1362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758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Key Performance Indicators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second quarter and six months ended June 30, 2024 compared to the corresponding periods in 2023. As a matter of clarification, we have not included in our calculation of net rentable area available for lease any space that is closed for renovation or redevelopment (such as our Courtenay Central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122555</wp:posOffset>
            </wp:positionV>
            <wp:extent cx="6009005" cy="2151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900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case of our Live Theatres, with respect to key performance indicators, we primarily look to the live theater rental revenue and ancillary income from the theatres. This key performance indicator represents box office revenues less amounts paid to producers for license fee settlements, plus ancillary income earned by us from certain theater operations. Our live theater rental revenue and ancillary income for the second quarter of 2024 was $415,814 which decreased from $566,196 in the second quarter of 2023.</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Historically, in the case of our development properties (such as 44 Union Square in New York City and our various international properties sch as Newmarket Village in Australia), we have no specific key performance standards to compare performance from period to period. Rather we continue to analyze budgets and projections and compare actual results to budgeted or projected results from time to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Exhibition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worldwide cinema exhibition businesses through various subsidiaries under various brands: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U.S., under the Reading Cinemas, Consolidated Theatres and Angelika Film Center brands.</w:t>
      </w:r>
    </w:p>
    <w:p>
      <w:pPr>
        <w:spacing w:after="0" w:line="76" w:lineRule="exact"/>
        <w:rPr>
          <w:sz w:val="20"/>
          <w:szCs w:val="20"/>
          <w:color w:val="auto"/>
        </w:rPr>
      </w:pPr>
    </w:p>
    <w:p>
      <w:pPr>
        <w:ind w:left="660" w:right="1280"/>
        <w:spacing w:after="0" w:line="360" w:lineRule="auto"/>
        <w:rPr>
          <w:sz w:val="20"/>
          <w:szCs w:val="20"/>
          <w:color w:val="auto"/>
        </w:rPr>
      </w:pPr>
      <w:r>
        <w:rPr>
          <w:rFonts w:ascii="Times New Roman" w:cs="Times New Roman" w:eastAsia="Times New Roman" w:hAnsi="Times New Roman"/>
          <w:sz w:val="18"/>
          <w:szCs w:val="18"/>
          <w:color w:val="auto"/>
        </w:rPr>
        <w:t>in Australia, under the Reading Cinemas, Angelika, and, for our one unconsolidated joint venture theatre, Event Cinemas brands. in New Zealand, under the Reading Cinemas and our two unconsolidated joint venture theatres, Rialto Cinemas brands.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18"/>
          <w:szCs w:val="18"/>
          <w:color w:val="auto"/>
        </w:rPr>
        <w:t>Shown in the following table are the number of locations and screens in our cinema circuit in each country, by state/territory/region, our cinema brands, and our interest in the underlying assets as of June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State / Territory /</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21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Interest in Asset</w:t>
            </w:r>
          </w:p>
        </w:tc>
        <w:tc>
          <w:tcPr>
            <w:tcW w:w="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Cinema</w:t>
            </w: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Country</w:t>
            </w:r>
          </w:p>
        </w:tc>
        <w:tc>
          <w:tcPr>
            <w:tcW w:w="160" w:type="dxa"/>
            <w:vAlign w:val="bottom"/>
          </w:tcPr>
          <w:p>
            <w:pPr>
              <w:spacing w:after="0"/>
              <w:rPr>
                <w:sz w:val="14"/>
                <w:szCs w:val="14"/>
                <w:color w:val="auto"/>
              </w:rPr>
            </w:pPr>
          </w:p>
        </w:tc>
        <w:tc>
          <w:tcPr>
            <w:tcW w:w="2000" w:type="dxa"/>
            <w:vAlign w:val="bottom"/>
            <w:gridSpan w:val="2"/>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Region</w:t>
            </w:r>
          </w:p>
        </w:tc>
        <w:tc>
          <w:tcPr>
            <w:tcW w:w="98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Count</w:t>
            </w:r>
          </w:p>
        </w:tc>
        <w:tc>
          <w:tcPr>
            <w:tcW w:w="9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Count</w:t>
            </w:r>
          </w:p>
        </w:tc>
        <w:tc>
          <w:tcPr>
            <w:tcW w:w="104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Leased</w:t>
            </w:r>
          </w:p>
        </w:tc>
        <w:tc>
          <w:tcPr>
            <w:tcW w:w="80" w:type="dxa"/>
            <w:vAlign w:val="bottom"/>
          </w:tcPr>
          <w:p>
            <w:pPr>
              <w:spacing w:after="0"/>
              <w:rPr>
                <w:sz w:val="14"/>
                <w:szCs w:val="14"/>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4"/>
                <w:szCs w:val="14"/>
                <w:color w:val="auto"/>
              </w:rPr>
            </w:pPr>
          </w:p>
        </w:tc>
        <w:tc>
          <w:tcPr>
            <w:tcW w:w="3280" w:type="dxa"/>
            <w:vAlign w:val="bottom"/>
          </w:tcPr>
          <w:p>
            <w:pPr>
              <w:ind w:left="1080"/>
              <w:spacing w:after="0" w:line="155" w:lineRule="exact"/>
              <w:rPr>
                <w:sz w:val="20"/>
                <w:szCs w:val="20"/>
                <w:color w:val="auto"/>
              </w:rPr>
            </w:pPr>
            <w:r>
              <w:rPr>
                <w:rFonts w:ascii="Times New Roman" w:cs="Times New Roman" w:eastAsia="Times New Roman" w:hAnsi="Times New Roman"/>
                <w:sz w:val="14"/>
                <w:szCs w:val="14"/>
                <w:b w:val="1"/>
                <w:bCs w:val="1"/>
                <w:color w:val="auto"/>
              </w:rPr>
              <w:t>Operating Brands</w:t>
            </w:r>
          </w:p>
        </w:tc>
        <w:tc>
          <w:tcPr>
            <w:tcW w:w="0" w:type="dxa"/>
            <w:vAlign w:val="bottom"/>
          </w:tcPr>
          <w:p>
            <w:pPr>
              <w:spacing w:after="0"/>
              <w:rPr>
                <w:sz w:val="1"/>
                <w:szCs w:val="1"/>
                <w:color w:val="auto"/>
              </w:rPr>
            </w:pPr>
          </w:p>
        </w:tc>
      </w:tr>
      <w:tr>
        <w:trPr>
          <w:trHeight w:val="162"/>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Hawaii</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Theatres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California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Texas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Jersey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Washington, D.C.</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U.S. Total</w:t>
            </w: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19</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193</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18</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1</w:t>
            </w: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Australia</w:t>
            </w:r>
          </w:p>
        </w:tc>
        <w:tc>
          <w:tcPr>
            <w:tcW w:w="216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Victoria</w:t>
            </w:r>
          </w:p>
        </w:tc>
        <w:tc>
          <w:tcPr>
            <w:tcW w:w="8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9</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62</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New South Wales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Queensland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3</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 Angelika Cinemas, Event Cinemas(1)</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Western Australia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South Australia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Tasmania</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State Cinema by Angelika</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30</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226</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New Zealand</w:t>
            </w:r>
          </w:p>
        </w:tc>
        <w:tc>
          <w:tcPr>
            <w:tcW w:w="21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Wellington</w:t>
            </w: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060" w:type="dxa"/>
            <w:vAlign w:val="bottom"/>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Otago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Auckland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Canterbury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Southland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Bay of Plenty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Hawke's Bay</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67</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GRAND TOTAL</w:t>
            </w: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486</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51</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9</w:t>
            </w:r>
          </w:p>
        </w:tc>
        <w:tc>
          <w:tcPr>
            <w:tcW w:w="1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has a 33.3% unincorporated joint venture interest in a 16-screen cinema located in Mt. Gravatt, Queensland managed by Event Cinemas.</w:t>
      </w:r>
    </w:p>
    <w:p>
      <w:pPr>
        <w:spacing w:after="0" w:line="17" w:lineRule="exact"/>
        <w:rPr>
          <w:rFonts w:ascii="Times New Roman" w:cs="Times New Roman" w:eastAsia="Times New Roman" w:hAnsi="Times New Roman"/>
          <w:sz w:val="14"/>
          <w:szCs w:val="14"/>
          <w:color w:val="auto"/>
        </w:rPr>
      </w:pPr>
    </w:p>
    <w:p>
      <w:pPr>
        <w:ind w:left="660" w:hanging="328"/>
        <w:spacing w:after="0" w:line="23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is a 50% joint venture partner in two New Zealand Rialto Cinemas, with a total of 13 screens. We are responsible for the booking of these cinemas and our joint venture partner, Event Cinemas, manages their day-to-day operations.</w:t>
      </w:r>
    </w:p>
    <w:p>
      <w:pPr>
        <w:spacing w:after="0" w:line="22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Our cinema revenues consist primarily of cinema ticket sales, F&amp;B sales, screen advertising, gift card sales, cinema rentals, and online convenience fee revenue generated by the sale of our cinema tickets through our websites and mobile apps. Cinema operating expenses consist of the costs directly attributable to the operation of the cinemas, including (i) film rent expense, (ii) operating costs, such as employment costs and utilities, and (iii) occupancy costs. 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Additions and Pipeline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latest additions to our cinema portfolio as of June 30, 2024, were as follows:</w:t>
      </w:r>
    </w:p>
    <w:p>
      <w:pPr>
        <w:spacing w:after="0" w:line="2"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i w:val="1"/>
          <w:iCs w:val="1"/>
          <w:u w:val="single" w:color="auto"/>
          <w:color w:val="auto"/>
        </w:rPr>
        <w:t>Armadale,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13, 2023, we took over an existing six-screen cinema in Armadale, Australia, a suburb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Perth in Western Australia.</w:t>
      </w:r>
    </w:p>
    <w:p>
      <w:pPr>
        <w:spacing w:after="0" w:line="156"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South City Square, Brisbane,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24, 2023, we launched our first-ever Angelika Cinemas outside of the United States at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Square in Woolloongabba, Brisbane. The location operates as an eight-screen complex, featuring elevated food and beverage offerings (including alcoholic beverages), and recliner seating. Three of the auditoriums, known as Soho Lounge cinemas, offer table-service.</w:t>
      </w:r>
    </w:p>
    <w:p>
      <w:pPr>
        <w:spacing w:after="0" w:line="154" w:lineRule="exact"/>
        <w:rPr>
          <w:sz w:val="20"/>
          <w:szCs w:val="20"/>
          <w:color w:val="auto"/>
        </w:rPr>
      </w:pPr>
    </w:p>
    <w:p>
      <w:pPr>
        <w:ind w:left="660" w:right="44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Busselton,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22, 2023, we opened a five-screen complex in the newly expanded Busselton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Centre precinct of Busselton, Western Australia. The state-of-the-art complex features a TITAN LUXE screen, elevated food and beverage offerings, and recliner seating.</w:t>
      </w:r>
    </w:p>
    <w:p>
      <w:pPr>
        <w:spacing w:after="0" w:line="143"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Our Board has authorized management to proceed with the negotiation of lease for one new state-of-the-art cinema, located in Noosa, Queensland, Australia.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Cinema Upgrades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upgrades to our cinema circuits’ film exhibition technology and amenities over the years are as summarized in the following table: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  Count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w:t>
            </w:r>
          </w:p>
        </w:tc>
        <w:tc>
          <w:tcPr>
            <w:tcW w:w="0" w:type="dxa"/>
            <w:vAlign w:val="bottom"/>
          </w:tcPr>
          <w:p>
            <w:pPr>
              <w:spacing w:after="0"/>
              <w:rPr>
                <w:sz w:val="1"/>
                <w:szCs w:val="1"/>
                <w:color w:val="auto"/>
              </w:rPr>
            </w:pPr>
          </w:p>
        </w:tc>
      </w:tr>
      <w:tr>
        <w:trPr>
          <w:trHeight w:val="189"/>
        </w:trPr>
        <w:tc>
          <w:tcPr>
            <w:tcW w:w="84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Screen Format</w:t>
            </w:r>
          </w:p>
        </w:tc>
        <w:tc>
          <w:tcPr>
            <w:tcW w:w="1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Digital (all cinemas in our cinema circuit)</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486</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IMAX</w:t>
            </w:r>
          </w:p>
        </w:tc>
        <w:tc>
          <w:tcPr>
            <w:tcW w:w="13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TITAN XC and TITAN LUXE</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Dine-in Service</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Gold Lounge (AU/NZ)</w:t>
            </w:r>
            <w:r>
              <w:rPr>
                <w:rFonts w:ascii="Times New Roman" w:cs="Times New Roman" w:eastAsia="Times New Roman" w:hAnsi="Times New Roman"/>
                <w:sz w:val="29"/>
                <w:szCs w:val="29"/>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Premium (AU/NZ)</w:t>
            </w:r>
            <w:r>
              <w:rPr>
                <w:rFonts w:ascii="Times New Roman" w:cs="Times New Roman" w:eastAsia="Times New Roman" w:hAnsi="Times New Roman"/>
                <w:sz w:val="29"/>
                <w:szCs w:val="29"/>
                <w:color w:val="auto"/>
                <w:vertAlign w:val="superscript"/>
              </w:rPr>
              <w:t>(2)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7"/>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Spotlight (U.S.)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Upgraded Food &amp; Beverage menu (U.S.)</w:t>
            </w:r>
            <w:r>
              <w:rPr>
                <w:rFonts w:ascii="Times New Roman" w:cs="Times New Roman" w:eastAsia="Times New Roman" w:hAnsi="Times New Roman"/>
                <w:sz w:val="29"/>
                <w:szCs w:val="29"/>
                <w:i w:val="1"/>
                <w:iCs w:val="1"/>
                <w:color w:val="auto"/>
                <w:vertAlign w:val="superscript"/>
              </w:rPr>
              <w:t>(4)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89"/>
        </w:trPr>
        <w:tc>
          <w:tcPr>
            <w:tcW w:w="84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Premium Seating (features recliner seating)</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198</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Liquor Licenses </w:t>
            </w:r>
            <w:r>
              <w:rPr>
                <w:rFonts w:ascii="Times New Roman" w:cs="Times New Roman" w:eastAsia="Times New Roman" w:hAnsi="Times New Roman"/>
                <w:sz w:val="29"/>
                <w:szCs w:val="29"/>
                <w:i w:val="1"/>
                <w:iCs w:val="1"/>
                <w:color w:val="auto"/>
                <w:vertAlign w:val="superscript"/>
              </w:rPr>
              <w:t>(5)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60" w:right="20" w:hanging="328"/>
        <w:spacing w:after="0" w:line="244"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Gold Lounge</w:t>
      </w:r>
      <w:r>
        <w:rPr>
          <w:rFonts w:ascii="Times New Roman" w:cs="Times New Roman" w:eastAsia="Times New Roman" w:hAnsi="Times New Roman"/>
          <w:sz w:val="14"/>
          <w:szCs w:val="14"/>
          <w:color w:val="auto"/>
        </w:rPr>
        <w:t>: This is our "First Class Full Dine-in Service" in our Australian and New Zealand cinemas, which includes an upgraded F&amp;B menu (with alcoholic beverages), luxury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recliner seating features (intimate 25-50 seat cinemas) and waiter service.</w:t>
      </w:r>
    </w:p>
    <w:p>
      <w:pPr>
        <w:spacing w:after="0" w:line="1" w:lineRule="exact"/>
        <w:rPr>
          <w:rFonts w:ascii="Times New Roman" w:cs="Times New Roman" w:eastAsia="Times New Roman" w:hAnsi="Times New Roman"/>
          <w:sz w:val="14"/>
          <w:szCs w:val="14"/>
          <w:color w:val="auto"/>
        </w:rPr>
      </w:pPr>
    </w:p>
    <w:p>
      <w:pPr>
        <w:ind w:left="660" w:hanging="328"/>
        <w:spacing w:after="0" w:line="23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Premium Service</w:t>
      </w:r>
      <w:r>
        <w:rPr>
          <w:rFonts w:ascii="Times New Roman" w:cs="Times New Roman" w:eastAsia="Times New Roman" w:hAnsi="Times New Roman"/>
          <w:sz w:val="14"/>
          <w:szCs w:val="14"/>
          <w:color w:val="auto"/>
        </w:rPr>
        <w:t>: This is our "Business Class Dine-in Service" in our Australian and New Zealand cinemas, which typically includes upgraded F&amp;B menu (some with alcoholic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beverages) and may include luxury recliner seating features (less intimate 80-seat cinemas), but no waiter service.</w:t>
      </w:r>
    </w:p>
    <w:p>
      <w:pPr>
        <w:jc w:val="both"/>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Spotlight Service: </w:t>
      </w:r>
      <w:r>
        <w:rPr>
          <w:rFonts w:ascii="Times New Roman" w:cs="Times New Roman" w:eastAsia="Times New Roman" w:hAnsi="Times New Roman"/>
          <w:sz w:val="14"/>
          <w:szCs w:val="14"/>
          <w:color w:val="auto"/>
        </w:rPr>
        <w:t>Our first dine-in cinema concept in the U.S. at Reading Cinemas in Murrieta, California. Six of our 17 auditoriums at this cinema feature waiter service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movie begins with a full F&amp;B menu, luxury recliner seating, and laser focus on customer service. Our Spotlight service has been temporarily suspended since the initial COVID-19 shutdown.</w:t>
      </w:r>
    </w:p>
    <w:p>
      <w:pPr>
        <w:spacing w:after="0" w:line="150" w:lineRule="exact"/>
        <w:rPr>
          <w:rFonts w:ascii="Times New Roman" w:cs="Times New Roman" w:eastAsia="Times New Roman" w:hAnsi="Times New Roman"/>
          <w:sz w:val="14"/>
          <w:szCs w:val="14"/>
          <w:color w:val="auto"/>
        </w:rPr>
      </w:pPr>
    </w:p>
    <w:p>
      <w:pPr>
        <w:ind w:left="660" w:right="20" w:hanging="328"/>
        <w:spacing w:after="0" w:line="231"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Upgraded Food &amp; Beverage Menu</w:t>
      </w:r>
      <w:r>
        <w:rPr>
          <w:rFonts w:ascii="Times New Roman" w:cs="Times New Roman" w:eastAsia="Times New Roman" w:hAnsi="Times New Roman"/>
          <w:sz w:val="14"/>
          <w:szCs w:val="14"/>
          <w:color w:val="auto"/>
        </w:rPr>
        <w:t>: Features an elevated F&amp;B menu including a menu of locally inspired and freshly prepared items that go beyond traditional concessions,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have worked with former Food Network executives to create. The elevated menu also includes beer, wine and/or spirits at most of our locations.</w:t>
      </w:r>
    </w:p>
    <w:p>
      <w:pPr>
        <w:jc w:val="both"/>
        <w:ind w:left="660" w:hanging="328"/>
        <w:spacing w:after="0" w:line="239"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Liquor Licenses: </w:t>
      </w:r>
      <w:r>
        <w:rPr>
          <w:rFonts w:ascii="Times New Roman" w:cs="Times New Roman" w:eastAsia="Times New Roman" w:hAnsi="Times New Roman"/>
          <w:sz w:val="14"/>
          <w:szCs w:val="14"/>
          <w:color w:val="auto"/>
        </w:rPr>
        <w:t>Licenses are applicable at each cinema location, rather than each cinema auditorium. As of today, we (i) have licenses in 100% of our cinemas operating in the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sell beer and wine and (ii) we are working to add liquor to our licenses in our three New York City cinemas. In Australia, 83% of our cinemas are licensed and we have one liquor licenses pending. In New Zealand, 33% of our cinemas are licensed and we have zero liquor licenses pending.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Enhancements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5"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Renovation Work</w:t>
      </w:r>
      <w:r>
        <w:rPr>
          <w:rFonts w:ascii="Times New Roman" w:cs="Times New Roman" w:eastAsia="Times New Roman" w:hAnsi="Times New Roman"/>
          <w:sz w:val="18"/>
          <w:szCs w:val="18"/>
          <w:color w:val="auto"/>
        </w:rPr>
        <w:t>: As of June 30, 2024, we have converted 110 of our 193 U.S. auditoriums to luxury recliner seating. As of the date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we are engaging in discussions with certain landlords in the U.S. about tenant allowances to upgrade certain U.S. cinemas.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 and New Zealand</w:t>
      </w:r>
    </w:p>
    <w:p>
      <w:pPr>
        <w:spacing w:after="0" w:line="185"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Rouse Hill renovation</w:t>
      </w:r>
      <w:r>
        <w:rPr>
          <w:rFonts w:ascii="Times New Roman" w:cs="Times New Roman" w:eastAsia="Times New Roman" w:hAnsi="Times New Roman"/>
          <w:sz w:val="18"/>
          <w:szCs w:val="18"/>
          <w:color w:val="auto"/>
        </w:rPr>
        <w:t>: Our Reading Cinema in Rouse Hill (NSW) will undergo a lease obligated refurbishment focusing on the foyer,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concessions, including the introduction of hot food offerings, and the addition of another all reclining Premium auditorium. The preliminary drawings have been completed and we are developing construction drawings for applicable approvals.</w:t>
      </w:r>
    </w:p>
    <w:p>
      <w:pPr>
        <w:spacing w:after="0" w:line="154"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Angelika Film Centre, South City Square</w:t>
      </w:r>
      <w:r>
        <w:rPr>
          <w:rFonts w:ascii="Times New Roman" w:cs="Times New Roman" w:eastAsia="Times New Roman" w:hAnsi="Times New Roman"/>
          <w:sz w:val="18"/>
          <w:szCs w:val="18"/>
          <w:color w:val="auto"/>
        </w:rPr>
        <w:t>: Australia’s first Angelika opened on August 24, 2023 in the Woolloongabba (Queensland) South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development. The complex offers eight screens, all reclining seating, and exceptional hot food and liquor offerings.</w:t>
      </w:r>
    </w:p>
    <w:p>
      <w:pPr>
        <w:spacing w:after="0" w:line="225"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Other Cinema Upgrades</w:t>
      </w:r>
      <w:r>
        <w:rPr>
          <w:rFonts w:ascii="Times New Roman" w:cs="Times New Roman" w:eastAsia="Times New Roman" w:hAnsi="Times New Roman"/>
          <w:sz w:val="18"/>
          <w:szCs w:val="18"/>
          <w:color w:val="auto"/>
        </w:rPr>
        <w:t>: In addition, during the three-year period of 2021 to 2023, we improved our Reading Cinemas in Sunbury (VIC)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Cinema (TAS) in Australia.</w:t>
      </w:r>
    </w:p>
    <w:p>
      <w:pPr>
        <w:spacing w:after="0" w:line="1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2024, we will continue to focus on the enhancement of our proprietary online ticketing and Food &amp; Beverage capabilities, together with improving and expanding our social media platforms and interfaces. These are intended to enhance the convenience of our offerings and to promote guest affinity with the experiences and products we offer.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Cinema Closures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7, 2023, The Hutt Pop-Up in New Zealand was permanently closed due to the expiration of our lease for that location. We chose not to continue the cinema as it was only brought online as a “pop up” to address a temporary opening in the market. Since the fourth quarter of 2022, we have closed five cinema locations, all of which were loss makers: three in Hawaii, one in Northern California and one in Texas.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Overview</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Through our various subsidiaries, we engage in the real estate business through the development, ownership, rental or licensing to third parties of retail, commercial, and live theatre assets. Our real estate business is intended to create long-term value for our stockholders through the continuous improvement and development of our investment and operating properties, including our ETCs, and has, in recent times and will over the next 12 months, assist our liquidity needs through various asset monetizations. In addition to owning the fee interests in nine of our cinemas (as presented in the table under </w:t>
      </w:r>
      <w:r>
        <w:rPr>
          <w:rFonts w:ascii="Times New Roman" w:cs="Times New Roman" w:eastAsia="Times New Roman" w:hAnsi="Times New Roman"/>
          <w:sz w:val="18"/>
          <w:szCs w:val="18"/>
          <w:i w:val="1"/>
          <w:iCs w:val="1"/>
          <w:color w:val="auto"/>
        </w:rPr>
        <w:t>Cinema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Exhibition Overview</w:t>
      </w:r>
      <w:r>
        <w:rPr>
          <w:rFonts w:ascii="Times New Roman" w:cs="Times New Roman" w:eastAsia="Times New Roman" w:hAnsi="Times New Roman"/>
          <w:sz w:val="18"/>
          <w:szCs w:val="18"/>
          <w:color w:val="auto"/>
        </w:rPr>
        <w:t>), as of June 30, 2024, we:</w:t>
      </w:r>
    </w:p>
    <w:p>
      <w:pPr>
        <w:spacing w:after="0" w:line="148"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8"/>
          <w:szCs w:val="18"/>
          <w:color w:val="auto"/>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ind w:left="660" w:right="140"/>
        <w:spacing w:after="0" w:line="226" w:lineRule="auto"/>
        <w:rPr>
          <w:sz w:val="20"/>
          <w:szCs w:val="20"/>
          <w:color w:val="auto"/>
        </w:rPr>
      </w:pPr>
      <w:r>
        <w:rPr>
          <w:rFonts w:ascii="Times New Roman" w:cs="Times New Roman" w:eastAsia="Times New Roman" w:hAnsi="Times New Roman"/>
          <w:sz w:val="18"/>
          <w:szCs w:val="18"/>
          <w:color w:val="auto"/>
        </w:rPr>
        <w:t>own and operate two ETCs known as Newmarket Village (in a suburb of Brisbane) and the Belmont Common (in a suburb of Perth)in Australia; own and operate another ETC known as Cannon Park in Townsville, Australia, which is currently held for sale;</w:t>
      </w:r>
    </w:p>
    <w:p>
      <w:pPr>
        <w:spacing w:after="0" w:line="1" w:lineRule="exact"/>
        <w:rPr>
          <w:sz w:val="20"/>
          <w:szCs w:val="20"/>
          <w:color w:val="auto"/>
        </w:rPr>
      </w:pPr>
    </w:p>
    <w:p>
      <w:pPr>
        <w:ind w:left="660" w:firstLine="47"/>
        <w:spacing w:after="0" w:line="226" w:lineRule="auto"/>
        <w:rPr>
          <w:sz w:val="20"/>
          <w:szCs w:val="20"/>
          <w:color w:val="auto"/>
        </w:rPr>
      </w:pPr>
      <w:r>
        <w:rPr>
          <w:rFonts w:ascii="Times New Roman" w:cs="Times New Roman" w:eastAsia="Times New Roman" w:hAnsi="Times New Roman"/>
          <w:sz w:val="18"/>
          <w:szCs w:val="18"/>
          <w:color w:val="auto"/>
        </w:rPr>
        <w:t>own property assets in Wellington, New Zealand, (including Courtenay Central , historically operated as an ETC), which are all currently held for sale;</w:t>
      </w:r>
    </w:p>
    <w:p>
      <w:pPr>
        <w:spacing w:after="0" w:line="1" w:lineRule="exact"/>
        <w:rPr>
          <w:sz w:val="20"/>
          <w:szCs w:val="20"/>
          <w:color w:val="auto"/>
        </w:rPr>
      </w:pPr>
    </w:p>
    <w:p>
      <w:pPr>
        <w:ind w:left="340"/>
        <w:spacing w:after="0" w:line="219" w:lineRule="auto"/>
        <w:rPr>
          <w:sz w:val="20"/>
          <w:szCs w:val="20"/>
          <w:color w:val="auto"/>
        </w:rPr>
      </w:pPr>
      <w:r>
        <w:rPr>
          <w:rFonts w:ascii="Times New Roman" w:cs="Times New Roman" w:eastAsia="Times New Roman" w:hAnsi="Times New Roman"/>
          <w:sz w:val="18"/>
          <w:szCs w:val="18"/>
          <w:color w:val="auto"/>
        </w:rPr>
        <w:t>own and operate our administrative office building in South Melbourne, Australia;</w:t>
      </w:r>
    </w:p>
    <w:p>
      <w:pPr>
        <w:ind w:left="660"/>
        <w:spacing w:after="0" w:line="226" w:lineRule="auto"/>
        <w:rPr>
          <w:sz w:val="20"/>
          <w:szCs w:val="20"/>
          <w:color w:val="auto"/>
        </w:rPr>
      </w:pPr>
      <w:r>
        <w:rPr>
          <w:rFonts w:ascii="Times New Roman" w:cs="Times New Roman" w:eastAsia="Times New Roman" w:hAnsi="Times New Roman"/>
          <w:sz w:val="18"/>
          <w:szCs w:val="18"/>
          <w:color w:val="auto"/>
        </w:rPr>
        <w:t>own and operate the fee interests in two developed commercial properties in Manhattan improved with live theatres comprised of a single stage in each location;</w:t>
      </w:r>
    </w:p>
    <w:p>
      <w:pPr>
        <w:spacing w:after="0" w:line="1"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own a 75% managing member interest in a limited liability company which in turn owns the fee interest in and improvements constituting our Cinemas 1,2,3 located in Manhattan;</w:t>
      </w:r>
    </w:p>
    <w:p>
      <w:pPr>
        <w:spacing w:after="0" w:line="1" w:lineRule="exact"/>
        <w:rPr>
          <w:sz w:val="20"/>
          <w:szCs w:val="20"/>
          <w:color w:val="auto"/>
        </w:rPr>
      </w:pPr>
    </w:p>
    <w:p>
      <w:pPr>
        <w:ind w:left="340"/>
        <w:spacing w:after="0" w:line="219" w:lineRule="auto"/>
        <w:rPr>
          <w:sz w:val="20"/>
          <w:szCs w:val="20"/>
          <w:color w:val="auto"/>
        </w:rPr>
      </w:pPr>
      <w:r>
        <w:rPr>
          <w:rFonts w:ascii="Times New Roman" w:cs="Times New Roman" w:eastAsia="Times New Roman" w:hAnsi="Times New Roman"/>
          <w:sz w:val="18"/>
          <w:szCs w:val="18"/>
          <w:color w:val="auto"/>
        </w:rPr>
        <w:t>own an approximately 26.6-acre property in Williamsport, Pennsylvania, which is currently being held for sale; and</w:t>
      </w:r>
    </w:p>
    <w:p>
      <w:pPr>
        <w:ind w:left="660"/>
        <w:spacing w:after="0" w:line="243" w:lineRule="auto"/>
        <w:rPr>
          <w:sz w:val="20"/>
          <w:szCs w:val="20"/>
          <w:color w:val="auto"/>
        </w:rPr>
      </w:pPr>
      <w:r>
        <w:rPr>
          <w:rFonts w:ascii="Times New Roman" w:cs="Times New Roman" w:eastAsia="Times New Roman" w:hAnsi="Times New Roman"/>
          <w:sz w:val="18"/>
          <w:szCs w:val="18"/>
          <w:color w:val="auto"/>
        </w:rPr>
        <w:t>own approximately 201-acres principally in Pennsylvania from our legacy railroad business, including the Reading Viaduct in downtown Philadelphia;</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For a breakdown of our real estate assets, made current by our discussion below,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Held for Development</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combination of the COVID-19 pandemic, the lack of any material U.S. public pandemic financial assistance due to our public company status, the 2023 Hollywood Strike, increased interest rates, inflation, increased labor costs, and decreases in the value of the Australian Dollar and New Zealand Dollar vise a vise the U.S. Dollar,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 term development.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monetized the following property assets:</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non-income producing land holdings in Coachella, California and Manukau, New Zealand;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Redyard ETC in Auburn, Australia</w:t>
      </w:r>
    </w:p>
    <w:p>
      <w:pPr>
        <w:ind w:left="660" w:hanging="328"/>
        <w:spacing w:after="0" w:line="22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Royal George live theatre complex in Chicago (slated for redevelopment, and now being redeveloped for residential purposes by the new owner);</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underlying our cinema in Invercargill, New Zealand;</w:t>
      </w:r>
    </w:p>
    <w:p>
      <w:pPr>
        <w:ind w:left="660" w:hanging="328"/>
        <w:spacing w:after="0" w:line="23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non-competitive four-screen strata title cinema in Maitland, Australia;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administrative office building in Culver City, California.</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properties were identified for sale and sold in significant part because of (i) our need for liquidity due to the circumstances referred to above, (ii) the amount of capital required to materially increase their value in the immediate to mid-term, (iii) they were either non-income producing or provided immaterial cash flow and (iv) in the case of our Culver City office building, the property was not required for our operations because it exceeded our office size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have classified the following properties as held for sale:</w:t>
      </w:r>
    </w:p>
    <w:p>
      <w:pPr>
        <w:spacing w:after="0" w:line="18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underlying our cinema in Rotorua, New Zealand;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approximately 3.7 acre five-parcel assemblage in the entertainment center of Wellington, New Zealand, which includes the Courtenay Central building;</w:t>
      </w: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ETC properties in Townsville (QLD) in Australia known as Cannon Park;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industrial land in Williamsport, Pennsylvania (also currently non-income producing).</w:t>
      </w:r>
    </w:p>
    <w:p>
      <w:pPr>
        <w:spacing w:after="0" w:line="16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In the case of Rotorua, Courtenay Central and Cannon Park, if the potential buyer elects to have a cinema use on the property, we intend to lease back our existing Reading Cinema or a potentially new cinema, in the event the potential buyer elects to build a new cinema.</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Our remaining assets held for development include the Cinemas 1,2,3 in Manhattan, and our various historic railroad properties, the principal of these being our holding in downtown Philadelphia, which is discussed in greater detail below.</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18"/>
          <w:szCs w:val="18"/>
          <w:i w:val="1"/>
          <w:iCs w:val="1"/>
          <w:u w:val="single" w:color="auto"/>
          <w:color w:val="auto"/>
        </w:rPr>
        <w:t>44 Union Square Redevelopment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January 27, 2022, we finalized a long-term lease agreement with Petco,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occupancy of the cellar, ground floor, and second floor of the building, amounting to 42% of the leasable area. Petco commenced full-rent, cash-paying occupancy and officially opened its doors to the public on June 1, 2023. During mid-March 2024, we engaged George Comfort &amp; Sons as our exclusive leasing broker for the remaining space. Originally designated for office use, the property's striking presence in Union Square, coupled with the resurgence of foot traffic in the area, and its exceptional branding potential, prompt us to explore a spectrum of uses beyond traditional office tenants. This includes consideration for short-term and special-purpose arrangements.</w:t>
      </w:r>
    </w:p>
    <w:p>
      <w:pPr>
        <w:spacing w:after="0" w:line="62"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i w:val="1"/>
          <w:iCs w:val="1"/>
          <w:u w:val="single" w:color="auto"/>
          <w:color w:val="auto"/>
        </w:rPr>
        <w:t>Minetta Lane Theatre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Prior to the pandemic, our theater hosted Audible productions featuring a limited cast and special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performances streamed on the Audible platform. Public performances resumed on October 8, 2021, after an approximate 1.5-year hiatus due to the COVID-19 pandemic, during which we provided certain abatements. Audible has since resumed full operations and extended its license agreement with us through March 15, 2026, with an option to extend for an additional year.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p>
      <w:pPr>
        <w:ind w:left="660"/>
        <w:spacing w:after="0" w:line="230" w:lineRule="auto"/>
        <w:rPr>
          <w:sz w:val="20"/>
          <w:szCs w:val="20"/>
          <w:color w:val="auto"/>
        </w:rPr>
      </w:pPr>
      <w:r>
        <w:rPr>
          <w:rFonts w:ascii="Times New Roman" w:cs="Times New Roman" w:eastAsia="Times New Roman" w:hAnsi="Times New Roman"/>
          <w:sz w:val="18"/>
          <w:szCs w:val="18"/>
          <w:i w:val="1"/>
          <w:iCs w:val="1"/>
          <w:u w:val="single" w:color="auto"/>
          <w:color w:val="auto"/>
        </w:rPr>
        <w:t>Orpheum Theatre (New York, N.Y.)</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Before COVID-19, our Orpheum Theatre was home to STOMP. While shows ceased from April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2021 due to the pandemic, performances afterward were intermittent. During this time, we provided certain abatements. STOMP concluded its 30-year run at our theater on January 8, 2023. Under our termination agreement, we retain the rights to host any future productions of the show. Following STOMP's departure, new productions such as </w:t>
      </w:r>
      <w:r>
        <w:rPr>
          <w:rFonts w:ascii="Times New Roman" w:cs="Times New Roman" w:eastAsia="Times New Roman" w:hAnsi="Times New Roman"/>
          <w:sz w:val="18"/>
          <w:szCs w:val="18"/>
          <w:i w:val="1"/>
          <w:iCs w:val="1"/>
          <w:color w:val="auto"/>
        </w:rPr>
        <w:t>The Empire Strips Back</w:t>
      </w:r>
      <w:r>
        <w:rPr>
          <w:rFonts w:ascii="Times New Roman" w:cs="Times New Roman" w:eastAsia="Times New Roman" w:hAnsi="Times New Roman"/>
          <w:sz w:val="18"/>
          <w:szCs w:val="18"/>
          <w:color w:val="auto"/>
        </w:rPr>
        <w:t xml:space="preserve"> and Comedian Rachel Bloom's </w:t>
      </w:r>
      <w:r>
        <w:rPr>
          <w:rFonts w:ascii="Times New Roman" w:cs="Times New Roman" w:eastAsia="Times New Roman" w:hAnsi="Times New Roman"/>
          <w:sz w:val="18"/>
          <w:szCs w:val="18"/>
          <w:i w:val="1"/>
          <w:iCs w:val="1"/>
          <w:color w:val="auto"/>
        </w:rPr>
        <w:t>Death, Let Me Do My Show</w:t>
      </w:r>
      <w:r>
        <w:rPr>
          <w:rFonts w:ascii="Times New Roman" w:cs="Times New Roman" w:eastAsia="Times New Roman" w:hAnsi="Times New Roman"/>
          <w:sz w:val="18"/>
          <w:szCs w:val="18"/>
          <w:color w:val="auto"/>
        </w:rPr>
        <w:t xml:space="preserve"> brought fresh excitement to audiences during 2023. During the first quarter of 2024, the Orpheum hosted Eddie Izzard’s </w:t>
      </w:r>
      <w:r>
        <w:rPr>
          <w:rFonts w:ascii="Times New Roman" w:cs="Times New Roman" w:eastAsia="Times New Roman" w:hAnsi="Times New Roman"/>
          <w:sz w:val="18"/>
          <w:szCs w:val="18"/>
          <w:i w:val="1"/>
          <w:iCs w:val="1"/>
          <w:color w:val="auto"/>
        </w:rPr>
        <w:t>Hamlet</w:t>
      </w:r>
      <w:r>
        <w:rPr>
          <w:rFonts w:ascii="Times New Roman" w:cs="Times New Roman" w:eastAsia="Times New Roman" w:hAnsi="Times New Roman"/>
          <w:sz w:val="18"/>
          <w:szCs w:val="18"/>
          <w:color w:val="auto"/>
        </w:rPr>
        <w:t xml:space="preserve"> which had a four-week run through April 14, 2024. And, on September 14, 2024 performances of </w:t>
      </w:r>
      <w:r>
        <w:rPr>
          <w:rFonts w:ascii="Times New Roman" w:cs="Times New Roman" w:eastAsia="Times New Roman" w:hAnsi="Times New Roman"/>
          <w:sz w:val="18"/>
          <w:szCs w:val="18"/>
          <w:i w:val="1"/>
          <w:iCs w:val="1"/>
          <w:color w:val="auto"/>
        </w:rPr>
        <w:t>The Big Gay Jamboree</w:t>
      </w:r>
      <w:r>
        <w:rPr>
          <w:rFonts w:ascii="Times New Roman" w:cs="Times New Roman" w:eastAsia="Times New Roman" w:hAnsi="Times New Roman"/>
          <w:sz w:val="18"/>
          <w:szCs w:val="18"/>
          <w:color w:val="auto"/>
        </w:rPr>
        <w:t xml:space="preserve"> begin at the Orpheum. This new show from a book by Marla Mindelle, the co-author and original star of the Off Broadway hit musical-comedy </w:t>
      </w:r>
      <w:r>
        <w:rPr>
          <w:rFonts w:ascii="Times New Roman" w:cs="Times New Roman" w:eastAsia="Times New Roman" w:hAnsi="Times New Roman"/>
          <w:sz w:val="18"/>
          <w:szCs w:val="18"/>
          <w:i w:val="1"/>
          <w:iCs w:val="1"/>
          <w:color w:val="auto"/>
        </w:rPr>
        <w:t>Titanique is being produced by (i)</w:t>
      </w:r>
      <w:r>
        <w:rPr>
          <w:rFonts w:ascii="Times New Roman" w:cs="Times New Roman" w:eastAsia="Times New Roman" w:hAnsi="Times New Roman"/>
          <w:sz w:val="18"/>
          <w:szCs w:val="18"/>
          <w:color w:val="auto"/>
        </w:rPr>
        <w:t xml:space="preserve"> LuckyChap, the producing team, which includes Margot Robbie, behind </w:t>
      </w:r>
      <w:r>
        <w:rPr>
          <w:rFonts w:ascii="Times New Roman" w:cs="Times New Roman" w:eastAsia="Times New Roman" w:hAnsi="Times New Roman"/>
          <w:sz w:val="18"/>
          <w:szCs w:val="18"/>
          <w:i w:val="1"/>
          <w:iCs w:val="1"/>
          <w:color w:val="auto"/>
        </w:rPr>
        <w:t>Barbie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Saltburn</w:t>
      </w:r>
      <w:r>
        <w:rPr>
          <w:rFonts w:ascii="Times New Roman" w:cs="Times New Roman" w:eastAsia="Times New Roman" w:hAnsi="Times New Roman"/>
          <w:sz w:val="18"/>
          <w:szCs w:val="18"/>
          <w:color w:val="auto"/>
        </w:rPr>
        <w:t xml:space="preserve"> and (ii) multiple-Tony-winning Broadway producing veterans Sue Wagner and John Johnson (</w:t>
      </w:r>
      <w:r>
        <w:rPr>
          <w:rFonts w:ascii="Times New Roman" w:cs="Times New Roman" w:eastAsia="Times New Roman" w:hAnsi="Times New Roman"/>
          <w:sz w:val="18"/>
          <w:szCs w:val="18"/>
          <w:i w:val="1"/>
          <w:iCs w:val="1"/>
          <w:color w:val="auto"/>
        </w:rPr>
        <w:t>Stereophonic, Lempicka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i w:val="1"/>
          <w:iCs w:val="1"/>
          <w:u w:val="single" w:color="auto"/>
          <w:color w:val="auto"/>
        </w:rPr>
        <w:t>Cinemas 1,2,3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Currently operated as the Cinemas 123 by Angelika, we have historically treated this property as an asset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spacing w:after="0" w:line="156"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18"/>
          <w:szCs w:val="18"/>
          <w:i w:val="1"/>
          <w:iCs w:val="1"/>
          <w:u w:val="single" w:color="auto"/>
          <w:color w:val="auto"/>
        </w:rPr>
        <w:t>The Philadelphia Viaduct and Adjacent Properties (Philadelphia, Pennsylvania)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This continues to be an area of focus in 2024 as we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efforts to develop and maximize the potential of our real estate holdings in 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near the proposed new home of the Philadelphia 76ers. Comprising approximately 6.5 acres of land, along with various connecting bridges over public streets and sidewalks, the Reading Viaduct represents a significant contiguous land holding unobstructed by public thoroughfares. While there has been interest from the City of Philadelphia and the City Center District in acquiring the Reading Viaduct for park purposes, no concrete steps have been taken to proceed with condemnation or transfer of the property. We are currently evaluating whether a dedicated public park is the most beneficial use of the space. While a public park and pedestrian corridor, similar to the New York High Line, could be integral to the Viaduct's development, we are also exploring mixed-use options such as residential, retail, and entertainment developments. Recent developments in the area, such as the announcement of a $158 million federal grant for the Chinatown Stitch project in mid-March 2024, further highlight the potential of the Reading Viaduct. This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90"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i w:val="1"/>
          <w:iCs w:val="1"/>
          <w:u w:val="single" w:color="auto"/>
          <w:color w:val="auto"/>
        </w:rPr>
        <w:t>Newmarket Village ETC (Brisbane, Australia)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Through 2024 and into 2025 we plan to continue operating our Newmarket Village ETC,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spacing w:after="0" w:line="1" w:lineRule="exact"/>
        <w:rPr>
          <w:sz w:val="20"/>
          <w:szCs w:val="20"/>
          <w:color w:val="auto"/>
        </w:rPr>
      </w:pPr>
    </w:p>
    <w:p>
      <w:pPr>
        <w:ind w:left="660"/>
        <w:spacing w:after="0" w:line="223" w:lineRule="auto"/>
        <w:rPr>
          <w:sz w:val="20"/>
          <w:szCs w:val="20"/>
          <w:color w:val="auto"/>
        </w:rPr>
      </w:pPr>
      <w:r>
        <w:rPr>
          <w:rFonts w:ascii="Times New Roman" w:cs="Times New Roman" w:eastAsia="Times New Roman" w:hAnsi="Times New Roman"/>
          <w:sz w:val="18"/>
          <w:szCs w:val="18"/>
          <w:i w:val="1"/>
          <w:iCs w:val="1"/>
          <w:u w:val="single" w:color="auto"/>
          <w:color w:val="auto"/>
        </w:rPr>
        <w:t>Cannon Park Center ETC, (Queensland,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own two adjoining properties in Townsville, Queensland, Australia, (Cannon Park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and Cannon Park Discount Center) comprising approximately 9.4-acres which we operate as our Cannon Park Center ETC. The total gross leasable area of the two properties is 126,368 square feet. Our six-screen Reading Cinema is an anchor tenant. These properties are currently 94% leased. This property is currently being marketed for sale.</w:t>
      </w: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The Belmont Common, (Belmont, Perth,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total gross leasable area of the Belmont Common is 60,116 square feet. Our ten-screen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Reading Cinema is the anchor tenant with six third-party tenants. The site is currently 100% leased.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4" w:lineRule="exact"/>
        <w:rPr>
          <w:sz w:val="20"/>
          <w:szCs w:val="20"/>
          <w:color w:val="auto"/>
        </w:rPr>
      </w:pPr>
    </w:p>
    <w:p>
      <w:pPr>
        <w:ind w:left="980" w:right="260"/>
        <w:spacing w:after="0" w:line="229" w:lineRule="auto"/>
        <w:rPr>
          <w:sz w:val="20"/>
          <w:szCs w:val="20"/>
          <w:color w:val="auto"/>
        </w:rPr>
      </w:pPr>
      <w:r>
        <w:rPr>
          <w:rFonts w:ascii="Times New Roman" w:cs="Times New Roman" w:eastAsia="Times New Roman" w:hAnsi="Times New Roman"/>
          <w:sz w:val="18"/>
          <w:szCs w:val="18"/>
          <w:i w:val="1"/>
          <w:iCs w:val="1"/>
          <w:u w:val="single" w:color="auto"/>
          <w:color w:val="auto"/>
        </w:rPr>
        <w:t>Wellington, New Zealand, including Courtenay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Wellington properties include five contiguous parcels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161,082 square feet of land located in the entertainment core of Wellington and within walking distance and offering direct views of Wellington Harbor. Assembled over a period of years, we believe our properties represent the largest commercial assemblage available anywhere in Wellington. After recently encountering certain challenges with our development plans, we engaged JLL as our exclusive sales agent to market these key property assets that represent a once-in-a-lifetime development opportunity for a well-capitalized buyer. All five contiguous parcels are currently being marketed for sale by JLL.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8" w:name="page39"/>
    <w:bookmarkEnd w:id="38"/>
    <w:p>
      <w:pPr>
        <w:ind w:left="980" w:right="260"/>
        <w:spacing w:after="0" w:line="228" w:lineRule="auto"/>
        <w:rPr>
          <w:sz w:val="20"/>
          <w:szCs w:val="20"/>
          <w:color w:val="auto"/>
        </w:rPr>
      </w:pPr>
      <w:r>
        <w:rPr>
          <w:rFonts w:ascii="Times New Roman" w:cs="Times New Roman" w:eastAsia="Times New Roman" w:hAnsi="Times New Roman"/>
          <w:sz w:val="18"/>
          <w:szCs w:val="18"/>
          <w:color w:val="auto"/>
        </w:rPr>
        <w:t>Taking into account this generational development opportunity, together with, among other things, (i) the June 2023 opening of Takina, Wellington’s first and state-of-the-art Convention and Exhibition Center (wcec.co.nz) directly across the street from our properties, (ii) the loosening of certain height and density restrictions, and (iii) the lack of comparable building sites, we believe the international and local market will support a compelling sales price, despite the current interest rate environment.</w:t>
      </w:r>
    </w:p>
    <w:p>
      <w:pPr>
        <w:spacing w:after="0" w:line="2" w:lineRule="exact"/>
        <w:rPr>
          <w:sz w:val="20"/>
          <w:szCs w:val="20"/>
          <w:color w:val="auto"/>
        </w:rPr>
      </w:pPr>
    </w:p>
    <w:p>
      <w:pPr>
        <w:ind w:left="980" w:right="140"/>
        <w:spacing w:after="0" w:line="243" w:lineRule="auto"/>
        <w:rPr>
          <w:sz w:val="20"/>
          <w:szCs w:val="20"/>
          <w:color w:val="auto"/>
        </w:rPr>
      </w:pPr>
      <w:r>
        <w:rPr>
          <w:rFonts w:ascii="Times New Roman" w:cs="Times New Roman" w:eastAsia="Times New Roman" w:hAnsi="Times New Roman"/>
          <w:sz w:val="18"/>
          <w:szCs w:val="18"/>
          <w:color w:val="auto"/>
        </w:rPr>
        <w:t>It is our intention to structure any monetization transaction to preserve for us the right to lease or operate any cinema that is built or operated on the assemblage, in the future.</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For a complete list of our principal properties, see </w:t>
      </w:r>
      <w:r>
        <w:rPr>
          <w:rFonts w:ascii="Times New Roman" w:cs="Times New Roman" w:eastAsia="Times New Roman" w:hAnsi="Times New Roman"/>
          <w:sz w:val="18"/>
          <w:szCs w:val="18"/>
          <w:i w:val="1"/>
          <w:iCs w:val="1"/>
          <w:color w:val="auto"/>
        </w:rPr>
        <w:t>Part I, Item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Investment and Development Property”</w:t>
      </w:r>
      <w:r>
        <w:rPr>
          <w:rFonts w:ascii="Times New Roman" w:cs="Times New Roman" w:eastAsia="Times New Roman" w:hAnsi="Times New Roman"/>
          <w:sz w:val="18"/>
          <w:szCs w:val="18"/>
          <w:color w:val="auto"/>
        </w:rPr>
        <w:t xml:space="preserve"> in our 2023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 Financial Information, Item 1 – Notes to Consolidated Financial Statements-- Note 17 – Stock-Based Compensation and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Repurchases </w:t>
      </w:r>
      <w:r>
        <w:rPr>
          <w:rFonts w:ascii="Times New Roman" w:cs="Times New Roman" w:eastAsia="Times New Roman" w:hAnsi="Times New Roman"/>
          <w:sz w:val="18"/>
          <w:szCs w:val="18"/>
          <w:color w:val="auto"/>
        </w:rPr>
        <w:t>for details regarding our stock repurchase program and Board, Executive and Employee stock-based remuneration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Please refer to our 2023 Form 10-K for more details on our cinema and real estate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principal business segments along with the non-segment information for the quarter and six months ended June 30, 2024, and June 30, 2023,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Fav/</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Fav/</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‎(Unfav)</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‎(Unfav)</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RESULTS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103,042</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Inter-segment elimination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(1,218)</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(2,298)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(2,463)</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46,809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65,054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91,861</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110,861</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Operating expense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(43,904)</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(52,581)</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(85,776)</w:t>
            </w:r>
          </w:p>
        </w:tc>
        <w:tc>
          <w:tcPr>
            <w:tcW w:w="2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(95,482)</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(2,461)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(2,104)</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(4,696)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(4,319)</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Inter-segment elimination</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operating expense</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(45,219)</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(53,467)</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(88,174)</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(97,338)</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(2,554)</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(2,894)</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(5,768)</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(1,358)</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(1,619)</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(2,874)</w:t>
            </w:r>
          </w:p>
        </w:tc>
        <w:tc>
          <w:tcPr>
            <w:tcW w:w="2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(3,206)</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(3,912)</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(4,513)</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(8,015)</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(8,974)</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(1,093)</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(1,106)</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(2,071)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(1,933)</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(248)</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(208)</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(539)</w:t>
            </w:r>
          </w:p>
        </w:tc>
        <w:tc>
          <w:tcPr>
            <w:tcW w:w="2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(466)</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general and administrative expense</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(1,341)</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(1,314)</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(2,610)</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(2,399)</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(4,609)</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segment operating income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(3,663)</w:t>
            </w:r>
          </w:p>
        </w:tc>
        <w:tc>
          <w:tcPr>
            <w:tcW w:w="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(6,938)</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NON-SEGMENT RESULTS</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(176)</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(355)</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(3,929)</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(3,794)</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(8,083)</w:t>
            </w:r>
          </w:p>
        </w:tc>
        <w:tc>
          <w:tcPr>
            <w:tcW w:w="2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(7,889)</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 expense, net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(5,377)</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(4,875)</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(10,662)</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(8,991)</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Equity earnings of unconsolidated joint ventures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(13,157)</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(2,964)</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(26,783)</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(14,768)</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(13,001)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(2,861)</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(&gt;100)</w:t>
            </w:r>
          </w:p>
        </w:tc>
        <w:tc>
          <w:tcPr>
            <w:tcW w:w="2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(26,404)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(14,185)</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4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(83)</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(&gt;100)</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(370)</w:t>
            </w:r>
          </w:p>
        </w:tc>
        <w:tc>
          <w:tcPr>
            <w:tcW w:w="4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interests</w:t>
            </w: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Reading International,</w:t>
            </w: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20" w:type="dxa"/>
            <w:vAlign w:val="bottom"/>
            <w:vMerge w:val="continue"/>
            <w:shd w:val="clear" w:color="auto" w:fill="CCEEFF"/>
          </w:tcPr>
          <w:p>
            <w:pPr>
              <w:spacing w:after="0"/>
              <w:rPr>
                <w:sz w:val="18"/>
                <w:szCs w:val="18"/>
                <w:color w:val="auto"/>
              </w:rPr>
            </w:pPr>
          </w:p>
        </w:tc>
        <w:tc>
          <w:tcPr>
            <w:tcW w:w="46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(12,806)</w:t>
            </w:r>
          </w:p>
        </w:tc>
        <w:tc>
          <w:tcPr>
            <w:tcW w:w="80" w:type="dxa"/>
            <w:vAlign w:val="bottom"/>
            <w:vMerge w:val="restart"/>
            <w:shd w:val="clear" w:color="auto" w:fill="CCEEFF"/>
          </w:tcPr>
          <w:p>
            <w:pPr>
              <w:spacing w:after="0"/>
              <w:rPr>
                <w:sz w:val="18"/>
                <w:szCs w:val="18"/>
                <w:color w:val="auto"/>
              </w:rPr>
            </w:pPr>
          </w:p>
        </w:tc>
        <w:tc>
          <w:tcPr>
            <w:tcW w:w="48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(2,778)</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(&gt;100)</w:t>
            </w: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(26,034)</w:t>
            </w:r>
          </w:p>
        </w:tc>
        <w:tc>
          <w:tcPr>
            <w:tcW w:w="4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(13,889)</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Inc.</w:t>
            </w:r>
          </w:p>
        </w:tc>
        <w:tc>
          <w:tcPr>
            <w:tcW w:w="4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4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(0.57)</w:t>
            </w: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(0.12)</w:t>
            </w:r>
          </w:p>
        </w:tc>
        <w:tc>
          <w:tcPr>
            <w:tcW w:w="80" w:type="dxa"/>
            <w:vAlign w:val="bottom"/>
            <w:tcBorders>
              <w:top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(&gt;100)</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Borders>
              <w:top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(0.63)</w:t>
            </w:r>
          </w:p>
        </w:tc>
        <w:tc>
          <w:tcPr>
            <w:tcW w:w="80" w:type="dxa"/>
            <w:vAlign w:val="bottom"/>
            <w:tcBorders>
              <w:top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and Non-Segment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Second Quarter Net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quarter ended June 30, 2024, decreased by $18.2 million, to $46.8 million, compared to the same period in the prior year, primarily due to</w:t>
      </w:r>
    </w:p>
    <w:p>
      <w:pPr>
        <w:spacing w:after="0" w:line="2" w:lineRule="exact"/>
        <w:rPr>
          <w:sz w:val="20"/>
          <w:szCs w:val="20"/>
          <w:color w:val="auto"/>
        </w:rPr>
      </w:pPr>
    </w:p>
    <w:p>
      <w:pPr>
        <w:jc w:val="both"/>
        <w:ind w:firstLine="53"/>
        <w:spacing w:after="0" w:line="234" w:lineRule="auto"/>
        <w:tabs>
          <w:tab w:leader="none" w:pos="2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weaker movie slate due to the negative impacts of the 2023 Hollywood Strikes, (ii) decreased U.S. and New Zealand property rent revenue, in part due to loss of third party rent revenue from our Culver City Office building, due to the abandonment by that tenant of their premises at the building in July 2023 (we subsequently sold the property in February 2024), (iii) lower U.S. live theatre revenue, and (iv) a softening of the AU/NZ foreign exchange rates.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 for the six months ended June 30, 2024, decreased by $19.0 million, to $91.9 million, when compared to the same period in the prior year. This decrease is attributable to lower cinema performances in all countries, as a result of a weaker film slate and a decline in attendance, and reduced rent income in the U.S. and New Zealand.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Operating Income/(Loss)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total segment operating income for the quarter ended June 30, 2024, decreased by $9.4 million, from a gain of $5.8 million to a loss of $3.7 million, primarily due to a weaker film slate, and lower U.S. and NZ rent revenue.</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total segment operating income for the six months ended June 30, 2024, decreased by $9.1 million, from an income of $2.2 million to a loss of $6.9 million, primarily due to (i) weakened cinema performance, as attendance declined year-over-year, (ii) a loss in third party rent revenue as the result of the abandonment of the third party tenant of its premises in July 2023, and (iii) an increase in general and administrative expenses.</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second quarter of 2024, both the Australia and New Zealand dollars devalued against the U.S. dollar. The average Australia dollar exchange rate against the U.S. dollar for the second quarter of 2024 decreased 1.3% compared to the same period in 2023. The average New Zealand dollar exchange rate against the U.S. dollar for the second quarter of 2024 decreased 2.1% compared to the same period in 2023. The devaluation of the Australia and New Zealand currencies negatively impacts segment operating income and positively impacts segment operating loss in U.S. dollar terms.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Income/(Loss)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net loss attributable to Reading International, Inc. for the quarter ended June 30, 2024, increased by $10.0 million, from a loss of $2.8 million to a loss of $12.8 million, when compared to the same period in the prior year, primarily due to weakened cinema and real estate performance along with increased interest expense.</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net loss attributable to Reading International, Inc. increased by $12.1 million, from a loss of $13.9 million to a loss of $26.0 million, when compared to the same period in the prior year primarily due to decreased segment results, increased interest expense, and a loss on the sale of our Culver City office building.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for the three months ended June 30, 2024, increased by $0.1 million compared to the equivalent prior-year period. The change between 2024 and 2023 is primarily related to an increase in pretax loss in 2024, offset by an increase in reserve for valuation allowance in 2024.</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 benefit for the six months ended June 30, 2024, decreased by $0.2 million compared to the equivalent prior-year period. The change between 2024 and 2023 is primarily related to an increase in reserve for valuation allowance in 2024, partially offset by an increase in pretax loss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Business Segment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Cinema Exhibition</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details our cinema exhibition segment operating results for the quarter and six months ended June 30, 2024, and June 30, 2023,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B7DEE8"/>
            </w:tcBorders>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B7DEE8"/>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2"/>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Fav/(Unfav)</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4"/>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5"/>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11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12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80" w:type="dxa"/>
            <w:vAlign w:val="bottom"/>
          </w:tcPr>
          <w:p>
            <w:pPr>
              <w:spacing w:after="0"/>
              <w:rPr>
                <w:sz w:val="24"/>
                <w:szCs w:val="24"/>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74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Six Months Ended</w:t>
            </w: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12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74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Ended‎</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(As Restated)</w:t>
            </w: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(As Restated)</w:t>
            </w: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11,681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27%</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18,712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23,922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28%</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30,755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7,452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11,998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14,413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19,445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19%</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3,307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5,626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21,480</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50%</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34,017</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42,785</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55,826</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54%</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w:t>
            </w: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10,851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25%</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14,138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21,113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25%</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24,509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6,348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15%</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7,526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12,114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13,160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1,344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2,640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18,543</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43%</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22,940</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35,867</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40,151</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39%</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w:t>
            </w: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2,516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3,344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4,321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1,923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2,391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2,918</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4,101</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5,561</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7,065</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w:t>
            </w: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42,941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100%</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61,058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84,213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103,042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0" w:type="dxa"/>
            <w:vAlign w:val="bottom"/>
          </w:tcPr>
          <w:p>
            <w:pPr>
              <w:spacing w:after="0"/>
              <w:rPr>
                <w:sz w:val="1"/>
                <w:szCs w:val="1"/>
                <w:color w:val="auto"/>
              </w:rPr>
            </w:pPr>
          </w:p>
        </w:tc>
      </w:tr>
      <w:tr>
        <w:trPr>
          <w:trHeight w:val="136"/>
        </w:trPr>
        <w:tc>
          <w:tcPr>
            <w:tcW w:w="4140" w:type="dxa"/>
            <w:vAlign w:val="bottom"/>
            <w:tcBorders>
              <w:top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(6,272)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15%</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(10,450)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(12,411)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15%</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(16,689)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16%</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(2,012)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(3,149)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(3,918)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(5,130)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(6,545)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15%</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(6,389)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(12,333)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(12,503)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(9,089)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(10,893)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(18,097)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(20,791)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(23,918)</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56%</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(30,881)</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(46,759)</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56%</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(55,113)</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53%</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w:t>
            </w: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(4,947)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12%</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(6,704)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(9,395)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(11,070)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(1,528)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(2,709)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(2,737)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(4,538)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(4,480)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(8,940)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(8,771)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(6,163)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(5,707)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(12,324)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(11,528)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(17,083)</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40%</w:t>
            </w: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(18,419)</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(33,368)</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40%</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(34,106)</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33%</w:t>
            </w:r>
          </w:p>
        </w:tc>
        <w:tc>
          <w:tcPr>
            <w:tcW w:w="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(1,974)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(1,543)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(1,565)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(1,141)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(1,041)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(2,242)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(2,266)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(2,901)</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(3,284)</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(5,649)</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(6,263)</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6%</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w:t>
            </w:r>
          </w:p>
        </w:tc>
        <w:tc>
          <w:tcPr>
            <w:tcW w:w="8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(43,902)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102%</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(52,584)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(85,776)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102%</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(95,482)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93%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r>
        <w:trPr>
          <w:trHeight w:val="156"/>
        </w:trPr>
        <w:tc>
          <w:tcPr>
            <w:tcW w:w="4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DEPRECIATION, AMORTIZATION, IMPAIRMENT AND GENERAL</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ADMINISTRATIVE EXPENSE</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(1,579)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(2,521)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(3,062)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(1,372)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(1,989)</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w:t>
            </w: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(2,322)</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(3,893)</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(4,227)</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(1,192)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(2,382)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(2,419)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expense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(1,547)</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(1,537)</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(3,081)</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(3,187)</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expense</w:t>
            </w: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(112)</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(238)</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(287)</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(3,648)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8%</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(4,000)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(7,212)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9%</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(7,701)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48"/>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(LOSS) – CINEMA</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(4,427)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8"/>
              </w:rPr>
              <w:t>(10)%</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(7,867)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(9)%</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(3,514)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2,984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(582)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2,858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414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Total Cinema operating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8"/>
              </w:rPr>
              <w:t>(11)%</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4,474</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8"/>
              </w:rPr>
              <w:t>(10)%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(&gt;100)%</w:t>
            </w:r>
          </w:p>
        </w:tc>
        <w:tc>
          <w:tcPr>
            <w:tcW w:w="88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(&gt;100)%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Second Quarter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2024, cinema revenue decreased by $18.1 million, to $42.9 million compared to the same period in the prior year. This decrease was primarily due to (i) weaker movie slate as a result of the 2023 Hollywood Strikes, and (ii) weakening of AU/NZ foreign exchange rates.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p>
      <w:pPr>
        <w:jc w:val="both"/>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cinema revenue decreased by $18.8 million, to $84.2 million compared to the same period in the prior year. This decrease was primarily driven by (i) weaker movie slates, and (ii) and lower Average Ticket Price in AU and NZ, along with (iii) a weakening of AU/NZ foreign exchange rates. This was offset by a higher Average Ticket Price in the U.S and higher F&amp;B per capita in Australia.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Segment Operating Income/(Loss)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Cinema segment operating income for the quarter ended June 30, 2024, decreased by $9.1 million, from an income of $4.5 million to a loss of $4.6 million when compared to the same period in the prior year. This decline of Operating Income is due to a decrease in cinema revenue for all countries as a result of the 2023 Hollywood Strikes.</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Cinema segment operating loss for the six months ended June 30, 2024, increased by $8.6 million, to a loss of $8.8 million when compared to the same period in the prior year primarily due to the same reasons as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Operating expenses for the quarter ended June 30, 2024, decreased by $8.7 million, to $43.9 million, compared to the same quarter in the prior year. Operating expenses for the six months ended June 30, 2024, decreased by $9.7 million, to $85.8 million, compared to the same time period in the prior year. These decreases were due to, decreased film rent expense, decreased food &amp; beverage cost, and decreased U.S. occupancy costs offset by increased Australia occupancy and other operating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real estate segment operating results for the quarters and six months ended June 30, 2024 and June 30, 2023,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2"/>
          </w:tcPr>
          <w:p>
            <w:pPr>
              <w:jc w:val="right"/>
              <w:ind w:right="398"/>
              <w:spacing w:after="0"/>
              <w:rPr>
                <w:sz w:val="20"/>
                <w:szCs w:val="20"/>
                <w:color w:val="auto"/>
              </w:rPr>
            </w:pPr>
            <w:r>
              <w:rPr>
                <w:rFonts w:ascii="Times New Roman" w:cs="Times New Roman" w:eastAsia="Times New Roman" w:hAnsi="Times New Roman"/>
                <w:sz w:val="9"/>
                <w:szCs w:val="9"/>
                <w:b w:val="1"/>
                <w:bCs w:val="1"/>
                <w:color w:val="auto"/>
              </w:rPr>
              <w:t>% Change</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Borders>
              <w:bottom w:val="single" w:sz="8" w:color="auto"/>
            </w:tcBorders>
            <w:gridSpan w:val="2"/>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Fav/(Unfav)</w:t>
            </w:r>
          </w:p>
        </w:tc>
        <w:tc>
          <w:tcPr>
            <w:tcW w:w="0" w:type="dxa"/>
            <w:vAlign w:val="bottom"/>
          </w:tcPr>
          <w:p>
            <w:pPr>
              <w:spacing w:after="0"/>
              <w:rPr>
                <w:sz w:val="1"/>
                <w:szCs w:val="1"/>
                <w:color w:val="auto"/>
              </w:rPr>
            </w:pPr>
          </w:p>
        </w:tc>
      </w:tr>
      <w:tr>
        <w:trPr>
          <w:trHeight w:val="81"/>
        </w:trPr>
        <w:tc>
          <w:tcPr>
            <w:tcW w:w="16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b w:val="1"/>
                <w:bCs w:val="1"/>
                <w:color w:val="auto"/>
              </w:rPr>
              <w:t>June 30,</w:t>
            </w:r>
          </w:p>
        </w:tc>
        <w:tc>
          <w:tcPr>
            <w:tcW w:w="440" w:type="dxa"/>
            <w:vAlign w:val="bottom"/>
          </w:tcPr>
          <w:p>
            <w:pPr>
              <w:ind w:left="12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 of</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b w:val="1"/>
                <w:bCs w:val="1"/>
                <w:color w:val="auto"/>
              </w:rPr>
              <w:t>June 30,</w:t>
            </w:r>
          </w:p>
        </w:tc>
        <w:tc>
          <w:tcPr>
            <w:tcW w:w="48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 of</w:t>
            </w: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Times New Roman" w:cs="Times New Roman" w:eastAsia="Times New Roman" w:hAnsi="Times New Roman"/>
                <w:sz w:val="9"/>
                <w:szCs w:val="9"/>
                <w:b w:val="1"/>
                <w:bCs w:val="1"/>
                <w:color w:val="auto"/>
              </w:rPr>
              <w:t>June 30,</w:t>
            </w:r>
          </w:p>
        </w:tc>
        <w:tc>
          <w:tcPr>
            <w:tcW w:w="460" w:type="dxa"/>
            <w:vAlign w:val="bottom"/>
          </w:tcPr>
          <w:p>
            <w:pPr>
              <w:ind w:left="120"/>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 of</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tcPr>
          <w:p>
            <w:pPr>
              <w:ind w:left="60"/>
              <w:spacing w:after="0" w:line="81" w:lineRule="exact"/>
              <w:rPr>
                <w:sz w:val="20"/>
                <w:szCs w:val="20"/>
                <w:color w:val="auto"/>
              </w:rPr>
            </w:pPr>
            <w:r>
              <w:rPr>
                <w:rFonts w:ascii="Times New Roman" w:cs="Times New Roman" w:eastAsia="Times New Roman" w:hAnsi="Times New Roman"/>
                <w:sz w:val="9"/>
                <w:szCs w:val="9"/>
                <w:b w:val="1"/>
                <w:bCs w:val="1"/>
                <w:color w:val="auto"/>
              </w:rPr>
              <w:t>June 30,</w:t>
            </w:r>
          </w:p>
        </w:tc>
        <w:tc>
          <w:tcPr>
            <w:tcW w:w="48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i w:val="1"/>
                <w:iCs w:val="1"/>
                <w:color w:val="auto"/>
              </w:rPr>
              <w:t>% of</w:t>
            </w: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Quarter Ended</w:t>
            </w:r>
          </w:p>
        </w:tc>
        <w:tc>
          <w:tcPr>
            <w:tcW w:w="60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Six Months</w:t>
            </w:r>
          </w:p>
        </w:tc>
        <w:tc>
          <w:tcPr>
            <w:tcW w:w="0" w:type="dxa"/>
            <w:vAlign w:val="bottom"/>
          </w:tcPr>
          <w:p>
            <w:pPr>
              <w:spacing w:after="0"/>
              <w:rPr>
                <w:sz w:val="1"/>
                <w:szCs w:val="1"/>
                <w:color w:val="auto"/>
              </w:rPr>
            </w:pPr>
          </w:p>
        </w:tc>
      </w:tr>
      <w:tr>
        <w:trPr>
          <w:trHeight w:val="156"/>
        </w:trPr>
        <w:tc>
          <w:tcPr>
            <w:tcW w:w="162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14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Pr>
          <w:p>
            <w:pPr>
              <w:ind w:left="40"/>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740" w:type="dxa"/>
            <w:vAlign w:val="bottom"/>
            <w:vMerge w:val="continue"/>
          </w:tcPr>
          <w:p>
            <w:pPr>
              <w:spacing w:after="0"/>
              <w:rPr>
                <w:sz w:val="13"/>
                <w:szCs w:val="13"/>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Ended</w:t>
            </w: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Live theatre rental and ancillary income</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8%</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36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828</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8%</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906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1,067</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1,268</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24%</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2,139</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2,483</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24%</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1,483</w:t>
            </w:r>
          </w:p>
        </w:tc>
        <w:tc>
          <w:tcPr>
            <w:tcW w:w="4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30%</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1,834</w:t>
            </w:r>
          </w:p>
        </w:tc>
        <w:tc>
          <w:tcPr>
            <w:tcW w:w="4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35%</w:t>
            </w: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2,967</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30%</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3,389</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33%</w:t>
            </w: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3,177</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63%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2,991</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57%</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6,261</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6,128</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60%</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353</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392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718</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765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revenue</w:t>
            </w:r>
          </w:p>
        </w:tc>
        <w:tc>
          <w:tcPr>
            <w:tcW w:w="27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5,013</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100%</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5,217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36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9,946</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10,282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6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35"/>
        </w:trPr>
        <w:tc>
          <w:tcPr>
            <w:tcW w:w="16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2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Live theatre cost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36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(778)</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6%</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(798)</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12%</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(1,644)</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(1,502)</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15%</w:t>
            </w: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(593)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(1,172)</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(1,105)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(478)</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(489)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9%</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(967)</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(972)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(1,129)</w:t>
            </w:r>
          </w:p>
        </w:tc>
        <w:tc>
          <w:tcPr>
            <w:tcW w:w="4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23%</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w:t>
            </w:r>
          </w:p>
        </w:tc>
        <w:tc>
          <w:tcPr>
            <w:tcW w:w="4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21%</w:t>
            </w: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(2,139)</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22%</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(2,077)</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11%</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(376)</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(913)</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9%</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(740)</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27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(2,461)</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49%</w:t>
            </w:r>
          </w:p>
        </w:tc>
        <w:tc>
          <w:tcPr>
            <w:tcW w:w="16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(2,104)</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40%</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(4,696)</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47%</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(4,319)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42%</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w:t>
            </w:r>
          </w:p>
        </w:tc>
        <w:tc>
          <w:tcPr>
            <w:tcW w:w="0" w:type="dxa"/>
            <w:vAlign w:val="bottom"/>
          </w:tcPr>
          <w:p>
            <w:pPr>
              <w:spacing w:after="0"/>
              <w:rPr>
                <w:sz w:val="1"/>
                <w:szCs w:val="1"/>
                <w:color w:val="auto"/>
              </w:rPr>
            </w:pPr>
          </w:p>
        </w:tc>
      </w:tr>
      <w:tr>
        <w:trPr>
          <w:trHeight w:val="88"/>
        </w:trPr>
        <w:tc>
          <w:tcPr>
            <w:tcW w:w="4380" w:type="dxa"/>
            <w:vAlign w:val="bottom"/>
            <w:tcBorders>
              <w:top w:val="single" w:sz="8" w:color="CCEEFF"/>
            </w:tcBorders>
            <w:gridSpan w:val="2"/>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DEPRECIATION, AMORTIZATION, GENERAL AND ADMINISTRATIVE</w:t>
            </w: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40" w:type="dxa"/>
            <w:vAlign w:val="bottom"/>
            <w:tcBorders>
              <w:top w:val="single" w:sz="8" w:color="CCEEFF"/>
            </w:tcBorders>
          </w:tcPr>
          <w:p>
            <w:pPr>
              <w:spacing w:after="0"/>
              <w:rPr>
                <w:sz w:val="7"/>
                <w:szCs w:val="7"/>
                <w:color w:val="auto"/>
              </w:rPr>
            </w:pPr>
          </w:p>
        </w:tc>
        <w:tc>
          <w:tcPr>
            <w:tcW w:w="6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(677)</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14%</w:t>
            </w:r>
          </w:p>
        </w:tc>
        <w:tc>
          <w:tcPr>
            <w:tcW w:w="16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15%</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(1,416)</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14%</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(1,534)</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(889)</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(955)</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18%</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(1,896)</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19%</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(1,871)</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12%</w:t>
            </w:r>
          </w:p>
        </w:tc>
        <w:tc>
          <w:tcPr>
            <w:tcW w:w="36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(1,142)</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(1,283)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12%</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(587)</w:t>
            </w:r>
          </w:p>
        </w:tc>
        <w:tc>
          <w:tcPr>
            <w:tcW w:w="4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12%</w:t>
            </w: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(684)</w:t>
            </w:r>
          </w:p>
        </w:tc>
        <w:tc>
          <w:tcPr>
            <w:tcW w:w="4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13%</w:t>
            </w: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(1,201)</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12%</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(1,412)</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14%</w:t>
            </w: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w:t>
            </w: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0" w:type="dxa"/>
            <w:vAlign w:val="bottom"/>
          </w:tcPr>
          <w:p>
            <w:pPr>
              <w:spacing w:after="0"/>
              <w:rPr>
                <w:sz w:val="1"/>
                <w:szCs w:val="1"/>
                <w:color w:val="auto"/>
              </w:rPr>
            </w:pPr>
          </w:p>
        </w:tc>
      </w:tr>
      <w:tr>
        <w:trPr>
          <w:trHeight w:val="142"/>
        </w:trPr>
        <w:tc>
          <w:tcPr>
            <w:tcW w:w="43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(1,606)</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32%</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(1,827)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35%</w:t>
            </w:r>
          </w:p>
        </w:tc>
        <w:tc>
          <w:tcPr>
            <w:tcW w:w="36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(3,413)</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34%</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(3,672)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36%</w:t>
            </w:r>
          </w:p>
        </w:tc>
        <w:tc>
          <w:tcPr>
            <w:tcW w:w="60" w:type="dxa"/>
            <w:vAlign w:val="bottom"/>
          </w:tcPr>
          <w:p>
            <w:pPr>
              <w:spacing w:after="0"/>
              <w:rPr>
                <w:sz w:val="12"/>
                <w:szCs w:val="12"/>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135"/>
        </w:trPr>
        <w:tc>
          <w:tcPr>
            <w:tcW w:w="438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 (LOSS) - REAL ESTATE</w:t>
            </w: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16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36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(573)</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(6)%</w:t>
            </w:r>
          </w:p>
        </w:tc>
        <w:tc>
          <w:tcPr>
            <w:tcW w:w="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1,461</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1,225</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23%</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2,921</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2,639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26%</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(311)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5"/>
        </w:trPr>
        <w:tc>
          <w:tcPr>
            <w:tcW w:w="438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Total real estate operating income (loss)</w:t>
            </w: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1,286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25%</w:t>
            </w: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w:t>
            </w:r>
          </w:p>
        </w:tc>
        <w:tc>
          <w:tcPr>
            <w:tcW w:w="60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Second Quarter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Real estate revenue for the quarter ended June 30, 2024, decreased slightly by $0.2 million, to $5.0 million, compared to the same period in the prior year. This rent revenue decrease was primarily due to intercompany rent income loss from the sale of our Maitland property in the fourth quarter of 2023 and the third party and intercompany rent income loss from our Culver City headquarter building due to the abandonment by that tenant of their premises at the building in July 2023 (we subsequently sold the property in February 2024). Additionally, as a result of the Orpheum Theater being “dark” for May and June 2024, there was a decrease in Live theater rental and ancillary income contributing to the real estate revenue being $0.2 million lower compared to the same period in the prior year.</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real estate revenue decreased by $0.3 million, to $9.9 million, compared to the same period in the prior year. Aligning with the second quarter of 2024, the small decrease was due to the decrease in U.S. rental income, partially offset by the increase in rental income in Australia.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 Income/(Loss)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Real estate segment operating income for the quarter ended June 30, 2024 decreased by $0.3 million to $0.9 million, compared to the same period in the prior year. This change was primarily due to the loss in income from the sale of our (i) Culver City office building in February 2024 and (ii) Maitland (NSW) property in October 2023.</w:t>
      </w:r>
    </w:p>
    <w:p>
      <w:pPr>
        <w:spacing w:after="0" w:line="157"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real estate segment operating income decreased by $0.5 million, to $1.8 million, compared to the same period in the prior year. This decrease in operating income was due to reduction in U.S. and NZ’s rental income. This decrease was similarly driven by the loss of income from the sale of our (i) Culver City office building in February 2024 and (ii) Maitland (NSW) property sold in October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Financing Strategy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However, disruptions to our cinema cash flow caused by the (i) COVID-19 pandemic and government efforts to address the pandemic, (ii) the historic rise in interest rates and inflation which occurred following the pandemic and (iii) the 2023 Hollywood Strikes, we have needed to defer capital expenditures and to rely on borrowings and the proceeds of asset monetizations to cover our costs of operations, pay interest expense and pay down debt. Since March 31, 2020, we have paid down our institutional debt by $52.6 million.</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we are doing everything that can reasonably be done, and that, generally speaking, our relationships with our lenders are good.</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our Company believes that there will be recovery in the global cinema business, we still face macroeconomic headwinds such as increased interest rates, inflation, supply chain issues and increased film rent, labor and operating costs, many of which are beyond our control. We are closely monitoring our debt maturity dates to arrange necessary amendments. As of June 30, 2024, we have debt of $58.8 million coming due in the next 12 months.</w:t>
      </w:r>
    </w:p>
    <w:p>
      <w:pPr>
        <w:spacing w:after="0" w:line="1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(such as additional borrowings). In February 2024, we sold our Culver City office building for $10.0 million. While we incurred a loss of $1.1 million on the transaction, we were able to reduce debt by $8.4 million and to free up cash in the amount of $1.2 million which was used to support operational activities. Further, due to the scope and extent of office vacancies in Los Angeles County, we anticipate that we will be able to save approximately $1.5 million between now and the end of 2025 by moving to other premises. We listed as an asset held for sale our industrial property in Williamsport, Pennsylvania. This property was historically used as a rail yard, and, accordingly, has direct access to the area’s rail system. We carry the property on our books at a book value (the lower of cost or market, as opposed to fair market value) of $0.5 million. This asset was selected since it is currently for our Company non-income producing and, based on recent appraisals, we believe that it would free up amounts of cash.</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further bolster our liquidity and capital resources, in this second quarter 2024, we have classified our Cannon Park property in Townsville, Australia and our Wellington property assemblage in New Zealand, with book values of $18.8 million and $17.2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3" w:name="page44"/>
    <w:bookmarkEnd w:id="43"/>
    <w:p>
      <w:pPr>
        <w:spacing w:after="0" w:line="238" w:lineRule="auto"/>
        <w:rPr>
          <w:sz w:val="20"/>
          <w:szCs w:val="20"/>
          <w:color w:val="auto"/>
        </w:rPr>
      </w:pPr>
      <w:r>
        <w:rPr>
          <w:rFonts w:ascii="Times New Roman" w:cs="Times New Roman" w:eastAsia="Times New Roman" w:hAnsi="Times New Roman"/>
          <w:sz w:val="18"/>
          <w:szCs w:val="18"/>
          <w:color w:val="auto"/>
        </w:rPr>
        <w:t>respectively, as properties held for sale. Our Wellington assemblage consists of five parcels aggregating 161,082 square feet located in the entertainment center of Wellington and within walking distance of the Wellington harbor. We are also looking to monetize the land under certain of our other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cinemas, while retaining leases of the cinemas located upon such parcels.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our borrowings, please refer to </w:t>
      </w:r>
      <w:r>
        <w:rPr>
          <w:rFonts w:ascii="Times New Roman" w:cs="Times New Roman" w:eastAsia="Times New Roman" w:hAnsi="Times New Roman"/>
          <w:sz w:val="18"/>
          <w:szCs w:val="18"/>
          <w:i w:val="1"/>
          <w:iCs w:val="1"/>
          <w:color w:val="auto"/>
        </w:rPr>
        <w:t>Part I – Financial Information, Item 1 – Notes to Consolidated Financial Statements-- Note 12</w:t>
      </w:r>
    </w:p>
    <w:p>
      <w:pPr>
        <w:spacing w:after="0" w:line="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 For more information about our efforts to manage our liquidity issues, see</w:t>
      </w:r>
      <w:r>
        <w:rPr>
          <w:rFonts w:ascii="Times New Roman" w:cs="Times New Roman" w:eastAsia="Times New Roman" w:hAnsi="Times New Roman"/>
          <w:sz w:val="18"/>
          <w:szCs w:val="18"/>
          <w:i w:val="1"/>
          <w:iCs w:val="1"/>
          <w:color w:val="auto"/>
        </w:rPr>
        <w:t xml:space="preserve"> Part I- Financial Information, Item 1 – Notes to Consolidated Financial Statements – Note 3 – Liquidity and Impairment Assessment.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six months ended June 30, 2024, and June 30, 2023, respectively, are discussed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(13,157)</w:t>
            </w:r>
          </w:p>
        </w:tc>
        <w:tc>
          <w:tcPr>
            <w:tcW w:w="1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(8,808)</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7,398</w:t>
            </w:r>
          </w:p>
        </w:tc>
        <w:tc>
          <w:tcPr>
            <w:tcW w:w="36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(3,430)</w:t>
            </w:r>
          </w:p>
        </w:tc>
        <w:tc>
          <w:tcPr>
            <w:tcW w:w="11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(712)</w:t>
            </w:r>
          </w:p>
        </w:tc>
        <w:tc>
          <w:tcPr>
            <w:tcW w:w="11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Effect of exchange rate on cash and restricted cash</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(188)</w:t>
            </w:r>
          </w:p>
        </w:tc>
        <w:tc>
          <w:tcPr>
            <w:tcW w:w="11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(4,714)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(13,138)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2024, increased by $4.3 million, to $13.2 million compared to cash used in the same period of prior year of $8.8 million. This was primarily driven by an increase in Net Loss and offset by an operating liabilities increase from accounts payable.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Cash provided in investing activities during the six months ended June 30, 2024 was $7.4 million compared to cash used in the same period of prior year of $3.4 million. This was due to $9.7 million proceeds from sale of the Culver City office building in February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Cash provided in financing activities for the six months ended June 30, 2024, increased by $1.8 million, to $1.1 million compared to cash used in the same prior year period. This was primarily due to the new bridge loan of $13.0 million from NAB on April 10, 2024, partially offset by the payoff of the Citizens loan of $8.4 million, following the sale of the Culver City office buildings and additional $0.3 million debt repayments that was required when our Bank of America Credit Facility was amended on March 27, 2024.</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changes in our total available resources (cash and borrowings), debt-to-equity ratio, working capital, and other relevant information addressing our liquidity for the six months ended June 30, 2024, and preceding four years: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6‎-Months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2"/>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Resources (cash and borrowings)</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(unrestricted)</w:t>
            </w:r>
          </w:p>
        </w:tc>
        <w:tc>
          <w:tcPr>
            <w:tcW w:w="7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Unused borrowing facility</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15,490</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for capital projects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0" w:type="dxa"/>
            <w:vAlign w:val="bottom"/>
          </w:tcPr>
          <w:p>
            <w:pPr>
              <w:spacing w:after="0"/>
              <w:rPr>
                <w:sz w:val="1"/>
                <w:szCs w:val="1"/>
                <w:color w:val="auto"/>
              </w:rPr>
            </w:pPr>
          </w:p>
        </w:tc>
      </w:tr>
      <w:tr>
        <w:trPr>
          <w:trHeight w:val="175"/>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Unrestricted capacity</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resources at period end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42,316</w:t>
            </w:r>
          </w:p>
        </w:tc>
        <w:tc>
          <w:tcPr>
            <w:tcW w:w="0" w:type="dxa"/>
            <w:vAlign w:val="bottom"/>
          </w:tcPr>
          <w:p>
            <w:pPr>
              <w:spacing w:after="0"/>
              <w:rPr>
                <w:sz w:val="1"/>
                <w:szCs w:val="1"/>
                <w:color w:val="auto"/>
              </w:rPr>
            </w:pPr>
          </w:p>
        </w:tc>
      </w:tr>
      <w:tr>
        <w:trPr>
          <w:trHeight w:val="176"/>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unrestricted resources at period end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Debt-to-Equity Ratio</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contractual facility</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218,277</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218,159</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227,633</w:t>
            </w:r>
          </w:p>
        </w:tc>
        <w:tc>
          <w:tcPr>
            <w:tcW w:w="4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248,948</w:t>
            </w:r>
          </w:p>
        </w:tc>
        <w:tc>
          <w:tcPr>
            <w:tcW w:w="100" w:type="dxa"/>
            <w:vAlign w:val="bottom"/>
          </w:tcPr>
          <w:p>
            <w:pPr>
              <w:spacing w:after="0"/>
              <w:rPr>
                <w:sz w:val="15"/>
                <w:szCs w:val="15"/>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300,449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debt (gross of deferred financing costs)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284,959</w:t>
            </w:r>
          </w:p>
        </w:tc>
        <w:tc>
          <w:tcPr>
            <w:tcW w:w="0" w:type="dxa"/>
            <w:vAlign w:val="bottom"/>
          </w:tcPr>
          <w:p>
            <w:pPr>
              <w:spacing w:after="0"/>
              <w:rPr>
                <w:sz w:val="1"/>
                <w:szCs w:val="1"/>
                <w:color w:val="auto"/>
              </w:rPr>
            </w:pPr>
          </w:p>
        </w:tc>
      </w:tr>
      <w:tr>
        <w:trPr>
          <w:trHeight w:val="175"/>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Non-current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177,607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242,660</w:t>
            </w:r>
          </w:p>
        </w:tc>
        <w:tc>
          <w:tcPr>
            <w:tcW w:w="0" w:type="dxa"/>
            <w:vAlign w:val="bottom"/>
          </w:tcPr>
          <w:p>
            <w:pPr>
              <w:spacing w:after="0"/>
              <w:rPr>
                <w:sz w:val="1"/>
                <w:szCs w:val="1"/>
                <w:color w:val="auto"/>
              </w:rPr>
            </w:pPr>
          </w:p>
        </w:tc>
      </w:tr>
      <w:tr>
        <w:trPr>
          <w:trHeight w:val="176"/>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book equity</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81,173</w:t>
            </w: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Debt-to-equity ratio</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Working Capital</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line="216" w:lineRule="exact"/>
              <w:rPr>
                <w:sz w:val="20"/>
                <w:szCs w:val="20"/>
                <w:color w:val="auto"/>
              </w:rPr>
            </w:pPr>
            <w:r>
              <w:rPr>
                <w:rFonts w:ascii="Times New Roman" w:cs="Times New Roman" w:eastAsia="Times New Roman" w:hAnsi="Times New Roman"/>
                <w:sz w:val="14"/>
                <w:szCs w:val="14"/>
                <w:color w:val="auto"/>
              </w:rPr>
              <w:t>Working capital (deficit)</w:t>
            </w:r>
            <w:r>
              <w:rPr>
                <w:rFonts w:ascii="Times New Roman" w:cs="Times New Roman" w:eastAsia="Times New Roman" w:hAnsi="Times New Roman"/>
                <w:sz w:val="23"/>
                <w:szCs w:val="23"/>
                <w:color w:val="auto"/>
                <w:vertAlign w:val="superscript"/>
              </w:rPr>
              <w:t>(1)</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(93,252)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(88,373)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(74,152)</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(6,673)</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ratio</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 (including acquisitions)</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40" w:type="dxa"/>
            <w:vAlign w:val="bottom"/>
          </w:tcPr>
          <w:p>
            <w:pPr>
              <w:spacing w:after="0"/>
              <w:rPr>
                <w:sz w:val="16"/>
                <w:szCs w:val="16"/>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00" w:type="dxa"/>
            <w:vAlign w:val="bottom"/>
          </w:tcPr>
          <w:p>
            <w:pPr>
              <w:spacing w:after="0"/>
              <w:rPr>
                <w:sz w:val="16"/>
                <w:szCs w:val="16"/>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0" w:type="dxa"/>
            <w:vAlign w:val="bottom"/>
          </w:tcPr>
          <w:p>
            <w:pPr>
              <w:spacing w:after="0"/>
              <w:rPr>
                <w:sz w:val="1"/>
                <w:szCs w:val="1"/>
                <w:color w:val="auto"/>
              </w:rPr>
            </w:pPr>
          </w:p>
        </w:tc>
      </w:tr>
      <w:tr>
        <w:trPr>
          <w:trHeight w:val="419"/>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660" w:right="20"/>
        <w:spacing w:after="0" w:line="281" w:lineRule="auto"/>
        <w:rPr>
          <w:sz w:val="20"/>
          <w:szCs w:val="20"/>
          <w:color w:val="auto"/>
        </w:rPr>
      </w:pPr>
      <w:r>
        <w:rPr>
          <w:rFonts w:ascii="Times New Roman" w:cs="Times New Roman" w:eastAsia="Times New Roman" w:hAnsi="Times New Roman"/>
          <w:sz w:val="14"/>
          <w:szCs w:val="14"/>
          <w:color w:val="auto"/>
        </w:rPr>
        <w:t>Our working capital is reported as a deficit, as we receive revenue from our cinema business ahead of the time that we have to pay our associated liabilities. We use the money we receive to pay down our borrowings in the first instance.</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2024, we had $9.2 million in unrestricted cash and cash equivalents compared to $12.9 million on December 31, 2023. On June 30, 2024, our total outstanding borrowings were $210.4 million compared to $210.3 million on December 31, 2023.</w:t>
      </w:r>
    </w:p>
    <w:p>
      <w:pPr>
        <w:spacing w:after="0" w:line="20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maturities and scheduled principal repayments of our recorded contractual obligations and certain of our commitments and contingencies, either recorded or off-balance sheet, as of June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3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31,855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87,688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62,764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182,307</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 including imputed interest</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30,207</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29,007</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26,751</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23,446</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21,288</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112,162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242,861</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 including imputed interest</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Subordinated debt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27,913</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28,111</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liability</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pension liability</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Estimated interest on debt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9,346</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10,737</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5,238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1,313</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26,634</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Village East purchase option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5,900</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r>
      <w:tr>
        <w:trPr>
          <w:trHeight w:val="163"/>
        </w:trPr>
        <w:tc>
          <w:tcPr>
            <w:tcW w:w="320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77,892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128,138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95,437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53,356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112,616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489,410</w:t>
            </w:r>
          </w:p>
        </w:tc>
      </w:tr>
    </w:tbl>
    <w:p>
      <w:pPr>
        <w:spacing w:after="0" w:line="7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presented gross of deferred financing costs.</w:t>
      </w:r>
    </w:p>
    <w:p>
      <w:pPr>
        <w:spacing w:after="0" w:line="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on debt is based on the anticipated loan balances for future periods and current applicable interest rates.</w:t>
      </w:r>
    </w:p>
    <w:p>
      <w:pPr>
        <w:spacing w:after="0" w:line="1" w:lineRule="exact"/>
        <w:rPr>
          <w:rFonts w:ascii="Times New Roman" w:cs="Times New Roman" w:eastAsia="Times New Roman" w:hAnsi="Times New Roman"/>
          <w:sz w:val="14"/>
          <w:szCs w:val="14"/>
          <w:color w:val="auto"/>
        </w:rPr>
      </w:pPr>
    </w:p>
    <w:p>
      <w:pPr>
        <w:ind w:left="660" w:hanging="328"/>
        <w:spacing w:after="0" w:line="239"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lease liability of the option associated with the ground lease purchase of the Village East Cinema, which on November 4, 2022, we modified to settle on or before July 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as required, have accrued estimates of probable and estimable losses for the resolution of these claims.</w:t>
      </w:r>
    </w:p>
    <w:p>
      <w:pPr>
        <w:spacing w:after="0" w:line="1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in our 2023 Form 10-K for more information. There have been no material changes to our litigation since our 2023 Form 10-K, except as set forth in </w:t>
      </w:r>
      <w:r>
        <w:rPr>
          <w:rFonts w:ascii="Times New Roman" w:cs="Times New Roman" w:eastAsia="Times New Roman" w:hAnsi="Times New Roman"/>
          <w:sz w:val="18"/>
          <w:szCs w:val="18"/>
          <w:i w:val="1"/>
          <w:iCs w:val="1"/>
          <w:color w:val="auto"/>
        </w:rPr>
        <w:t>Notes to Consolidated Financial Statements-- Note 15 – Commitments and Contingencies</w:t>
      </w:r>
      <w:r>
        <w:rPr>
          <w:rFonts w:ascii="Times New Roman" w:cs="Times New Roman" w:eastAsia="Times New Roman" w:hAnsi="Times New Roman"/>
          <w:sz w:val="18"/>
          <w:szCs w:val="18"/>
          <w:color w:val="auto"/>
        </w:rPr>
        <w:t xml:space="preserve"> included herein in </w:t>
      </w:r>
      <w:r>
        <w:rPr>
          <w:rFonts w:ascii="Times New Roman" w:cs="Times New Roman" w:eastAsia="Times New Roman" w:hAnsi="Times New Roman"/>
          <w:sz w:val="18"/>
          <w:szCs w:val="18"/>
          <w:i w:val="1"/>
          <w:iCs w:val="1"/>
          <w:color w:val="auto"/>
        </w:rPr>
        <w:t xml:space="preserve">Part I – Financial Information, Item 1 – Financial Statements </w:t>
      </w:r>
      <w:r>
        <w:rPr>
          <w:rFonts w:ascii="Times New Roman" w:cs="Times New Roman" w:eastAsia="Times New Roman" w:hAnsi="Times New Roman"/>
          <w:sz w:val="18"/>
          <w:szCs w:val="18"/>
          <w:color w:val="auto"/>
        </w:rPr>
        <w:t>on this Quarterly Report on Form 10-Q. This note sets out our litigation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47" w:lineRule="exact"/>
        <w:rPr>
          <w:sz w:val="20"/>
          <w:szCs w:val="20"/>
          <w:color w:val="auto"/>
        </w:rPr>
      </w:pPr>
    </w:p>
    <w:p>
      <w:pPr>
        <w:jc w:val="both"/>
        <w:ind w:left="660" w:hanging="4"/>
        <w:spacing w:after="0" w:line="233" w:lineRule="auto"/>
        <w:tabs>
          <w:tab w:leader="none" w:pos="898"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Long-lived Assets (other than Goodwill and Intangible Assets with indefinite lives) – </w:t>
      </w:r>
      <w:r>
        <w:rPr>
          <w:rFonts w:ascii="Times New Roman" w:cs="Times New Roman" w:eastAsia="Times New Roman" w:hAnsi="Times New Roman"/>
          <w:sz w:val="18"/>
          <w:szCs w:val="18"/>
          <w:color w:val="auto"/>
        </w:rPr>
        <w:t>we evaluate our long-lived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were recorded for long-lived and finite-lived intangible assets for the quarter ended June 30, 2024.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both"/>
        <w:ind w:left="660" w:hanging="4"/>
        <w:spacing w:after="0" w:line="236" w:lineRule="auto"/>
        <w:tabs>
          <w:tab w:leader="none" w:pos="958"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Goodwill and Intangible Assets with indefinite lives – </w:t>
      </w:r>
      <w:r>
        <w:rPr>
          <w:rFonts w:ascii="Times New Roman" w:cs="Times New Roman" w:eastAsia="Times New Roman" w:hAnsi="Times New Roman"/>
          <w:sz w:val="18"/>
          <w:szCs w:val="18"/>
          <w:color w:val="auto"/>
        </w:rPr>
        <w:t>goodwill and intangible assets with indefinite useful lives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were recorded for goodwill and indefinite-lived intangible assets for the quarter ended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beliefs regarding the future of the Reading Viaduct;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 our expectations regarding our ability timely monetize certain assets and to generate sufficient cash proceeds from such sales; and our expectations concerning our ability to negotiate arrangements with our landlords to abate and/or defer the payment of rent.</w:t>
      </w:r>
    </w:p>
    <w:p>
      <w:pPr>
        <w:spacing w:after="0" w:line="16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our cinema and live theatre operations: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reduced consumer demand due to inflationary pressures;</w:t>
      </w:r>
    </w:p>
    <w:p>
      <w:pPr>
        <w:spacing w:after="0" w:line="7" w:lineRule="exact"/>
        <w:rPr>
          <w:sz w:val="20"/>
          <w:szCs w:val="20"/>
          <w:color w:val="auto"/>
        </w:rPr>
      </w:pPr>
    </w:p>
    <w:p>
      <w:pPr>
        <w:ind w:left="980" w:right="20"/>
        <w:spacing w:after="0" w:line="227" w:lineRule="auto"/>
        <w:rPr>
          <w:sz w:val="20"/>
          <w:szCs w:val="20"/>
          <w:color w:val="auto"/>
        </w:rPr>
      </w:pPr>
      <w:r>
        <w:rPr>
          <w:rFonts w:ascii="Times New Roman" w:cs="Times New Roman" w:eastAsia="Times New Roman" w:hAnsi="Times New Roman"/>
          <w:sz w:val="18"/>
          <w:szCs w:val="18"/>
          <w:color w:val="auto"/>
        </w:rPr>
        <w:t>the adverse continuing effects of external events of the past COVID-19 pandemic and Hollywood Strikes on our Company’s results from operations, liquidity, cash flows, financial condition, and access to credit markets;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adverse continuing impact of the COVID-19 pandemic or other contagious diseases on short-term and/or long-term entertainment, leisure and discretionary spending habits and practices of our patrons;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attendance at our cinemas and theatres due to (i) increased ticket prices (ii) a change in consumer</w:t>
      </w:r>
    </w:p>
    <w:p>
      <w:pPr>
        <w:spacing w:after="0" w:line="7"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behavior in favor of alternative forms or mediums of entertainment, and (iii) limited availability of wide release content;</w:t>
      </w:r>
    </w:p>
    <w:p>
      <w:pPr>
        <w:ind w:left="980"/>
        <w:spacing w:after="0" w:line="234" w:lineRule="auto"/>
        <w:rPr>
          <w:sz w:val="20"/>
          <w:szCs w:val="20"/>
          <w:color w:val="auto"/>
        </w:rPr>
      </w:pPr>
      <w:r>
        <w:rPr>
          <w:rFonts w:ascii="Times New Roman" w:cs="Times New Roman" w:eastAsia="Times New Roman" w:hAnsi="Times New Roman"/>
          <w:sz w:val="18"/>
          <w:szCs w:val="18"/>
          <w:color w:val="auto"/>
        </w:rPr>
        <w:t>reduction in operating margins (or negative operating margins) due to (i) decreased attendance, (ii) limited availability of wide release content, and (iii.) increased operating expenses;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unwillingness of employees to report to work due to the adverse effects of contagious diseases or to otherwise conduct work under any revised work environment protocols;</w:t>
      </w:r>
    </w:p>
    <w:p>
      <w:pPr>
        <w:spacing w:after="0" w:line="1" w:lineRule="exact"/>
        <w:rPr>
          <w:sz w:val="20"/>
          <w:szCs w:val="20"/>
          <w:color w:val="auto"/>
        </w:rPr>
      </w:pPr>
    </w:p>
    <w:p>
      <w:pPr>
        <w:ind w:left="980" w:right="1800"/>
        <w:spacing w:after="0" w:line="248" w:lineRule="auto"/>
        <w:rPr>
          <w:sz w:val="20"/>
          <w:szCs w:val="20"/>
          <w:color w:val="auto"/>
        </w:rPr>
      </w:pPr>
      <w:r>
        <w:rPr>
          <w:rFonts w:ascii="Times New Roman" w:cs="Times New Roman" w:eastAsia="Times New Roman" w:hAnsi="Times New Roman"/>
          <w:sz w:val="17"/>
          <w:szCs w:val="17"/>
          <w:color w:val="auto"/>
        </w:rPr>
        <w:t>competition from cinema operators who have successfully used debtor laws to reduce their debt and/or rent exposure; the uncertainty as to the scope and extent of our government's responses to future outbreak of infectious diseases;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spacing w:after="0" w:line="1" w:lineRule="exact"/>
        <w:rPr>
          <w:sz w:val="20"/>
          <w:szCs w:val="20"/>
          <w:color w:val="auto"/>
        </w:rPr>
      </w:pPr>
    </w:p>
    <w:p>
      <w:pPr>
        <w:jc w:val="right"/>
        <w:ind w:left="980"/>
        <w:spacing w:after="0" w:line="234" w:lineRule="auto"/>
        <w:rPr>
          <w:sz w:val="20"/>
          <w:szCs w:val="20"/>
          <w:color w:val="auto"/>
        </w:rPr>
      </w:pPr>
      <w:r>
        <w:rPr>
          <w:rFonts w:ascii="Times New Roman" w:cs="Times New Roman" w:eastAsia="Times New Roman" w:hAnsi="Times New Roman"/>
          <w:sz w:val="18"/>
          <w:szCs w:val="18"/>
          <w:color w:val="auto"/>
        </w:rPr>
        <w:t>the number and attractiveness to moviegoers of the films released in future periods, and potential changes in release dates for motion pictures; the lack of availability of films in the short- or long-term as a result of (i) major film distributors releasing scheduled films on alternative channels or (ii) disruptions of film production or (iii) rescheduling of movie releases into later periods, as most currently experienced due to</w:t>
      </w:r>
    </w:p>
    <w:p>
      <w:pPr>
        <w:spacing w:after="0" w:line="2"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effects of the 2023 Hollywood Strikes;</w:t>
      </w:r>
    </w:p>
    <w:p>
      <w:pPr>
        <w:ind w:left="660"/>
        <w:spacing w:after="0" w:line="234" w:lineRule="auto"/>
        <w:rPr>
          <w:sz w:val="20"/>
          <w:szCs w:val="20"/>
          <w:color w:val="auto"/>
        </w:rPr>
      </w:pPr>
      <w:r>
        <w:rPr>
          <w:rFonts w:ascii="Times New Roman" w:cs="Times New Roman" w:eastAsia="Times New Roman" w:hAnsi="Times New Roman"/>
          <w:sz w:val="18"/>
          <w:szCs w:val="18"/>
          <w:color w:val="auto"/>
        </w:rPr>
        <w:t>the amount of money spent by film distributors to promote their motion pictures;</w:t>
      </w:r>
    </w:p>
    <w:p>
      <w:pPr>
        <w:ind w:left="660"/>
        <w:spacing w:after="0"/>
        <w:rPr>
          <w:sz w:val="20"/>
          <w:szCs w:val="20"/>
          <w:color w:val="auto"/>
        </w:rPr>
      </w:pPr>
      <w:r>
        <w:rPr>
          <w:rFonts w:ascii="Times New Roman" w:cs="Times New Roman" w:eastAsia="Times New Roman" w:hAnsi="Times New Roman"/>
          <w:sz w:val="18"/>
          <w:szCs w:val="18"/>
          <w:color w:val="auto"/>
        </w:rPr>
        <w:t>the licensing fees and terms required by film distributors from motion picture exhibitors in order to exhibit their films;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6" w:name="page47"/>
    <w:bookmarkEnd w:id="46"/>
    <w:p>
      <w:pPr>
        <w:ind w:left="640" w:right="20"/>
        <w:spacing w:after="0" w:line="246" w:lineRule="auto"/>
        <w:rPr>
          <w:sz w:val="20"/>
          <w:szCs w:val="20"/>
          <w:color w:val="auto"/>
        </w:rPr>
      </w:pPr>
      <w:r>
        <w:rPr>
          <w:rFonts w:ascii="Times New Roman" w:cs="Times New Roman" w:eastAsia="Times New Roman" w:hAnsi="Times New Roman"/>
          <w:sz w:val="18"/>
          <w:szCs w:val="18"/>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640"/>
        <w:spacing w:after="0" w:line="239" w:lineRule="auto"/>
        <w:rPr>
          <w:sz w:val="20"/>
          <w:szCs w:val="20"/>
          <w:color w:val="auto"/>
        </w:rPr>
      </w:pPr>
      <w:r>
        <w:rPr>
          <w:rFonts w:ascii="Times New Roman" w:cs="Times New Roman" w:eastAsia="Times New Roman" w:hAnsi="Times New Roman"/>
          <w:sz w:val="18"/>
          <w:szCs w:val="18"/>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158" w:lineRule="exact"/>
        <w:rPr>
          <w:sz w:val="20"/>
          <w:szCs w:val="20"/>
          <w:color w:val="auto"/>
        </w:rPr>
      </w:pPr>
    </w:p>
    <w:p>
      <w:pPr>
        <w:ind w:left="640" w:right="940"/>
        <w:spacing w:after="0" w:line="253" w:lineRule="auto"/>
        <w:rPr>
          <w:sz w:val="20"/>
          <w:szCs w:val="20"/>
          <w:color w:val="auto"/>
        </w:rPr>
      </w:pPr>
      <w:r>
        <w:rPr>
          <w:rFonts w:ascii="Times New Roman" w:cs="Times New Roman" w:eastAsia="Times New Roman" w:hAnsi="Times New Roman"/>
          <w:sz w:val="18"/>
          <w:szCs w:val="18"/>
          <w:color w:val="auto"/>
        </w:rPr>
        <w:t>our ability to continue to obtain, to the extent needed, waivers or other financial accommodations from our lenders and landlords; the impact of major movies being released directly to one of the multitudes of streaming services available;</w:t>
      </w:r>
    </w:p>
    <w:p>
      <w:pPr>
        <w:ind w:left="320"/>
        <w:spacing w:after="0" w:line="236" w:lineRule="auto"/>
        <w:rPr>
          <w:sz w:val="20"/>
          <w:szCs w:val="20"/>
          <w:color w:val="auto"/>
        </w:rPr>
      </w:pPr>
      <w:r>
        <w:rPr>
          <w:rFonts w:ascii="Times New Roman" w:cs="Times New Roman" w:eastAsia="Times New Roman" w:hAnsi="Times New Roman"/>
          <w:sz w:val="18"/>
          <w:szCs w:val="18"/>
          <w:color w:val="auto"/>
        </w:rPr>
        <w:t>the impact of certain competitors’ subscription or advance pay programs;</w:t>
      </w:r>
    </w:p>
    <w:p>
      <w:pPr>
        <w:ind w:left="320"/>
        <w:spacing w:after="0" w:line="234" w:lineRule="auto"/>
        <w:rPr>
          <w:sz w:val="20"/>
          <w:szCs w:val="20"/>
          <w:color w:val="auto"/>
        </w:rPr>
      </w:pPr>
      <w:r>
        <w:rPr>
          <w:rFonts w:ascii="Times New Roman" w:cs="Times New Roman" w:eastAsia="Times New Roman" w:hAnsi="Times New Roman"/>
          <w:sz w:val="18"/>
          <w:szCs w:val="18"/>
          <w:color w:val="auto"/>
        </w:rPr>
        <w:t>the failure of our new initiatives to gain significant customer acceptance and use or to generate meaningful profits;</w:t>
      </w:r>
    </w:p>
    <w:p>
      <w:pPr>
        <w:ind w:left="320"/>
        <w:spacing w:after="0"/>
        <w:rPr>
          <w:sz w:val="20"/>
          <w:szCs w:val="20"/>
          <w:color w:val="auto"/>
        </w:rPr>
      </w:pPr>
      <w:r>
        <w:rPr>
          <w:rFonts w:ascii="Times New Roman" w:cs="Times New Roman" w:eastAsia="Times New Roman" w:hAnsi="Times New Roman"/>
          <w:sz w:val="18"/>
          <w:szCs w:val="18"/>
          <w:color w:val="auto"/>
        </w:rPr>
        <w:t>the cost and impact of improvements to our cinemas, such as improved seating, enhanced F&amp;B offerings, and other improvements;</w:t>
      </w:r>
    </w:p>
    <w:p>
      <w:pPr>
        <w:spacing w:after="0" w:line="7" w:lineRule="exact"/>
        <w:rPr>
          <w:sz w:val="20"/>
          <w:szCs w:val="20"/>
          <w:color w:val="auto"/>
        </w:rPr>
      </w:pPr>
    </w:p>
    <w:p>
      <w:pPr>
        <w:ind w:left="640"/>
        <w:spacing w:after="0" w:line="227" w:lineRule="auto"/>
        <w:rPr>
          <w:sz w:val="20"/>
          <w:szCs w:val="20"/>
          <w:color w:val="auto"/>
        </w:rPr>
      </w:pPr>
      <w:r>
        <w:rPr>
          <w:rFonts w:ascii="Times New Roman" w:cs="Times New Roman" w:eastAsia="Times New Roman" w:hAnsi="Times New Roman"/>
          <w:sz w:val="18"/>
          <w:szCs w:val="18"/>
          <w:color w:val="auto"/>
        </w:rPr>
        <w:t>the ability to negotiate favorable rent abatement, deferral and repayment terms with our landlords (which may include lenders who have foreclosed on the collateral held by our prior landlords);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disruptions during cinema improvements;</w:t>
      </w:r>
    </w:p>
    <w:p>
      <w:pPr>
        <w:spacing w:after="0" w:line="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in the U.S., the impact of the termination and phase-out of the so called “Paramount Decree;”</w:t>
      </w:r>
    </w:p>
    <w:p>
      <w:pPr>
        <w:ind w:left="320"/>
        <w:spacing w:after="0"/>
        <w:rPr>
          <w:sz w:val="20"/>
          <w:szCs w:val="20"/>
          <w:color w:val="auto"/>
        </w:rPr>
      </w:pPr>
      <w:r>
        <w:rPr>
          <w:rFonts w:ascii="Times New Roman" w:cs="Times New Roman" w:eastAsia="Times New Roman" w:hAnsi="Times New Roman"/>
          <w:sz w:val="18"/>
          <w:szCs w:val="18"/>
          <w:color w:val="auto"/>
        </w:rPr>
        <w:t>the risk of damage and/or disruption of cinema businesses from earthquakes as certain of our operations are in geologically active areas;</w:t>
      </w:r>
    </w:p>
    <w:p>
      <w:pPr>
        <w:spacing w:after="0" w:line="7" w:lineRule="exact"/>
        <w:rPr>
          <w:sz w:val="20"/>
          <w:szCs w:val="20"/>
          <w:color w:val="auto"/>
        </w:rPr>
      </w:pPr>
    </w:p>
    <w:p>
      <w:pPr>
        <w:jc w:val="both"/>
        <w:ind w:left="640" w:right="20"/>
        <w:spacing w:after="0" w:line="249" w:lineRule="auto"/>
        <w:rPr>
          <w:sz w:val="20"/>
          <w:szCs w:val="20"/>
          <w:color w:val="auto"/>
        </w:rPr>
      </w:pPr>
      <w:r>
        <w:rPr>
          <w:rFonts w:ascii="Times New Roman" w:cs="Times New Roman" w:eastAsia="Times New Roman" w:hAnsi="Times New Roman"/>
          <w:sz w:val="17"/>
          <w:szCs w:val="17"/>
          <w:color w:val="auto"/>
        </w:rPr>
        <w:t>the impact of protests, demonstrations, and civil unrest on, among other things, government policy, consumer willingness to go to the movies; labor shortages and increased labor costs related to such shortages and to increasingly costly labor laws and regulations applicable to part time</w:t>
      </w:r>
    </w:p>
    <w:p>
      <w:pPr>
        <w:spacing w:after="0" w:line="1" w:lineRule="exact"/>
        <w:rPr>
          <w:sz w:val="20"/>
          <w:szCs w:val="20"/>
          <w:color w:val="auto"/>
        </w:rPr>
      </w:pPr>
    </w:p>
    <w:p>
      <w:pPr>
        <w:ind w:left="640"/>
        <w:spacing w:after="0" w:line="234" w:lineRule="auto"/>
        <w:rPr>
          <w:sz w:val="20"/>
          <w:szCs w:val="20"/>
          <w:color w:val="auto"/>
        </w:rPr>
      </w:pPr>
      <w:r>
        <w:rPr>
          <w:rFonts w:ascii="Times New Roman" w:cs="Times New Roman" w:eastAsia="Times New Roman" w:hAnsi="Times New Roman"/>
          <w:sz w:val="18"/>
          <w:szCs w:val="18"/>
          <w:color w:val="auto"/>
        </w:rPr>
        <w:t>non-exempt workers. Disruptions in film supply and film marketing due to the 2023 Hollywood Strikes; and</w:t>
      </w:r>
    </w:p>
    <w:p>
      <w:pPr>
        <w:ind w:left="640" w:right="20"/>
        <w:spacing w:after="0" w:line="234" w:lineRule="auto"/>
        <w:rPr>
          <w:sz w:val="20"/>
          <w:szCs w:val="20"/>
          <w:color w:val="auto"/>
        </w:rPr>
      </w:pPr>
      <w:r>
        <w:rPr>
          <w:rFonts w:ascii="Times New Roman" w:cs="Times New Roman" w:eastAsia="Times New Roman" w:hAnsi="Times New Roman"/>
          <w:sz w:val="18"/>
          <w:szCs w:val="18"/>
          <w:color w:val="auto"/>
        </w:rPr>
        <w:t>the ability to negotiate terms and conditions, including price, for the asset monetization transactions for the assets we have held for sale as of June 30, 2024.</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with respect to our real estate development and operation activities:</w:t>
      </w:r>
    </w:p>
    <w:p>
      <w:pPr>
        <w:ind w:left="640" w:right="3380"/>
        <w:spacing w:after="0" w:line="241" w:lineRule="auto"/>
        <w:rPr>
          <w:sz w:val="20"/>
          <w:szCs w:val="20"/>
          <w:color w:val="auto"/>
        </w:rPr>
      </w:pPr>
      <w:r>
        <w:rPr>
          <w:rFonts w:ascii="Times New Roman" w:cs="Times New Roman" w:eastAsia="Times New Roman" w:hAnsi="Times New Roman"/>
          <w:sz w:val="18"/>
          <w:szCs w:val="18"/>
          <w:color w:val="auto"/>
        </w:rPr>
        <w:t>the increased costs of wages, supplies, services and other development expenses from inflation; the impact on tenants from inflationary pressures;</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uncertainty as to governmental responses to infectious diseases;</w:t>
      </w:r>
    </w:p>
    <w:p>
      <w:pPr>
        <w:ind w:left="640" w:right="1100"/>
        <w:spacing w:after="0" w:line="242" w:lineRule="auto"/>
        <w:rPr>
          <w:sz w:val="20"/>
          <w:szCs w:val="20"/>
          <w:color w:val="auto"/>
        </w:rPr>
      </w:pPr>
      <w:r>
        <w:rPr>
          <w:rFonts w:ascii="Times New Roman" w:cs="Times New Roman" w:eastAsia="Times New Roman" w:hAnsi="Times New Roman"/>
          <w:sz w:val="18"/>
          <w:szCs w:val="18"/>
          <w:color w:val="auto"/>
        </w:rPr>
        <w:t>the rental rates and capitalization rates applicable to the markets in which we operate and the quality of properties that we own; the ability to negotiate and execute lease agreements with material tenants;</w:t>
      </w:r>
    </w:p>
    <w:p>
      <w:pPr>
        <w:spacing w:after="0" w:line="1" w:lineRule="exact"/>
        <w:rPr>
          <w:sz w:val="20"/>
          <w:szCs w:val="20"/>
          <w:color w:val="auto"/>
        </w:rPr>
      </w:pPr>
    </w:p>
    <w:p>
      <w:pPr>
        <w:ind w:left="640" w:right="680"/>
        <w:spacing w:after="0" w:line="241" w:lineRule="auto"/>
        <w:rPr>
          <w:sz w:val="20"/>
          <w:szCs w:val="20"/>
          <w:color w:val="auto"/>
        </w:rPr>
      </w:pPr>
      <w:r>
        <w:rPr>
          <w:rFonts w:ascii="Times New Roman" w:cs="Times New Roman" w:eastAsia="Times New Roman" w:hAnsi="Times New Roman"/>
          <w:sz w:val="18"/>
          <w:szCs w:val="18"/>
          <w:color w:val="auto"/>
        </w:rPr>
        <w:t>the extent to which we can obtain on a timely basis the various land use approvals and entitlements needed to develop our properties; the risks and uncertainties associated with real estate development;</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the availability and cost of labor and materials;</w:t>
      </w:r>
    </w:p>
    <w:p>
      <w:pPr>
        <w:ind w:left="320"/>
        <w:spacing w:after="0"/>
        <w:rPr>
          <w:sz w:val="20"/>
          <w:szCs w:val="20"/>
          <w:color w:val="auto"/>
        </w:rPr>
      </w:pPr>
      <w:r>
        <w:rPr>
          <w:rFonts w:ascii="Times New Roman" w:cs="Times New Roman" w:eastAsia="Times New Roman" w:hAnsi="Times New Roman"/>
          <w:sz w:val="18"/>
          <w:szCs w:val="18"/>
          <w:color w:val="auto"/>
        </w:rPr>
        <w:t>the ability to obtain all permits to construct improvements;</w:t>
      </w:r>
    </w:p>
    <w:p>
      <w:pPr>
        <w:spacing w:after="0" w:line="7" w:lineRule="exact"/>
        <w:rPr>
          <w:sz w:val="20"/>
          <w:szCs w:val="20"/>
          <w:color w:val="auto"/>
        </w:rPr>
      </w:pPr>
    </w:p>
    <w:p>
      <w:pPr>
        <w:ind w:left="640" w:right="920"/>
        <w:spacing w:after="0" w:line="235" w:lineRule="auto"/>
        <w:rPr>
          <w:sz w:val="20"/>
          <w:szCs w:val="20"/>
          <w:color w:val="auto"/>
        </w:rPr>
      </w:pPr>
      <w:r>
        <w:rPr>
          <w:rFonts w:ascii="Times New Roman" w:cs="Times New Roman" w:eastAsia="Times New Roman" w:hAnsi="Times New Roman"/>
          <w:sz w:val="18"/>
          <w:szCs w:val="18"/>
          <w:color w:val="auto"/>
        </w:rPr>
        <w:t>the ability to finance improvements, including, but not limited to increased cost of borrowing and tightened lender credit policies; the disruptions to our business from construction and/or renovations;</w:t>
      </w:r>
    </w:p>
    <w:p>
      <w:pPr>
        <w:spacing w:after="0" w:line="1" w:lineRule="exact"/>
        <w:rPr>
          <w:sz w:val="20"/>
          <w:szCs w:val="20"/>
          <w:color w:val="auto"/>
        </w:rPr>
      </w:pPr>
    </w:p>
    <w:p>
      <w:pPr>
        <w:ind w:left="640" w:right="4780"/>
        <w:spacing w:after="0" w:line="242" w:lineRule="auto"/>
        <w:rPr>
          <w:sz w:val="20"/>
          <w:szCs w:val="20"/>
          <w:color w:val="auto"/>
        </w:rPr>
      </w:pPr>
      <w:r>
        <w:rPr>
          <w:rFonts w:ascii="Times New Roman" w:cs="Times New Roman" w:eastAsia="Times New Roman" w:hAnsi="Times New Roman"/>
          <w:sz w:val="18"/>
          <w:szCs w:val="18"/>
          <w:color w:val="auto"/>
        </w:rPr>
        <w:t>the possibility of construction delays, work stoppage, and material shortage; competition for development sites and tenants;</w:t>
      </w:r>
    </w:p>
    <w:p>
      <w:pPr>
        <w:spacing w:after="0" w:line="1" w:lineRule="exact"/>
        <w:rPr>
          <w:sz w:val="20"/>
          <w:szCs w:val="20"/>
          <w:color w:val="auto"/>
        </w:rPr>
      </w:pPr>
    </w:p>
    <w:p>
      <w:pPr>
        <w:ind w:left="320"/>
        <w:spacing w:after="0" w:line="234" w:lineRule="auto"/>
        <w:rPr>
          <w:sz w:val="20"/>
          <w:szCs w:val="20"/>
          <w:color w:val="auto"/>
        </w:rPr>
      </w:pPr>
      <w:r>
        <w:rPr>
          <w:rFonts w:ascii="Times New Roman" w:cs="Times New Roman" w:eastAsia="Times New Roman" w:hAnsi="Times New Roman"/>
          <w:sz w:val="18"/>
          <w:szCs w:val="18"/>
          <w:color w:val="auto"/>
        </w:rPr>
        <w:t>environmental remediation issues;</w:t>
      </w:r>
    </w:p>
    <w:p>
      <w:pPr>
        <w:ind w:left="640"/>
        <w:spacing w:after="0" w:line="234" w:lineRule="auto"/>
        <w:rPr>
          <w:sz w:val="20"/>
          <w:szCs w:val="20"/>
          <w:color w:val="auto"/>
        </w:rPr>
      </w:pPr>
      <w:r>
        <w:rPr>
          <w:rFonts w:ascii="Times New Roman" w:cs="Times New Roman" w:eastAsia="Times New Roman" w:hAnsi="Times New Roman"/>
          <w:sz w:val="18"/>
          <w:szCs w:val="18"/>
          <w:color w:val="auto"/>
        </w:rPr>
        <w:t>the extent to which our cinemas can continue to serve as an anchor tenant that will, in turn, be influenced by the same factors as will influence generally the results of our cinema operations;</w:t>
      </w:r>
    </w:p>
    <w:p>
      <w:pPr>
        <w:spacing w:after="0" w:line="1" w:lineRule="exact"/>
        <w:rPr>
          <w:sz w:val="20"/>
          <w:szCs w:val="20"/>
          <w:color w:val="auto"/>
        </w:rPr>
      </w:pPr>
    </w:p>
    <w:p>
      <w:pPr>
        <w:ind w:left="640" w:right="2340"/>
        <w:spacing w:after="0" w:line="242" w:lineRule="auto"/>
        <w:rPr>
          <w:sz w:val="20"/>
          <w:szCs w:val="20"/>
          <w:color w:val="auto"/>
        </w:rPr>
      </w:pPr>
      <w:r>
        <w:rPr>
          <w:rFonts w:ascii="Times New Roman" w:cs="Times New Roman" w:eastAsia="Times New Roman" w:hAnsi="Times New Roman"/>
          <w:sz w:val="18"/>
          <w:szCs w:val="18"/>
          <w:color w:val="auto"/>
        </w:rPr>
        <w:t>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320"/>
        <w:spacing w:after="0" w:line="234" w:lineRule="auto"/>
        <w:rPr>
          <w:sz w:val="20"/>
          <w:szCs w:val="20"/>
          <w:color w:val="auto"/>
        </w:rPr>
      </w:pPr>
      <w:r>
        <w:rPr>
          <w:rFonts w:ascii="Times New Roman" w:cs="Times New Roman" w:eastAsia="Times New Roman" w:hAnsi="Times New Roman"/>
          <w:sz w:val="18"/>
          <w:szCs w:val="18"/>
          <w:color w:val="auto"/>
        </w:rPr>
        <w:t>the risk of damage and/or disruption of real estate businesses from earthquakes as certain of our operations are in geologically active areas;</w:t>
      </w:r>
    </w:p>
    <w:p>
      <w:pPr>
        <w:ind w:left="320"/>
        <w:spacing w:after="0"/>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w:t>
      </w:r>
    </w:p>
    <w:p>
      <w:pPr>
        <w:spacing w:after="0" w:line="7" w:lineRule="exact"/>
        <w:rPr>
          <w:sz w:val="20"/>
          <w:szCs w:val="20"/>
          <w:color w:val="auto"/>
        </w:rPr>
      </w:pPr>
    </w:p>
    <w:p>
      <w:pPr>
        <w:ind w:left="640" w:right="320"/>
        <w:spacing w:after="0" w:line="234" w:lineRule="auto"/>
        <w:rPr>
          <w:sz w:val="20"/>
          <w:szCs w:val="20"/>
          <w:color w:val="auto"/>
        </w:rPr>
      </w:pPr>
      <w:r>
        <w:rPr>
          <w:rFonts w:ascii="Times New Roman" w:cs="Times New Roman" w:eastAsia="Times New Roman" w:hAnsi="Times New Roman"/>
          <w:sz w:val="18"/>
          <w:szCs w:val="18"/>
          <w:color w:val="auto"/>
        </w:rPr>
        <w:t>pandemics, epidemics, widespread health emergencies, or outbreaks of infectious diseases, or to changing consumer tastes and habits; and the impact of protests, demonstrations, and civil unrest on government policy, consumer willingness to visit shopping centers.</w:t>
      </w:r>
    </w:p>
    <w:p>
      <w:pPr>
        <w:spacing w:after="0" w:line="1" w:lineRule="exact"/>
        <w:rPr>
          <w:sz w:val="20"/>
          <w:szCs w:val="20"/>
          <w:color w:val="auto"/>
        </w:rPr>
      </w:pPr>
    </w:p>
    <w:p>
      <w:pPr>
        <w:ind w:left="320"/>
        <w:spacing w:after="0" w:line="234" w:lineRule="auto"/>
        <w:rPr>
          <w:sz w:val="20"/>
          <w:szCs w:val="20"/>
          <w:color w:val="auto"/>
        </w:rPr>
      </w:pPr>
      <w:r>
        <w:rPr>
          <w:rFonts w:ascii="Times New Roman" w:cs="Times New Roman" w:eastAsia="Times New Roman" w:hAnsi="Times New Roman"/>
          <w:sz w:val="18"/>
          <w:szCs w:val="18"/>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297" w:right="339" w:bottom="1440" w:gutter="0" w:footer="0" w:header="0"/>
        </w:sectPr>
      </w:pPr>
    </w:p>
    <w:bookmarkStart w:id="47" w:name="page48"/>
    <w:bookmarkEnd w:id="47"/>
    <w:p>
      <w:pPr>
        <w:ind w:left="980" w:right="460"/>
        <w:spacing w:after="0" w:line="282" w:lineRule="auto"/>
        <w:rPr>
          <w:sz w:val="20"/>
          <w:szCs w:val="20"/>
          <w:color w:val="auto"/>
        </w:rPr>
      </w:pPr>
      <w:r>
        <w:rPr>
          <w:rFonts w:ascii="Times New Roman" w:cs="Times New Roman" w:eastAsia="Times New Roman" w:hAnsi="Times New Roman"/>
          <w:sz w:val="18"/>
          <w:szCs w:val="18"/>
          <w:color w:val="auto"/>
        </w:rPr>
        <w:t>our ability to renew, extend, renegotiate or replace our loans that mature in 2024 and beyond, and the impact of increasing interest rates; our ability to grow our Company and provide value to our stockholders;</w:t>
      </w:r>
    </w:p>
    <w:p>
      <w:pPr>
        <w:spacing w:after="0" w:line="134" w:lineRule="exact"/>
        <w:rPr>
          <w:sz w:val="20"/>
          <w:szCs w:val="20"/>
          <w:color w:val="auto"/>
        </w:rPr>
      </w:pPr>
    </w:p>
    <w:p>
      <w:pPr>
        <w:ind w:left="980" w:right="20"/>
        <w:spacing w:after="0" w:line="238" w:lineRule="auto"/>
        <w:rPr>
          <w:sz w:val="20"/>
          <w:szCs w:val="20"/>
          <w:color w:val="auto"/>
        </w:rPr>
      </w:pPr>
      <w:r>
        <w:rPr>
          <w:rFonts w:ascii="Times New Roman" w:cs="Times New Roman" w:eastAsia="Times New Roman" w:hAnsi="Times New Roman"/>
          <w:sz w:val="18"/>
          <w:szCs w:val="18"/>
          <w:color w:val="auto"/>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ind w:left="660"/>
        <w:spacing w:after="0"/>
        <w:rPr>
          <w:sz w:val="20"/>
          <w:szCs w:val="20"/>
          <w:color w:val="auto"/>
        </w:rPr>
      </w:pPr>
      <w:r>
        <w:rPr>
          <w:rFonts w:ascii="Times New Roman" w:cs="Times New Roman" w:eastAsia="Times New Roman" w:hAnsi="Times New Roman"/>
          <w:sz w:val="18"/>
          <w:szCs w:val="18"/>
          <w:color w:val="auto"/>
        </w:rPr>
        <w:t>our ability to reallocate funds among jurisdictions to meet short-term liquidity needs;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relative values of the currency used in the countries in which we operate;</w:t>
      </w:r>
    </w:p>
    <w:p>
      <w:pPr>
        <w:spacing w:after="0" w:line="27" w:lineRule="exact"/>
        <w:rPr>
          <w:sz w:val="20"/>
          <w:szCs w:val="20"/>
          <w:color w:val="auto"/>
        </w:rPr>
      </w:pPr>
    </w:p>
    <w:p>
      <w:pPr>
        <w:ind w:left="980"/>
        <w:spacing w:after="0" w:line="227" w:lineRule="auto"/>
        <w:rPr>
          <w:sz w:val="20"/>
          <w:szCs w:val="20"/>
          <w:color w:val="auto"/>
        </w:rPr>
      </w:pPr>
      <w:r>
        <w:rPr>
          <w:rFonts w:ascii="Times New Roman" w:cs="Times New Roman" w:eastAsia="Times New Roman" w:hAnsi="Times New Roman"/>
          <w:sz w:val="18"/>
          <w:szCs w:val="18"/>
          <w:color w:val="auto"/>
        </w:rPr>
        <w:t>changes in government regulation, including by way of example, the costs resulting from the requirements of Sarbanes-Oxley and other increased regulatory requirements;</w:t>
      </w:r>
    </w:p>
    <w:p>
      <w:pPr>
        <w:spacing w:after="0" w:line="1" w:lineRule="exact"/>
        <w:rPr>
          <w:sz w:val="20"/>
          <w:szCs w:val="20"/>
          <w:color w:val="auto"/>
        </w:rPr>
      </w:pP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our labor relations and costs of labor (including future government requirements with respect to minimum wages, shift scheduling, the use of consultants, pension liabilities, disability insurance and health coverage, and vacations and leave);</w:t>
      </w:r>
    </w:p>
    <w:p>
      <w:pPr>
        <w:spacing w:after="0" w:line="1" w:lineRule="exact"/>
        <w:rPr>
          <w:sz w:val="20"/>
          <w:szCs w:val="20"/>
          <w:color w:val="auto"/>
        </w:rPr>
      </w:pPr>
    </w:p>
    <w:p>
      <w:pPr>
        <w:ind w:left="980"/>
        <w:spacing w:after="0" w:line="230" w:lineRule="auto"/>
        <w:rPr>
          <w:sz w:val="20"/>
          <w:szCs w:val="20"/>
          <w:color w:val="auto"/>
        </w:rPr>
      </w:pPr>
      <w:r>
        <w:rPr>
          <w:rFonts w:ascii="Times New Roman" w:cs="Times New Roman" w:eastAsia="Times New Roman" w:hAnsi="Times New Roman"/>
          <w:sz w:val="18"/>
          <w:szCs w:val="18"/>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3" w:lineRule="exact"/>
        <w:rPr>
          <w:sz w:val="20"/>
          <w:szCs w:val="20"/>
          <w:color w:val="auto"/>
        </w:rPr>
      </w:pPr>
    </w:p>
    <w:p>
      <w:pPr>
        <w:ind w:left="980" w:right="860"/>
        <w:spacing w:after="0" w:line="234" w:lineRule="auto"/>
        <w:rPr>
          <w:sz w:val="20"/>
          <w:szCs w:val="20"/>
          <w:color w:val="auto"/>
        </w:rPr>
      </w:pPr>
      <w:r>
        <w:rPr>
          <w:rFonts w:ascii="Times New Roman" w:cs="Times New Roman" w:eastAsia="Times New Roman" w:hAnsi="Times New Roman"/>
          <w:sz w:val="18"/>
          <w:szCs w:val="18"/>
          <w:color w:val="auto"/>
        </w:rPr>
        <w:t>our exposure to cybersecurity risks, including misappropriation of customer information or other breaches of information security; the impact of future major outbreaks of contagious diseases;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availability of employees and/or their ability or willingness to conduct work under any revised work environment protocols;</w:t>
      </w:r>
    </w:p>
    <w:p>
      <w:pPr>
        <w:spacing w:after="0" w:line="7" w:lineRule="exact"/>
        <w:rPr>
          <w:sz w:val="20"/>
          <w:szCs w:val="20"/>
          <w:color w:val="auto"/>
        </w:rPr>
      </w:pPr>
    </w:p>
    <w:p>
      <w:pPr>
        <w:ind w:left="980"/>
        <w:spacing w:after="0" w:line="235" w:lineRule="auto"/>
        <w:rPr>
          <w:sz w:val="20"/>
          <w:szCs w:val="20"/>
          <w:color w:val="auto"/>
        </w:rPr>
      </w:pPr>
      <w:r>
        <w:rPr>
          <w:rFonts w:ascii="Times New Roman" w:cs="Times New Roman" w:eastAsia="Times New Roman" w:hAnsi="Times New Roman"/>
          <w:sz w:val="18"/>
          <w:szCs w:val="18"/>
          <w:color w:val="auto"/>
        </w:rPr>
        <w:t>the increased risks related to employee matters, including increased employment litigation and claims relating to terminations or furloughs caused by cinema and ETC closures;</w:t>
      </w:r>
    </w:p>
    <w:p>
      <w:pPr>
        <w:spacing w:after="0" w:line="1" w:lineRule="exact"/>
        <w:rPr>
          <w:sz w:val="20"/>
          <w:szCs w:val="20"/>
          <w:color w:val="auto"/>
        </w:rPr>
      </w:pPr>
    </w:p>
    <w:p>
      <w:pPr>
        <w:ind w:left="980"/>
        <w:spacing w:after="0" w:line="229" w:lineRule="auto"/>
        <w:rPr>
          <w:sz w:val="20"/>
          <w:szCs w:val="20"/>
          <w:color w:val="auto"/>
        </w:rPr>
      </w:pPr>
      <w:r>
        <w:rPr>
          <w:rFonts w:ascii="Times New Roman" w:cs="Times New Roman" w:eastAsia="Times New Roman" w:hAnsi="Times New Roman"/>
          <w:sz w:val="18"/>
          <w:szCs w:val="18"/>
          <w:color w:val="auto"/>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our ability to comply with credit facility covenants and our ability to obtain necessary covenant waivers and necessary credit facility amendments;</w:t>
      </w:r>
    </w:p>
    <w:p>
      <w:pPr>
        <w:spacing w:after="0" w:line="1" w:lineRule="exact"/>
        <w:rPr>
          <w:sz w:val="20"/>
          <w:szCs w:val="20"/>
          <w:color w:val="auto"/>
        </w:rPr>
      </w:pPr>
    </w:p>
    <w:p>
      <w:pPr>
        <w:ind w:left="980" w:right="20"/>
        <w:spacing w:after="0" w:line="226"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4920"/>
        <w:spacing w:after="0" w:line="242" w:lineRule="auto"/>
        <w:rPr>
          <w:sz w:val="20"/>
          <w:szCs w:val="20"/>
          <w:color w:val="auto"/>
        </w:rPr>
      </w:pPr>
      <w:r>
        <w:rPr>
          <w:rFonts w:ascii="Times New Roman" w:cs="Times New Roman" w:eastAsia="Times New Roman" w:hAnsi="Times New Roman"/>
          <w:sz w:val="18"/>
          <w:szCs w:val="18"/>
          <w:color w:val="auto"/>
        </w:rPr>
        <w:t>inflationary pressures on labor and supplies, and supply chain disruptions; changes in applicable accounting policies and practices;</w:t>
      </w:r>
    </w:p>
    <w:p>
      <w:pPr>
        <w:spacing w:after="0" w:line="1" w:lineRule="exact"/>
        <w:rPr>
          <w:sz w:val="20"/>
          <w:szCs w:val="20"/>
          <w:color w:val="auto"/>
        </w:rPr>
      </w:pP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1000"/>
        <w:spacing w:after="0" w:line="243" w:lineRule="auto"/>
        <w:rPr>
          <w:sz w:val="20"/>
          <w:szCs w:val="20"/>
          <w:color w:val="auto"/>
        </w:rPr>
      </w:pPr>
      <w:r>
        <w:rPr>
          <w:rFonts w:ascii="Times New Roman" w:cs="Times New Roman" w:eastAsia="Times New Roman" w:hAnsi="Times New Roman"/>
          <w:sz w:val="18"/>
          <w:szCs w:val="18"/>
          <w:color w:val="auto"/>
        </w:rPr>
        <w:t>the impact of the conflict events occurring in Eastern Europe and the threats of potential conflicts in the Asia-Pacific region; and the impact of the conflict events occurring in Israel and the threats of other potential conflicts in the Middle East.</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as well as the risk factors set forth in any other filings made under the Securities Act of 1934, as amended, including any of our Quarterly Reports on Form 10-Q, for more information.</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Forward-looking statements made by us in this quarter report are based only on information currently available to us and are current only as of the date of this Quarterly Report on Form 10-Q for the period ended June 30, 2024.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Quantitative and Qualitative Disclosure about Market Risk</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based on a single point in time; and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does not include the effects of other complex market reactions that would arise from the changes modeled.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results of such an analysis may be useful as a benchmark, they should not be viewed as forecasts.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72200" cy="4380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9" w:name="page50"/>
    <w:bookmarkEnd w:id="49"/>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Australian dollar and/or the New Zealand dollar would effectively raise the overall cost of our borrowing and capital and make it more expensive to return funds from the United States to Australia and New Zealand.</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Company transacts business in Australia and New Zealand and is subject to risks associated with fluctuating foreign currency exchange rates. During the second quarter of 2024, the average Australian dollar and New Zealand dollar weakened against the U.S. dollar by 1.3% and 2.1%, respectively, compared to the same prior year period.</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At June 30, 2024, approximately 36.9% and 8.9% of our assets were invested in assets denominated in Australian dollars (Reading Entertainment Australia) and New Zealand dollars (Reading New Zealand), respectively, including approximately $5.4 million in cash and cash equivalents. At December 31, 2023, approximately 36.4% and 8.9% of our assets were invested in assets denominated in Australian dollars (Reading Entertainment Australia) and New Zealand dollars (Reading New Zealand), respectively, including approximately $5.8 million in cash and cash equivalents.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an increase of $0.9 million for the quarter ended June 30, 2024. As we continue to progress our acquisition and development activities in Australia and New Zealand, no assurances can be given that the foreign currency effect on our earnings will not be material in the future.</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unrealized foreign currency translation gains or losses that could materially affect our financial position. As of June 30, 2024, and December 31, 2023, the balance of cumulative foreign currency translation adjustments were approximately a ($2.6) million loss and ($1.0) million loss,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combination of fixed and variable interest rate loans. In connection with our variable interest rate loans, a change of approximately 1% in short-term interest rates would have resulted in an approximate $506,000 increase or decrease in our quarterly interest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on market risks, please refer to </w:t>
      </w:r>
      <w:r>
        <w:rPr>
          <w:rFonts w:ascii="Times New Roman" w:cs="Times New Roman" w:eastAsia="Times New Roman" w:hAnsi="Times New Roman"/>
          <w:sz w:val="18"/>
          <w:szCs w:val="18"/>
          <w:i w:val="1"/>
          <w:iCs w:val="1"/>
          <w:color w:val="auto"/>
        </w:rPr>
        <w:t>Part I, Item 1A – Risk Factors</w:t>
      </w:r>
      <w:r>
        <w:rPr>
          <w:rFonts w:ascii="Times New Roman" w:cs="Times New Roman" w:eastAsia="Times New Roman" w:hAnsi="Times New Roman"/>
          <w:sz w:val="18"/>
          <w:szCs w:val="18"/>
          <w:color w:val="auto"/>
        </w:rPr>
        <w:t xml:space="preserve"> included on our 2023 Form 10-K.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Controls and Procedures</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connection with the preparation of this Amendment, our management, under the supervision and with the participation of our Chief Executive Officer and Chief Financial Officer, evaluated the effectiveness of our controls and procedures as of June 30, 2024. At the time of the Original Filing, our Chief Executive Officer and Chief Financial Officer concluded that, as of June 30, 2024, our disclosure controls and procedures were effective. In connection with this restatement, the Chief Executive Officer and Chief Financial Officer re-evaluated disclosure controls and procedures and concluded that as of June 30, 2024, our disclosure controls and procedures were not effective due to a material weakness in our internal control over financial reporting. This material weakness led to an error in an erroneous reversal and treatment of a liability in the quarter ended June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17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Management is actively engaged in the implementation of remediation measures to address the internal control deficiencies that resulted in the material weakness in internal control over financial reporting as of June 30, 2024. The Company's remediation actions are being overseen by the Audit Committee of the Board of Directors. Management is in the process of developing a plan to address the deficiency identified.</w:t>
      </w:r>
    </w:p>
    <w:p>
      <w:pPr>
        <w:spacing w:after="0" w:line="157"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8"/>
          <w:szCs w:val="18"/>
          <w:color w:val="auto"/>
        </w:rPr>
        <w:t xml:space="preserve">We will continue to modify our remediation plan and may implement additional measures as we complete the redesign and operation of our internal controls in this area. We believe that, once implemented, these additional internal control activities will strengthen our internal control over financial reporting and remediate the material weakness. </w:t>
      </w:r>
      <w:r>
        <w:rPr>
          <w:rFonts w:ascii="Times New Roman" w:cs="Times New Roman" w:eastAsia="Times New Roman" w:hAnsi="Times New Roman"/>
          <w:sz w:val="18"/>
          <w:szCs w:val="18"/>
          <w:color w:val="212529"/>
        </w:rPr>
        <w:t>The material weakness will not be considered remediated until the controls are in place for a sufficient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period of time and management has concluded, through testing, that the controls are operating effectively</w:t>
      </w:r>
      <w:r>
        <w:rPr>
          <w:rFonts w:ascii="Times New Roman" w:cs="Times New Roman" w:eastAsia="Times New Roman" w:hAnsi="Times New Roman"/>
          <w:sz w:val="18"/>
          <w:szCs w:val="18"/>
          <w:color w:val="000000"/>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as described above, there were no other changes in our internal control over financial reporting (as defined in Rule 13a-15(f) and 15d-15(f) under the Exchange Act) that occurred during the second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Legal Proceedings</w:t>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The information required under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is incorporated by reference to the information contained in </w:t>
      </w:r>
      <w:r>
        <w:rPr>
          <w:rFonts w:ascii="Times New Roman" w:cs="Times New Roman" w:eastAsia="Times New Roman" w:hAnsi="Times New Roman"/>
          <w:sz w:val="18"/>
          <w:szCs w:val="18"/>
          <w:i w:val="1"/>
          <w:iCs w:val="1"/>
          <w:color w:val="auto"/>
        </w:rPr>
        <w:t>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Note 15 – Commitments and Contingencies </w:t>
      </w:r>
      <w:r>
        <w:rPr>
          <w:rFonts w:ascii="Times New Roman" w:cs="Times New Roman" w:eastAsia="Times New Roman" w:hAnsi="Times New Roman"/>
          <w:sz w:val="18"/>
          <w:szCs w:val="18"/>
          <w:color w:val="auto"/>
        </w:rPr>
        <w:t>included herein in</w:t>
      </w:r>
      <w:r>
        <w:rPr>
          <w:rFonts w:ascii="Times New Roman" w:cs="Times New Roman" w:eastAsia="Times New Roman" w:hAnsi="Times New Roman"/>
          <w:sz w:val="18"/>
          <w:szCs w:val="18"/>
          <w:i w:val="1"/>
          <w:iCs w:val="1"/>
          <w:color w:val="auto"/>
        </w:rPr>
        <w:t xml:space="preserve"> Part I – Financial Information, Item 1 – Financial Statements </w:t>
      </w:r>
      <w:r>
        <w:rPr>
          <w:rFonts w:ascii="Times New Roman" w:cs="Times New Roman" w:eastAsia="Times New Roman" w:hAnsi="Times New Roman"/>
          <w:sz w:val="18"/>
          <w:szCs w:val="18"/>
          <w:color w:val="auto"/>
        </w:rPr>
        <w:t>on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details on our legal proceedings, 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contained in our 2023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Item 1A of our 2023 Form 10-K.</w:t>
      </w:r>
    </w:p>
    <w:p>
      <w:pPr>
        <w:spacing w:after="0" w:line="18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encourage investors to review the risks and uncertainties relating to our business disclosed under the heading Risk Factors or otherwise in the 2023 Form 10-K, as well as those contained in Part I – Forward-Looking Statements thereof, as revised or supplemented by our Quarterly Reports filed with the SEC since the filing of the 2023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Mine Safety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 Other Information</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of the Company adopted or terminated a “Rule 10b5-1 trading arrangement” or a “non-Rule 10b5-1 trading arrangement” (in each case, as defined in Item 408 of Regulation S-K).</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6 – Exhibits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134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2"/>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6"/>
                <w:szCs w:val="16"/>
                <w:color w:val="auto"/>
              </w:rPr>
              <w:t>†</w:t>
            </w:r>
          </w:p>
        </w:tc>
        <w:tc>
          <w:tcPr>
            <w:tcW w:w="9900" w:type="dxa"/>
            <w:vAlign w:val="bottom"/>
            <w:gridSpan w:val="9"/>
            <w:shd w:val="clear" w:color="auto" w:fill="CCEEFF"/>
          </w:tcPr>
          <w:p>
            <w:pPr>
              <w:spacing w:after="0" w:line="16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 xml:space="preserve">Amendment Deed dated April 4, 2024, between National Australia Bank Limited and Reading Entertainment Australia Pty Lt.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20"/>
        </w:trPr>
        <w:tc>
          <w:tcPr>
            <w:tcW w:w="1340" w:type="dxa"/>
            <w:vAlign w:val="bottom"/>
            <w:tcBorders>
              <w:right w:val="single" w:sz="8" w:color="0000EE"/>
            </w:tcBorders>
            <w:shd w:val="clear" w:color="auto" w:fill="CCEE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64"/>
        </w:trPr>
        <w:tc>
          <w:tcPr>
            <w:tcW w:w="1340" w:type="dxa"/>
            <w:vAlign w:val="bottom"/>
            <w:tcBorders>
              <w:right w:val="single" w:sz="8" w:color="CCEEFF"/>
            </w:tcBorders>
            <w:shd w:val="clear" w:color="auto" w:fill="CCEEFF"/>
          </w:tcPr>
          <w:p>
            <w:pPr>
              <w:spacing w:after="0"/>
              <w:rPr>
                <w:sz w:val="14"/>
                <w:szCs w:val="14"/>
                <w:color w:val="auto"/>
              </w:rPr>
            </w:pPr>
          </w:p>
        </w:tc>
        <w:tc>
          <w:tcPr>
            <w:tcW w:w="99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June 30, 2024 filed on August 14, 2024 and</w:t>
            </w:r>
          </w:p>
        </w:tc>
      </w:tr>
      <w:tr>
        <w:trPr>
          <w:trHeight w:val="203"/>
        </w:trPr>
        <w:tc>
          <w:tcPr>
            <w:tcW w:w="13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incorporated here in by reference.</w:t>
            </w:r>
          </w:p>
        </w:tc>
      </w:tr>
      <w:tr>
        <w:trPr>
          <w:trHeight w:val="194"/>
        </w:trPr>
        <w:tc>
          <w:tcPr>
            <w:tcW w:w="1340" w:type="dxa"/>
            <w:vAlign w:val="bottom"/>
            <w:tcBorders>
              <w:right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6"/>
                <w:szCs w:val="16"/>
                <w:color w:val="auto"/>
              </w:rPr>
              <w:t>†</w:t>
            </w:r>
          </w:p>
        </w:tc>
        <w:tc>
          <w:tcPr>
            <w:tcW w:w="9900" w:type="dxa"/>
            <w:vAlign w:val="bottom"/>
            <w:gridSpan w:val="9"/>
            <w:shd w:val="clear" w:color="auto" w:fill="CCEEFF"/>
          </w:tcPr>
          <w:p>
            <w:pPr>
              <w:spacing w:after="0" w:line="194"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First Omnibus Loan Modification and Extension Agreement dated April 23, 2024, by and between Reading Tammany Owner LLC and</w:t>
              </w:r>
            </w:hyperlink>
          </w:p>
        </w:tc>
      </w:tr>
      <w:tr>
        <w:trPr>
          <w:trHeight w:val="169"/>
        </w:trPr>
        <w:tc>
          <w:tcPr>
            <w:tcW w:w="13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78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US Development, LLC, collectively as borrower, and Emerald Creek Capital 3, LLC, as administrative agent and collateral agent for the</w:t>
              </w:r>
            </w:hyperlink>
          </w:p>
        </w:tc>
        <w:tc>
          <w:tcPr>
            <w:tcW w:w="10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9"/>
        </w:trPr>
        <w:tc>
          <w:tcPr>
            <w:tcW w:w="1340" w:type="dxa"/>
            <w:vAlign w:val="bottom"/>
            <w:tcBorders>
              <w:right w:val="single" w:sz="8" w:color="CCEEFF"/>
            </w:tcBorders>
            <w:shd w:val="clear" w:color="auto" w:fill="CCEEFF"/>
          </w:tcPr>
          <w:p>
            <w:pPr>
              <w:spacing w:after="0"/>
              <w:rPr>
                <w:sz w:val="14"/>
                <w:szCs w:val="14"/>
                <w:color w:val="auto"/>
              </w:rPr>
            </w:pPr>
          </w:p>
        </w:tc>
        <w:tc>
          <w:tcPr>
            <w:tcW w:w="9880" w:type="dxa"/>
            <w:vAlign w:val="bottom"/>
            <w:gridSpan w:val="8"/>
            <w:shd w:val="clear" w:color="auto" w:fill="CCEEFF"/>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 xml:space="preserve">lender. </w:t>
              </w:r>
              <w:r>
                <w:rPr>
                  <w:rFonts w:ascii="Times New Roman" w:cs="Times New Roman" w:eastAsia="Times New Roman" w:hAnsi="Times New Roman"/>
                  <w:sz w:val="18"/>
                  <w:szCs w:val="18"/>
                  <w:color w:val="000000"/>
                </w:rPr>
                <w:t>filed as Exhibit 10.2 to the Company’s Quarterly Report on Form 10-Q for the quarter ended June 30, 2024 filed on August 14,</w:t>
              </w:r>
            </w:hyperlink>
          </w:p>
        </w:tc>
        <w:tc>
          <w:tcPr>
            <w:tcW w:w="20" w:type="dxa"/>
            <w:vAlign w:val="bottom"/>
            <w:shd w:val="clear" w:color="auto" w:fill="CCEEFF"/>
          </w:tcPr>
          <w:p>
            <w:pPr>
              <w:spacing w:after="0"/>
              <w:rPr>
                <w:sz w:val="14"/>
                <w:szCs w:val="14"/>
                <w:color w:val="auto"/>
              </w:rPr>
            </w:pPr>
          </w:p>
        </w:tc>
      </w:tr>
      <w:tr>
        <w:trPr>
          <w:trHeight w:val="223"/>
        </w:trPr>
        <w:tc>
          <w:tcPr>
            <w:tcW w:w="1340" w:type="dxa"/>
            <w:vAlign w:val="bottom"/>
            <w:tcBorders>
              <w:top w:val="single" w:sz="8" w:color="CCEEFF"/>
              <w:right w:val="single" w:sz="8" w:color="CCEEFF"/>
            </w:tcBorders>
            <w:shd w:val="clear" w:color="auto" w:fill="CCEEFF"/>
          </w:tcPr>
          <w:p>
            <w:pPr>
              <w:spacing w:after="0"/>
              <w:rPr>
                <w:sz w:val="19"/>
                <w:szCs w:val="19"/>
                <w:color w:val="auto"/>
              </w:rPr>
            </w:pPr>
          </w:p>
        </w:tc>
        <w:tc>
          <w:tcPr>
            <w:tcW w:w="480" w:type="dxa"/>
            <w:vAlign w:val="bottom"/>
            <w:tcBorders>
              <w:top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0000EE"/>
            </w:tcBorders>
            <w:shd w:val="clear" w:color="auto" w:fill="CCEEFF"/>
          </w:tcPr>
          <w:p>
            <w:pPr>
              <w:spacing w:after="0"/>
              <w:rPr>
                <w:sz w:val="19"/>
                <w:szCs w:val="19"/>
                <w:color w:val="auto"/>
              </w:rPr>
            </w:pPr>
          </w:p>
        </w:tc>
        <w:tc>
          <w:tcPr>
            <w:tcW w:w="94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169"/>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7760" w:type="dxa"/>
            <w:vAlign w:val="bottom"/>
            <w:tcBorders>
              <w:bottom w:val="single" w:sz="8" w:color="0000FF"/>
            </w:tcBorders>
            <w:gridSpan w:val="5"/>
          </w:tcPr>
          <w:p>
            <w:pPr>
              <w:spacing w:after="0" w:line="162"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Certification of the Principal Executive Officer Pursuant to Section 302 of the Sarbanes-Oxley Act of 2002.</w:t>
              </w:r>
            </w:hyperlink>
          </w:p>
        </w:tc>
        <w:tc>
          <w:tcPr>
            <w:tcW w:w="2140" w:type="dxa"/>
            <w:vAlign w:val="bottom"/>
            <w:gridSpan w:val="4"/>
          </w:tcPr>
          <w:p>
            <w:pPr>
              <w:spacing w:after="0"/>
              <w:rPr>
                <w:sz w:val="14"/>
                <w:szCs w:val="14"/>
                <w:color w:val="auto"/>
              </w:rPr>
            </w:pPr>
          </w:p>
        </w:tc>
      </w:tr>
      <w:tr>
        <w:trPr>
          <w:trHeight w:val="169"/>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9"/>
            <w:shd w:val="clear" w:color="auto" w:fill="CCEEFF"/>
          </w:tcPr>
          <w:p>
            <w:pPr>
              <w:spacing w:after="0" w:line="16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Certification of the Principal Financial Officer Pursuant to Section 302 of the Sarbanes-Oxley Act of 2002.</w:t>
              </w:r>
            </w:hyperlink>
          </w:p>
        </w:tc>
      </w:tr>
      <w:tr>
        <w:trPr>
          <w:trHeight w:val="162"/>
        </w:trPr>
        <w:tc>
          <w:tcPr>
            <w:tcW w:w="13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7700" w:type="dxa"/>
            <w:vAlign w:val="bottom"/>
            <w:tcBorders>
              <w:top w:val="single" w:sz="8" w:color="0000FF"/>
            </w:tcBorders>
            <w:gridSpan w:val="4"/>
          </w:tcPr>
          <w:p>
            <w:pPr>
              <w:spacing w:after="0" w:line="16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Certifications Pursuant to Section 906 of the Sarbanes-Oxley Act of 2002.</w:t>
              </w:r>
            </w:hyperlink>
          </w:p>
        </w:tc>
        <w:tc>
          <w:tcPr>
            <w:tcW w:w="2200" w:type="dxa"/>
            <w:vAlign w:val="bottom"/>
            <w:tcBorders>
              <w:top w:val="single" w:sz="8" w:color="CCEEFF"/>
            </w:tcBorders>
            <w:gridSpan w:val="5"/>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6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340" w:right="120" w:hanging="1319"/>
        <w:spacing w:after="0" w:line="227"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our Company’s Quarterly Report on Form 10-Q for the quarter ended June 30, 2024,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34" w:lineRule="auto"/>
        <w:rPr>
          <w:sz w:val="20"/>
          <w:szCs w:val="20"/>
          <w:color w:val="auto"/>
        </w:rPr>
      </w:pPr>
      <w:r>
        <w:rPr>
          <w:rFonts w:ascii="Times New Roman" w:cs="Times New Roman" w:eastAsia="Times New Roman" w:hAnsi="Times New Roman"/>
          <w:sz w:val="16"/>
          <w:szCs w:val="16"/>
          <w:color w:val="auto"/>
        </w:rPr>
        <w:t>+ Filed or furnished herewith</w:t>
      </w:r>
    </w:p>
    <w:p>
      <w:pPr>
        <w:spacing w:after="0" w:line="1" w:lineRule="exact"/>
        <w:rPr>
          <w:sz w:val="20"/>
          <w:szCs w:val="20"/>
          <w:color w:val="auto"/>
        </w:rPr>
      </w:pPr>
    </w:p>
    <w:p>
      <w:pPr>
        <w:ind w:right="140" w:firstLine="8"/>
        <w:spacing w:after="0" w:line="228" w:lineRule="auto"/>
        <w:tabs>
          <w:tab w:leader="none" w:pos="12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2" w:lineRule="exact"/>
        <w:rPr>
          <w:rFonts w:ascii="Times New Roman" w:cs="Times New Roman" w:eastAsia="Times New Roman" w:hAnsi="Times New Roman"/>
          <w:sz w:val="16"/>
          <w:szCs w:val="16"/>
          <w:color w:val="auto"/>
        </w:rPr>
      </w:pPr>
    </w:p>
    <w:p>
      <w:pPr>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3" w:name="page54"/>
    <w:bookmarkEnd w:id="53"/>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READING INTERNATIONAL,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Ellen M. Cotter</w:t>
      </w:r>
    </w:p>
    <w:p>
      <w:pPr>
        <w:spacing w:after="0" w:line="237" w:lineRule="auto"/>
        <w:rPr>
          <w:sz w:val="20"/>
          <w:szCs w:val="20"/>
          <w:color w:val="auto"/>
        </w:rPr>
      </w:pPr>
      <w:r>
        <w:rPr>
          <w:rFonts w:ascii="Times New Roman" w:cs="Times New Roman" w:eastAsia="Times New Roman" w:hAnsi="Times New Roman"/>
          <w:sz w:val="18"/>
          <w:szCs w:val="18"/>
          <w:color w:val="auto"/>
        </w:rPr>
        <w:t>Ellen M. Cotter</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Gilbert Avanes</w:t>
      </w:r>
    </w:p>
    <w:p>
      <w:pPr>
        <w:spacing w:after="0" w:line="237" w:lineRule="auto"/>
        <w:rPr>
          <w:sz w:val="20"/>
          <w:szCs w:val="20"/>
          <w:color w:val="auto"/>
        </w:rPr>
      </w:pPr>
      <w:r>
        <w:rPr>
          <w:rFonts w:ascii="Times New Roman" w:cs="Times New Roman" w:eastAsia="Times New Roman" w:hAnsi="Times New Roman"/>
          <w:sz w:val="18"/>
          <w:szCs w:val="18"/>
          <w:color w:val="auto"/>
        </w:rPr>
        <w:t>Gilbert Avanes</w:t>
      </w: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sectPr>
      <w:pgSz w:w="11900" w:h="16838" w:orient="portrait"/>
      <w:cols w:equalWidth="0" w:num="1">
        <w:col w:w="10340"/>
      </w:cols>
      <w:pgMar w:left="320" w:top="29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lowerRoman"/>
      <w:start w:val="1"/>
    </w:lvl>
  </w:abstractNum>
  <w:abstractNum w:abstractNumId="9">
    <w:nsid w:val="4353D0CD"/>
    <w:multiLevelType w:val="hybridMultilevel"/>
    <w:lvl w:ilvl="0">
      <w:lvlJc w:val="left"/>
      <w:lvlText w:val=" "/>
      <w:numFmt w:val="bullet"/>
      <w:start w:val="1"/>
    </w:lvl>
  </w:abstractNum>
  <w:abstractNum w:abstractNumId="10">
    <w:nsid w:val="B03E0C6"/>
    <w:multiLevelType w:val="hybridMultilevel"/>
    <w:lvl w:ilvl="0">
      <w:lvlJc w:val="left"/>
      <w:lvlText w:val=" "/>
      <w:numFmt w:val="bullet"/>
      <w:start w:val="1"/>
    </w:lvl>
  </w:abstractNum>
  <w:abstractNum w:abstractNumId="11">
    <w:nsid w:val="189A769B"/>
    <w:multiLevelType w:val="hybridMultilevel"/>
    <w:lvl w:ilvl="0">
      <w:lvlJc w:val="left"/>
      <w:lvlText w:val=" "/>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
      <w:numFmt w:val="bullet"/>
      <w:start w:val="1"/>
    </w:lvl>
  </w:abstractNum>
  <w:abstractNum w:abstractNumId="14">
    <w:nsid w:val="2CA88611"/>
    <w:multiLevelType w:val="hybridMultilevel"/>
    <w:lvl w:ilvl="0">
      <w:lvlJc w:val="left"/>
      <w:lvlText w:val=" "/>
      <w:numFmt w:val="bullet"/>
      <w:start w:val="1"/>
    </w:lvl>
  </w:abstractNum>
  <w:abstractNum w:abstractNumId="15">
    <w:nsid w:val="836C40E"/>
    <w:multiLevelType w:val="hybridMultilevel"/>
    <w:lvl w:ilvl="0">
      <w:lvlJc w:val="left"/>
      <w:lvlText w:val=" "/>
      <w:numFmt w:val="bullet"/>
      <w:start w:val="1"/>
    </w:lvl>
  </w:abstractNum>
  <w:abstractNum w:abstractNumId="16">
    <w:nsid w:val="2901D82"/>
    <w:multiLevelType w:val="hybridMultilevel"/>
    <w:lvl w:ilvl="0">
      <w:lvlJc w:val="left"/>
      <w:lvlText w:val=" "/>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
      <w:numFmt w:val="bullet"/>
      <w:start w:val="1"/>
    </w:lvl>
  </w:abstractNum>
  <w:abstractNum w:abstractNumId="21">
    <w:nsid w:val="737B8DDC"/>
    <w:multiLevelType w:val="hybridMultilevel"/>
    <w:lvl w:ilvl="0">
      <w:lvlJc w:val="left"/>
      <w:lvlText w:val=" "/>
      <w:numFmt w:val="bullet"/>
      <w:start w:val="1"/>
    </w:lvl>
  </w:abstractNum>
  <w:abstractNum w:abstractNumId="22">
    <w:nsid w:val="6CEAF087"/>
    <w:multiLevelType w:val="hybridMultilevel"/>
    <w:lvl w:ilvl="0">
      <w:lvlJc w:val="left"/>
      <w:lvlText w:val=" "/>
      <w:numFmt w:val="bullet"/>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 "/>
      <w:numFmt w:val="bullet"/>
      <w:start w:val="1"/>
    </w:lvl>
  </w:abstractNum>
  <w:abstractNum w:abstractNumId="26">
    <w:nsid w:val="614FD4A1"/>
    <w:multiLevelType w:val="hybridMultilevel"/>
    <w:lvl w:ilvl="0">
      <w:lvlJc w:val="left"/>
      <w:lvlText w:val=" "/>
      <w:numFmt w:val="bullet"/>
      <w:start w:val="1"/>
    </w:lvl>
  </w:abstractNum>
  <w:abstractNum w:abstractNumId="27">
    <w:nsid w:val="419AC241"/>
    <w:multiLevelType w:val="hybridMultilevel"/>
    <w:lvl w:ilvl="0">
      <w:lvlJc w:val="left"/>
      <w:lvlText w:val=" "/>
      <w:numFmt w:val="bullet"/>
      <w:start w:val="1"/>
    </w:lvl>
  </w:abstractNum>
  <w:abstractNum w:abstractNumId="28">
    <w:nsid w:val="5577F8E1"/>
    <w:multiLevelType w:val="hybridMultilevel"/>
    <w:lvl w:ilvl="0">
      <w:lvlJc w:val="left"/>
      <w:lvlText w:val=" "/>
      <w:numFmt w:val="bullet"/>
      <w:start w:val="1"/>
    </w:lvl>
  </w:abstractNum>
  <w:abstractNum w:abstractNumId="29">
    <w:nsid w:val="440BADFC"/>
    <w:multiLevelType w:val="hybridMultilevel"/>
    <w:lvl w:ilvl="0">
      <w:lvlJc w:val="left"/>
      <w:lvlText w:val=" "/>
      <w:numFmt w:val="bullet"/>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endash "/>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lowerRoman"/>
      <w:start w:val="2"/>
    </w:lvl>
  </w:abstractNum>
  <w:abstractNum w:abstractNumId="35">
    <w:nsid w:val="2463B9EA"/>
    <w:multiLevelType w:val="hybridMultilevel"/>
    <w:lvl w:ilvl="0">
      <w:lvlJc w:val="left"/>
      <w:lvlText w:val=" "/>
      <w:numFmt w:val="bullet"/>
      <w:start w:val="1"/>
    </w:lvl>
  </w:abstractNum>
  <w:abstractNum w:abstractNumId="36">
    <w:nsid w:val="5E884ADC"/>
    <w:multiLevelType w:val="hybridMultilevel"/>
    <w:lvl w:ilvl="0">
      <w:lvlJc w:val="left"/>
      <w:lvlText w:val=" "/>
      <w:numFmt w:val="bullet"/>
      <w:start w:val="1"/>
    </w:lvl>
  </w:abstractNum>
  <w:abstractNum w:abstractNumId="37">
    <w:nsid w:val="51EAD36B"/>
    <w:multiLevelType w:val="hybridMultilevel"/>
    <w:lvl w:ilvl="0">
      <w:lvlJc w:val="left"/>
      <w:lvlText w:val=" "/>
      <w:numFmt w:val="bullet"/>
      <w:start w:val="1"/>
    </w:lvl>
  </w:abstractNum>
  <w:abstractNum w:abstractNumId="38">
    <w:nsid w:val="2D517796"/>
    <w:multiLevelType w:val="hybridMultilevel"/>
    <w:lvl w:ilvl="0">
      <w:lvlJc w:val="left"/>
      <w:lvlText w:val=" "/>
      <w:numFmt w:val="bullet"/>
      <w:start w:val="1"/>
    </w:lvl>
  </w:abstractNum>
  <w:abstractNum w:abstractNumId="39">
    <w:nsid w:val="580BD78F"/>
    <w:multiLevelType w:val="hybridMultilevel"/>
    <w:lvl w:ilvl="0">
      <w:lvlJc w:val="left"/>
      <w:lvlText w:val="%1"/>
      <w:numFmt w:val="decimal"/>
      <w:start w:val="10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74" Type="http://schemas.openxmlformats.org/officeDocument/2006/relationships/hyperlink" Target="http://www.sec.gov/Archives/edgar/data/716634/000071663424000025/rdi-20240630xex10_1.htm" TargetMode="External"/><Relationship Id="rId75" Type="http://schemas.openxmlformats.org/officeDocument/2006/relationships/hyperlink" Target="http://www.sec.gov/Archives/edgar/data/716634/000071663424000025/rdi-20240630xex10_2.htm" TargetMode="External"/><Relationship Id="rId76" Type="http://schemas.openxmlformats.org/officeDocument/2006/relationships/hyperlink" Target="http://www.sec.gov/Archives/edgar/data/716634/000071663424000025/rdi-20240630xex31_1.htm" TargetMode="External"/><Relationship Id="rId77" Type="http://schemas.openxmlformats.org/officeDocument/2006/relationships/hyperlink" Target="http://www.sec.gov/Archives/edgar/data/716634/000071663424000025/rdi-20240630xex31_2.htm" TargetMode="External"/><Relationship Id="rId78" Type="http://schemas.openxmlformats.org/officeDocument/2006/relationships/hyperlink" Target="http://www.sec.gov/Archives/edgar/data/716634/000071663424000025/rdi-20240630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2025-03-31T13:26:02Z</dcterms:created>
  <dcterms:modified xsi:type="dcterms:W3CDTF">2025-03-31T13:26:02Z</dcterms:modified>
</cp:coreProperties>
</file>