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00"/>
        <w:spacing w:after="0"/>
        <w:rPr>
          <w:sz w:val="20"/>
          <w:szCs w:val="20"/>
          <w:color w:val="auto"/>
        </w:rPr>
      </w:pPr>
      <w:r>
        <w:rPr>
          <w:rFonts w:ascii="Times New Roman" w:cs="Times New Roman" w:eastAsia="Times New Roman" w:hAnsi="Times New Roman"/>
          <w:sz w:val="17"/>
          <w:szCs w:val="17"/>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97" w:lineRule="exact"/>
        <w:rPr>
          <w:sz w:val="24"/>
          <w:szCs w:val="24"/>
          <w:color w:val="auto"/>
        </w:rPr>
      </w:pPr>
    </w:p>
    <w:p>
      <w:pPr>
        <w:ind w:left="3840" w:right="1720" w:hanging="2105"/>
        <w:spacing w:after="0" w:line="300" w:lineRule="auto"/>
        <w:tabs>
          <w:tab w:leader="none" w:pos="1971"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 For the fiscal year ended December 31, 2017 or</w:t>
      </w:r>
    </w:p>
    <w:p>
      <w:pPr>
        <w:spacing w:after="0" w:line="42" w:lineRule="exact"/>
        <w:rPr>
          <w:rFonts w:ascii="MS PGothic" w:cs="MS PGothic" w:eastAsia="MS PGothic" w:hAnsi="MS PGothic"/>
          <w:sz w:val="14"/>
          <w:szCs w:val="14"/>
          <w:color w:val="auto"/>
        </w:rPr>
      </w:pPr>
    </w:p>
    <w:p>
      <w:pPr>
        <w:ind w:left="3780" w:right="1600" w:hanging="2176"/>
        <w:spacing w:after="0" w:line="300" w:lineRule="auto"/>
        <w:tabs>
          <w:tab w:leader="none" w:pos="184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 For the transition period from _______ to 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2649855</wp:posOffset>
            </wp:positionH>
            <wp:positionV relativeFrom="paragraph">
              <wp:posOffset>79375</wp:posOffset>
            </wp:positionV>
            <wp:extent cx="1322705" cy="633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2705" cy="633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READING INTERNATIONAL,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5" w:lineRule="exact"/>
        <w:rPr>
          <w:sz w:val="24"/>
          <w:szCs w:val="24"/>
          <w:color w:val="auto"/>
        </w:rPr>
      </w:pPr>
    </w:p>
    <w:tbl>
      <w:tblPr>
        <w:tblLayout w:type="fixed"/>
        <w:tblInd w:w="1400" w:type="dxa"/>
        <w:tblCellMar>
          <w:top w:w="0" w:type="dxa"/>
          <w:left w:w="0" w:type="dxa"/>
          <w:bottom w:w="0" w:type="dxa"/>
          <w:right w:w="0" w:type="dxa"/>
        </w:tblCellMar>
      </w:tblPr>
      <w:tr>
        <w:trPr>
          <w:trHeight w:val="173"/>
        </w:trPr>
        <w:tc>
          <w:tcPr>
            <w:tcW w:w="4200" w:type="dxa"/>
            <w:vAlign w:val="bottom"/>
          </w:tcPr>
          <w:p>
            <w:pPr>
              <w:jc w:val="center"/>
              <w:ind w:right="1373"/>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33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95-3885184</w:t>
            </w:r>
          </w:p>
        </w:tc>
      </w:tr>
      <w:tr>
        <w:trPr>
          <w:trHeight w:val="122"/>
        </w:trPr>
        <w:tc>
          <w:tcPr>
            <w:tcW w:w="4200" w:type="dxa"/>
            <w:vAlign w:val="bottom"/>
          </w:tcPr>
          <w:p>
            <w:pPr>
              <w:jc w:val="center"/>
              <w:ind w:right="1373"/>
              <w:spacing w:after="0" w:line="122" w:lineRule="exact"/>
              <w:rPr>
                <w:sz w:val="20"/>
                <w:szCs w:val="20"/>
                <w:color w:val="auto"/>
              </w:rPr>
            </w:pPr>
            <w:r>
              <w:rPr>
                <w:rFonts w:ascii="Times New Roman" w:cs="Times New Roman" w:eastAsia="Times New Roman" w:hAnsi="Times New Roman"/>
                <w:sz w:val="12"/>
                <w:szCs w:val="12"/>
                <w:color w:val="auto"/>
                <w:w w:val="96"/>
              </w:rPr>
              <w:t>(State or other jurisdiction of incorporation or organization)</w:t>
            </w:r>
          </w:p>
        </w:tc>
        <w:tc>
          <w:tcPr>
            <w:tcW w:w="3320" w:type="dxa"/>
            <w:vAlign w:val="bottom"/>
          </w:tcPr>
          <w:p>
            <w:pPr>
              <w:jc w:val="center"/>
              <w:ind w:left="1375"/>
              <w:spacing w:after="0" w:line="122" w:lineRule="exact"/>
              <w:rPr>
                <w:sz w:val="20"/>
                <w:szCs w:val="20"/>
                <w:color w:val="auto"/>
              </w:rPr>
            </w:pPr>
            <w:r>
              <w:rPr>
                <w:rFonts w:ascii="Times New Roman" w:cs="Times New Roman" w:eastAsia="Times New Roman" w:hAnsi="Times New Roman"/>
                <w:sz w:val="12"/>
                <w:szCs w:val="12"/>
                <w:color w:val="auto"/>
                <w:w w:val="95"/>
              </w:rPr>
              <w:t>(I.R.S. Employer Identification Number)</w:t>
            </w:r>
          </w:p>
        </w:tc>
      </w:tr>
      <w:tr>
        <w:trPr>
          <w:trHeight w:val="174"/>
        </w:trPr>
        <w:tc>
          <w:tcPr>
            <w:tcW w:w="4200" w:type="dxa"/>
            <w:vAlign w:val="bottom"/>
          </w:tcPr>
          <w:p>
            <w:pPr>
              <w:jc w:val="center"/>
              <w:ind w:right="1393"/>
              <w:spacing w:after="0"/>
              <w:rPr>
                <w:sz w:val="20"/>
                <w:szCs w:val="20"/>
                <w:color w:val="auto"/>
              </w:rPr>
            </w:pPr>
            <w:r>
              <w:rPr>
                <w:rFonts w:ascii="Times New Roman" w:cs="Times New Roman" w:eastAsia="Times New Roman" w:hAnsi="Times New Roman"/>
                <w:sz w:val="14"/>
                <w:szCs w:val="14"/>
                <w:color w:val="auto"/>
              </w:rPr>
              <w:t>5995 Sepulveda Boulevard, Suite 300</w:t>
            </w:r>
          </w:p>
        </w:tc>
        <w:tc>
          <w:tcPr>
            <w:tcW w:w="3320" w:type="dxa"/>
            <w:vAlign w:val="bottom"/>
          </w:tcPr>
          <w:p>
            <w:pPr>
              <w:spacing w:after="0"/>
              <w:rPr>
                <w:sz w:val="15"/>
                <w:szCs w:val="15"/>
                <w:color w:val="auto"/>
              </w:rPr>
            </w:pPr>
          </w:p>
        </w:tc>
      </w:tr>
      <w:tr>
        <w:trPr>
          <w:trHeight w:val="171"/>
        </w:trPr>
        <w:tc>
          <w:tcPr>
            <w:tcW w:w="4200" w:type="dxa"/>
            <w:vAlign w:val="bottom"/>
          </w:tcPr>
          <w:p>
            <w:pPr>
              <w:jc w:val="center"/>
              <w:ind w:right="1393"/>
              <w:spacing w:after="0"/>
              <w:rPr>
                <w:sz w:val="20"/>
                <w:szCs w:val="20"/>
                <w:color w:val="auto"/>
              </w:rPr>
            </w:pPr>
            <w:r>
              <w:rPr>
                <w:rFonts w:ascii="Times New Roman" w:cs="Times New Roman" w:eastAsia="Times New Roman" w:hAnsi="Times New Roman"/>
                <w:sz w:val="14"/>
                <w:szCs w:val="14"/>
                <w:color w:val="auto"/>
              </w:rPr>
              <w:t>Culver City, CA</w:t>
            </w:r>
          </w:p>
        </w:tc>
        <w:tc>
          <w:tcPr>
            <w:tcW w:w="3320" w:type="dxa"/>
            <w:vAlign w:val="bottom"/>
          </w:tcPr>
          <w:p>
            <w:pPr>
              <w:jc w:val="right"/>
              <w:ind w:right="695"/>
              <w:spacing w:after="0"/>
              <w:rPr>
                <w:sz w:val="20"/>
                <w:szCs w:val="20"/>
                <w:color w:val="auto"/>
              </w:rPr>
            </w:pPr>
            <w:r>
              <w:rPr>
                <w:rFonts w:ascii="Times New Roman" w:cs="Times New Roman" w:eastAsia="Times New Roman" w:hAnsi="Times New Roman"/>
                <w:sz w:val="14"/>
                <w:szCs w:val="14"/>
                <w:color w:val="auto"/>
              </w:rPr>
              <w:t>90230</w:t>
            </w:r>
          </w:p>
        </w:tc>
      </w:tr>
      <w:tr>
        <w:trPr>
          <w:trHeight w:val="149"/>
        </w:trPr>
        <w:tc>
          <w:tcPr>
            <w:tcW w:w="4200" w:type="dxa"/>
            <w:vAlign w:val="bottom"/>
          </w:tcPr>
          <w:p>
            <w:pPr>
              <w:jc w:val="center"/>
              <w:ind w:right="1373"/>
              <w:spacing w:after="0"/>
              <w:rPr>
                <w:sz w:val="20"/>
                <w:szCs w:val="20"/>
                <w:color w:val="auto"/>
              </w:rPr>
            </w:pPr>
            <w:r>
              <w:rPr>
                <w:rFonts w:ascii="Times New Roman" w:cs="Times New Roman" w:eastAsia="Times New Roman" w:hAnsi="Times New Roman"/>
                <w:sz w:val="12"/>
                <w:szCs w:val="12"/>
                <w:color w:val="auto"/>
                <w:w w:val="96"/>
              </w:rPr>
              <w:t>(Address of principal executive offices)</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 (213) 235-2240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55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2"/>
                <w:szCs w:val="12"/>
                <w:color w:val="auto"/>
                <w:w w:val="94"/>
              </w:rPr>
              <w:t>Title of each class</w:t>
            </w:r>
          </w:p>
        </w:tc>
        <w:tc>
          <w:tcPr>
            <w:tcW w:w="49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2"/>
                <w:szCs w:val="12"/>
                <w:color w:val="auto"/>
                <w:w w:val="95"/>
              </w:rPr>
              <w:t>Name of each exchange on which registered</w:t>
            </w:r>
          </w:p>
        </w:tc>
      </w:tr>
      <w:tr>
        <w:trPr>
          <w:trHeight w:val="148"/>
        </w:trPr>
        <w:tc>
          <w:tcPr>
            <w:tcW w:w="5500" w:type="dxa"/>
            <w:vAlign w:val="bottom"/>
          </w:tcPr>
          <w:p>
            <w:pPr>
              <w:jc w:val="center"/>
              <w:ind w:right="213"/>
              <w:spacing w:after="0" w:line="148" w:lineRule="exact"/>
              <w:rPr>
                <w:sz w:val="20"/>
                <w:szCs w:val="20"/>
                <w:color w:val="auto"/>
              </w:rPr>
            </w:pPr>
            <w:r>
              <w:rPr>
                <w:rFonts w:ascii="Times New Roman" w:cs="Times New Roman" w:eastAsia="Times New Roman" w:hAnsi="Times New Roman"/>
                <w:sz w:val="14"/>
                <w:szCs w:val="14"/>
                <w:b w:val="1"/>
                <w:bCs w:val="1"/>
                <w:color w:val="auto"/>
              </w:rPr>
              <w:t>Class A Nonvoting Common Stock, $0.01 par value</w:t>
            </w:r>
          </w:p>
        </w:tc>
        <w:tc>
          <w:tcPr>
            <w:tcW w:w="4920" w:type="dxa"/>
            <w:vAlign w:val="bottom"/>
          </w:tcPr>
          <w:p>
            <w:pPr>
              <w:jc w:val="center"/>
              <w:ind w:right="213"/>
              <w:spacing w:after="0" w:line="148" w:lineRule="exact"/>
              <w:rPr>
                <w:sz w:val="20"/>
                <w:szCs w:val="20"/>
                <w:color w:val="auto"/>
              </w:rPr>
            </w:pPr>
            <w:r>
              <w:rPr>
                <w:rFonts w:ascii="Times New Roman" w:cs="Times New Roman" w:eastAsia="Times New Roman" w:hAnsi="Times New Roman"/>
                <w:sz w:val="14"/>
                <w:szCs w:val="14"/>
                <w:b w:val="1"/>
                <w:bCs w:val="1"/>
                <w:color w:val="auto"/>
              </w:rPr>
              <w:t>NASDAQ</w:t>
            </w:r>
          </w:p>
        </w:tc>
      </w:tr>
      <w:tr>
        <w:trPr>
          <w:trHeight w:val="191"/>
        </w:trPr>
        <w:tc>
          <w:tcPr>
            <w:tcW w:w="550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Class B Voting Common Stock, $0.01 par value</w:t>
            </w:r>
          </w:p>
        </w:tc>
        <w:tc>
          <w:tcPr>
            <w:tcW w:w="492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NASDAQ</w:t>
            </w:r>
          </w:p>
        </w:tc>
      </w:tr>
    </w:tbl>
    <w:p>
      <w:pPr>
        <w:spacing w:after="0" w:line="80"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8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8" w:lineRule="exact"/>
        <w:rPr>
          <w:sz w:val="24"/>
          <w:szCs w:val="24"/>
          <w:color w:val="auto"/>
        </w:rPr>
      </w:pPr>
    </w:p>
    <w:p>
      <w:pPr>
        <w:ind w:left="40" w:right="300" w:hanging="32"/>
        <w:spacing w:after="0" w:line="183"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right="16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6" w:lineRule="exact"/>
        <w:rPr>
          <w:sz w:val="24"/>
          <w:szCs w:val="24"/>
          <w:color w:val="auto"/>
        </w:rPr>
      </w:pPr>
    </w:p>
    <w:p>
      <w:pPr>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7" w:lineRule="exact"/>
        <w:rPr>
          <w:sz w:val="24"/>
          <w:szCs w:val="24"/>
          <w:color w:val="auto"/>
        </w:rPr>
      </w:pPr>
    </w:p>
    <w:p>
      <w:pPr>
        <w:ind w:right="5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r>
        <w:rPr>
          <w:rFonts w:ascii="MS PGothic" w:cs="MS PGothic" w:eastAsia="MS PGothic" w:hAnsi="MS PGothic"/>
          <w:sz w:val="13"/>
          <w:szCs w:val="13"/>
          <w:color w:val="auto"/>
        </w:rPr>
        <w:t>☐</w:t>
      </w:r>
    </w:p>
    <w:p>
      <w:pPr>
        <w:spacing w:after="0" w:line="47"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p>
      <w:pPr>
        <w:spacing w:after="0" w:line="150" w:lineRule="exact"/>
        <w:tabs>
          <w:tab w:leader="none" w:pos="2620" w:val="left"/>
          <w:tab w:leader="none" w:pos="4020" w:val="left"/>
          <w:tab w:leader="none" w:pos="578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Non-Accelerated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7" w:lineRule="exact"/>
        <w:rPr>
          <w:sz w:val="24"/>
          <w:szCs w:val="24"/>
          <w:color w:val="auto"/>
        </w:rPr>
      </w:pPr>
    </w:p>
    <w:p>
      <w:pPr>
        <w:ind w:right="240"/>
        <w:spacing w:after="0" w:line="170" w:lineRule="exact"/>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w:t>
      </w:r>
      <w:r>
        <w:rPr>
          <w:rFonts w:ascii="MS PGothic" w:cs="MS PGothic" w:eastAsia="MS PGothic" w:hAnsi="MS PGothic"/>
          <w:sz w:val="14"/>
          <w:szCs w:val="14"/>
          <w:color w:val="auto"/>
        </w:rPr>
        <w:t>☐</w:t>
      </w:r>
    </w:p>
    <w:p>
      <w:pPr>
        <w:spacing w:after="0" w:line="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7" w:lineRule="exact"/>
        <w:rPr>
          <w:sz w:val="24"/>
          <w:szCs w:val="24"/>
          <w:color w:val="auto"/>
        </w:rPr>
      </w:pPr>
    </w:p>
    <w:p>
      <w:pPr>
        <w:ind w:right="80"/>
        <w:spacing w:after="0" w:line="229" w:lineRule="auto"/>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 As of March 12, 2018, there were 21,497,716 shares of class A non-voting common stock, par value $0.01 per share and 1,680,590 shares of class B voting common stock, par value $0.01 per share, outstanding. The aggregate market value of voting and nonvoting stock held by non-affiliates of the Registrant was $287,968,855 as of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211455</wp:posOffset>
            </wp:positionV>
            <wp:extent cx="6651625" cy="46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201"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5"/>
        </w:trPr>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700" w:type="dxa"/>
            <w:vAlign w:val="bottom"/>
            <w:gridSpan w:val="17"/>
          </w:tcPr>
          <w:p>
            <w:pPr>
              <w:jc w:val="center"/>
              <w:ind w:right="2860"/>
              <w:spacing w:after="0"/>
              <w:rPr>
                <w:sz w:val="20"/>
                <w:szCs w:val="20"/>
                <w:color w:val="auto"/>
              </w:rPr>
            </w:pPr>
            <w:r>
              <w:rPr>
                <w:rFonts w:ascii="Times New Roman" w:cs="Times New Roman" w:eastAsia="Times New Roman" w:hAnsi="Times New Roman"/>
                <w:sz w:val="22"/>
                <w:szCs w:val="22"/>
                <w:b w:val="1"/>
                <w:bCs w:val="1"/>
                <w:color w:val="auto"/>
                <w:w w:val="98"/>
              </w:rPr>
              <w:t>READING INTERNATIONAL, INC.</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9"/>
        </w:trPr>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40" w:type="dxa"/>
            <w:vAlign w:val="bottom"/>
            <w:tcBorders>
              <w:top w:val="single" w:sz="8" w:color="auto"/>
            </w:tcBorders>
            <w:gridSpan w:val="11"/>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ANNUAL REPORT ON FORM 10-K</w:t>
            </w:r>
          </w:p>
        </w:tc>
        <w:tc>
          <w:tcPr>
            <w:tcW w:w="304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3"/>
        </w:trPr>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80" w:type="dxa"/>
            <w:vAlign w:val="bottom"/>
            <w:gridSpan w:val="13"/>
          </w:tcPr>
          <w:p>
            <w:pPr>
              <w:jc w:val="center"/>
              <w:ind w:right="3700"/>
              <w:spacing w:after="0"/>
              <w:rPr>
                <w:sz w:val="20"/>
                <w:szCs w:val="20"/>
                <w:color w:val="auto"/>
              </w:rPr>
            </w:pPr>
            <w:r>
              <w:rPr>
                <w:rFonts w:ascii="Times New Roman" w:cs="Times New Roman" w:eastAsia="Times New Roman" w:hAnsi="Times New Roman"/>
                <w:sz w:val="13"/>
                <w:szCs w:val="13"/>
                <w:b w:val="1"/>
                <w:bCs w:val="1"/>
                <w:color w:val="auto"/>
              </w:rPr>
              <w:t>YEAR ENDED DECEMBER 31, 2017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0" w:type="dxa"/>
            <w:vAlign w:val="bottom"/>
            <w:gridSpan w:val="11"/>
          </w:tcPr>
          <w:p>
            <w:pPr>
              <w:jc w:val="center"/>
              <w:ind w:right="4580"/>
              <w:spacing w:after="0" w:line="143" w:lineRule="exact"/>
              <w:rPr>
                <w:sz w:val="20"/>
                <w:szCs w:val="20"/>
                <w:color w:val="auto"/>
              </w:rPr>
            </w:pPr>
            <w:r>
              <w:rPr>
                <w:rFonts w:ascii="Times New Roman" w:cs="Times New Roman" w:eastAsia="Times New Roman" w:hAnsi="Times New Roman"/>
                <w:sz w:val="13"/>
                <w:szCs w:val="13"/>
                <w:b w:val="1"/>
                <w:bCs w:val="1"/>
                <w:color w:val="auto"/>
              </w:rPr>
              <w:t>INDEX</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Page</w:t>
            </w:r>
          </w:p>
        </w:tc>
        <w:tc>
          <w:tcPr>
            <w:tcW w:w="20" w:type="dxa"/>
            <w:vAlign w:val="bottom"/>
          </w:tcPr>
          <w:p>
            <w:pPr>
              <w:spacing w:after="0"/>
              <w:rPr>
                <w:sz w:val="19"/>
                <w:szCs w:val="19"/>
                <w:color w:val="auto"/>
              </w:rPr>
            </w:pPr>
          </w:p>
        </w:tc>
      </w:tr>
      <w:tr>
        <w:trPr>
          <w:trHeight w:val="99"/>
        </w:trPr>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PART I</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Item 1 – Our Business</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18">
              <w:r>
                <w:rPr>
                  <w:rFonts w:ascii="Times New Roman" w:cs="Times New Roman" w:eastAsia="Times New Roman" w:hAnsi="Times New Roman"/>
                  <w:sz w:val="14"/>
                  <w:szCs w:val="14"/>
                  <w:color w:val="0000EE"/>
                </w:rPr>
                <w:t>Item 1A – Risk Factors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27">
              <w:r>
                <w:rPr>
                  <w:rFonts w:ascii="Times New Roman" w:cs="Times New Roman" w:eastAsia="Times New Roman" w:hAnsi="Times New Roman"/>
                  <w:sz w:val="14"/>
                  <w:szCs w:val="14"/>
                  <w:color w:val="0000EE"/>
                </w:rPr>
                <w:t>Item 1B – Unresolved Staff Comments</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74"/>
        </w:trPr>
        <w:tc>
          <w:tcPr>
            <w:tcW w:w="100" w:type="dxa"/>
            <w:vAlign w:val="bottom"/>
            <w:shd w:val="clear" w:color="auto" w:fill="CCEEFF"/>
          </w:tcPr>
          <w:p>
            <w:pPr>
              <w:spacing w:after="0"/>
              <w:rPr>
                <w:sz w:val="15"/>
                <w:szCs w:val="15"/>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28">
              <w:r>
                <w:rPr>
                  <w:rFonts w:ascii="Times New Roman" w:cs="Times New Roman" w:eastAsia="Times New Roman" w:hAnsi="Times New Roman"/>
                  <w:sz w:val="14"/>
                  <w:szCs w:val="14"/>
                  <w:color w:val="0000EE"/>
                </w:rPr>
                <w:t>Item 2 – Properties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5"/>
        </w:trPr>
        <w:tc>
          <w:tcPr>
            <w:tcW w:w="1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9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Item 3 – Legal Proceedings</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Item 4 – Mine Safety Disclosures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b w:val="1"/>
                <w:bCs w:val="1"/>
                <w:color w:val="0000EE"/>
              </w:rPr>
            </w:pPr>
            <w:hyperlink w:anchor="page32">
              <w:r>
                <w:rPr>
                  <w:rFonts w:ascii="Times New Roman" w:cs="Times New Roman" w:eastAsia="Times New Roman" w:hAnsi="Times New Roman"/>
                  <w:sz w:val="14"/>
                  <w:szCs w:val="14"/>
                  <w:b w:val="1"/>
                  <w:bCs w:val="1"/>
                  <w:color w:val="0000EE"/>
                </w:rPr>
                <w:t>PART II</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6"/>
        </w:trPr>
        <w:tc>
          <w:tcPr>
            <w:tcW w:w="100" w:type="dxa"/>
            <w:vAlign w:val="bottom"/>
            <w:shd w:val="clear" w:color="auto" w:fill="CCEEFF"/>
          </w:tcPr>
          <w:p>
            <w:pPr>
              <w:spacing w:after="0"/>
              <w:rPr>
                <w:sz w:val="17"/>
                <w:szCs w:val="17"/>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Item 5 – Market for Registrant’s Common Equity, Related Stockholder Matters and Issuer Purchases of Equity Securities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92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9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35">
              <w:r>
                <w:rPr>
                  <w:rFonts w:ascii="Times New Roman" w:cs="Times New Roman" w:eastAsia="Times New Roman" w:hAnsi="Times New Roman"/>
                  <w:sz w:val="14"/>
                  <w:szCs w:val="14"/>
                  <w:color w:val="0000EE"/>
                </w:rPr>
                <w:t>Item 6 – Selected Financial Data</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37">
              <w:r>
                <w:rPr>
                  <w:rFonts w:ascii="Times New Roman" w:cs="Times New Roman" w:eastAsia="Times New Roman" w:hAnsi="Times New Roman"/>
                  <w:sz w:val="14"/>
                  <w:szCs w:val="14"/>
                  <w:color w:val="0000EE"/>
                </w:rPr>
                <w:t>Item 7 – Management’s Discussions and Analysis of Financial Condition and Results of Operations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57">
              <w:r>
                <w:rPr>
                  <w:rFonts w:ascii="Times New Roman" w:cs="Times New Roman" w:eastAsia="Times New Roman" w:hAnsi="Times New Roman"/>
                  <w:sz w:val="14"/>
                  <w:szCs w:val="14"/>
                  <w:color w:val="0000EE"/>
                </w:rPr>
                <w:t>Item 7A – Quantitative and Qualitative Disclosure about Market Risk</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58">
              <w:r>
                <w:rPr>
                  <w:rFonts w:ascii="Times New Roman" w:cs="Times New Roman" w:eastAsia="Times New Roman" w:hAnsi="Times New Roman"/>
                  <w:sz w:val="14"/>
                  <w:szCs w:val="14"/>
                  <w:color w:val="0000EE"/>
                </w:rPr>
                <w:t>Item 8 – Financial Statements and Supplementary Data</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59">
              <w:r>
                <w:rPr>
                  <w:rFonts w:ascii="Times New Roman" w:cs="Times New Roman" w:eastAsia="Times New Roman" w:hAnsi="Times New Roman"/>
                  <w:sz w:val="14"/>
                  <w:szCs w:val="14"/>
                  <w:color w:val="0000EE"/>
                </w:rPr>
                <w:t>Management’s Report on Internal Control over Financial Reporting</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60">
              <w:r>
                <w:rPr>
                  <w:rFonts w:ascii="Times New Roman" w:cs="Times New Roman" w:eastAsia="Times New Roman" w:hAnsi="Times New Roman"/>
                  <w:sz w:val="14"/>
                  <w:szCs w:val="14"/>
                  <w:color w:val="0000EE"/>
                </w:rPr>
                <w:t>Report of Independent Registered Public Accounting Firm (Consolidated Financial Statements)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61">
              <w:r>
                <w:rPr>
                  <w:rFonts w:ascii="Times New Roman" w:cs="Times New Roman" w:eastAsia="Times New Roman" w:hAnsi="Times New Roman"/>
                  <w:sz w:val="14"/>
                  <w:szCs w:val="14"/>
                  <w:color w:val="0000EE"/>
                </w:rPr>
                <w:t>Report of Independent Registered Public Accounting Firm (Internal Control over Financial Reporting)</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62">
              <w:r>
                <w:rPr>
                  <w:rFonts w:ascii="Times New Roman" w:cs="Times New Roman" w:eastAsia="Times New Roman" w:hAnsi="Times New Roman"/>
                  <w:sz w:val="14"/>
                  <w:szCs w:val="14"/>
                  <w:color w:val="0000EE"/>
                </w:rPr>
                <w:t>Consolidated Balance Sheets as of December 31, 2017 and 2016</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63">
              <w:r>
                <w:rPr>
                  <w:rFonts w:ascii="Times New Roman" w:cs="Times New Roman" w:eastAsia="Times New Roman" w:hAnsi="Times New Roman"/>
                  <w:sz w:val="14"/>
                  <w:szCs w:val="14"/>
                  <w:color w:val="0000EE"/>
                </w:rPr>
                <w:t>Consolidated Statements of Income for the Three Years Ended December 31, 2017</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64">
              <w:r>
                <w:rPr>
                  <w:rFonts w:ascii="Times New Roman" w:cs="Times New Roman" w:eastAsia="Times New Roman" w:hAnsi="Times New Roman"/>
                  <w:sz w:val="14"/>
                  <w:szCs w:val="14"/>
                  <w:color w:val="0000EE"/>
                </w:rPr>
                <w:t>Consolidated Statements of Comprehensive Income for the Three Years Ended December 31, 2017</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65">
              <w:r>
                <w:rPr>
                  <w:rFonts w:ascii="Times New Roman" w:cs="Times New Roman" w:eastAsia="Times New Roman" w:hAnsi="Times New Roman"/>
                  <w:sz w:val="14"/>
                  <w:szCs w:val="14"/>
                  <w:color w:val="0000EE"/>
                </w:rPr>
                <w:t>Consolidated Statements of Stockholders’ Equity for the Three Years Ended December 31, 2017</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66">
              <w:r>
                <w:rPr>
                  <w:rFonts w:ascii="Times New Roman" w:cs="Times New Roman" w:eastAsia="Times New Roman" w:hAnsi="Times New Roman"/>
                  <w:sz w:val="14"/>
                  <w:szCs w:val="14"/>
                  <w:color w:val="0000EE"/>
                </w:rPr>
                <w:t>Consolidated Statements of Cash Flows for the Three Years Ended December 31, 2017</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Notes to Consolidated Financial Statements</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109">
              <w:r>
                <w:rPr>
                  <w:rFonts w:ascii="Times New Roman" w:cs="Times New Roman" w:eastAsia="Times New Roman" w:hAnsi="Times New Roman"/>
                  <w:sz w:val="14"/>
                  <w:szCs w:val="14"/>
                  <w:color w:val="0000EE"/>
                </w:rPr>
                <w:t>Schedule II – Valuation and Qualifying Accounts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110">
              <w:r>
                <w:rPr>
                  <w:rFonts w:ascii="Times New Roman" w:cs="Times New Roman" w:eastAsia="Times New Roman" w:hAnsi="Times New Roman"/>
                  <w:sz w:val="14"/>
                  <w:szCs w:val="14"/>
                  <w:color w:val="0000EE"/>
                </w:rPr>
                <w:t>Item 9 – Change in and Disagreements with Accountants on Accounting and Financial Disclosure</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110">
              <w:r>
                <w:rPr>
                  <w:rFonts w:ascii="Times New Roman" w:cs="Times New Roman" w:eastAsia="Times New Roman" w:hAnsi="Times New Roman"/>
                  <w:sz w:val="14"/>
                  <w:szCs w:val="14"/>
                  <w:color w:val="0000EE"/>
                </w:rPr>
                <w:t>Item 9A – Controls and Procedures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b w:val="1"/>
                <w:bCs w:val="1"/>
                <w:color w:val="0000EE"/>
              </w:rPr>
            </w:pPr>
            <w:hyperlink w:anchor="page111">
              <w:r>
                <w:rPr>
                  <w:rFonts w:ascii="Times New Roman" w:cs="Times New Roman" w:eastAsia="Times New Roman" w:hAnsi="Times New Roman"/>
                  <w:sz w:val="14"/>
                  <w:szCs w:val="14"/>
                  <w:b w:val="1"/>
                  <w:bCs w:val="1"/>
                  <w:color w:val="0000EE"/>
                </w:rPr>
                <w:t>PART III</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b w:val="1"/>
                <w:bCs w:val="1"/>
                <w:color w:val="0000EE"/>
              </w:rPr>
            </w:pPr>
            <w:hyperlink w:anchor="page112">
              <w:r>
                <w:rPr>
                  <w:rFonts w:ascii="Times New Roman" w:cs="Times New Roman" w:eastAsia="Times New Roman" w:hAnsi="Times New Roman"/>
                  <w:sz w:val="14"/>
                  <w:szCs w:val="14"/>
                  <w:b w:val="1"/>
                  <w:bCs w:val="1"/>
                  <w:color w:val="0000EE"/>
                </w:rPr>
                <w:t>PART IV</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9900" w:type="dxa"/>
            <w:vAlign w:val="bottom"/>
            <w:gridSpan w:val="33"/>
          </w:tcPr>
          <w:p>
            <w:pPr>
              <w:spacing w:after="0"/>
              <w:rPr>
                <w:rFonts w:ascii="Times New Roman" w:cs="Times New Roman" w:eastAsia="Times New Roman" w:hAnsi="Times New Roman"/>
                <w:sz w:val="14"/>
                <w:szCs w:val="14"/>
                <w:color w:val="0000EE"/>
              </w:rPr>
            </w:pPr>
            <w:hyperlink w:anchor="page112">
              <w:r>
                <w:rPr>
                  <w:rFonts w:ascii="Times New Roman" w:cs="Times New Roman" w:eastAsia="Times New Roman" w:hAnsi="Times New Roman"/>
                  <w:sz w:val="14"/>
                  <w:szCs w:val="14"/>
                  <w:color w:val="0000EE"/>
                </w:rPr>
                <w:t>Item 15 – Exhibits, Financial Statement Schedules</w:t>
              </w:r>
            </w:hyperlink>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9900" w:type="dxa"/>
            <w:vAlign w:val="bottom"/>
            <w:gridSpan w:val="33"/>
            <w:shd w:val="clear" w:color="auto" w:fill="CCEEFF"/>
          </w:tcPr>
          <w:p>
            <w:pPr>
              <w:spacing w:after="0"/>
              <w:rPr>
                <w:rFonts w:ascii="Times New Roman" w:cs="Times New Roman" w:eastAsia="Times New Roman" w:hAnsi="Times New Roman"/>
                <w:sz w:val="14"/>
                <w:szCs w:val="14"/>
                <w:b w:val="1"/>
                <w:bCs w:val="1"/>
                <w:color w:val="0000EE"/>
              </w:rPr>
            </w:pPr>
            <w:hyperlink w:anchor="page116">
              <w:r>
                <w:rPr>
                  <w:rFonts w:ascii="Times New Roman" w:cs="Times New Roman" w:eastAsia="Times New Roman" w:hAnsi="Times New Roman"/>
                  <w:sz w:val="14"/>
                  <w:szCs w:val="14"/>
                  <w:b w:val="1"/>
                  <w:bCs w:val="1"/>
                  <w:color w:val="0000EE"/>
                </w:rPr>
                <w:t>SIGNATURES</w:t>
              </w:r>
            </w:hyperlink>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521"/>
        </w:trPr>
        <w:tc>
          <w:tcPr>
            <w:tcW w:w="5420" w:type="dxa"/>
            <w:vAlign w:val="bottom"/>
            <w:gridSpan w:val="25"/>
          </w:tcPr>
          <w:p>
            <w:pPr>
              <w:jc w:val="center"/>
              <w:ind w:left="494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6610985</wp:posOffset>
            </wp:positionH>
            <wp:positionV relativeFrom="paragraph">
              <wp:posOffset>-33020</wp:posOffset>
            </wp:positionV>
            <wp:extent cx="32385" cy="46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-33020</wp:posOffset>
            </wp:positionV>
            <wp:extent cx="32385" cy="46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10440"/>
          </w:cols>
          <w:pgMar w:left="740" w:top="125" w:right="719" w:bottom="1440" w:gutter="0" w:footer="0" w:header="0"/>
        </w:sectPr>
      </w:pPr>
    </w:p>
    <w:bookmarkStart w:id="2" w:name="page3"/>
    <w:bookmarkEnd w:id="2"/>
    <w:p>
      <w:pPr>
        <w:ind w:left="220" w:right="340"/>
        <w:spacing w:after="0" w:line="244" w:lineRule="auto"/>
        <w:rPr>
          <w:sz w:val="20"/>
          <w:szCs w:val="20"/>
          <w:color w:val="auto"/>
        </w:rPr>
      </w:pPr>
      <w:r>
        <w:rPr>
          <w:rFonts w:ascii="Times New Roman" w:cs="Times New Roman" w:eastAsia="Times New Roman" w:hAnsi="Times New Roman"/>
          <w:sz w:val="10"/>
          <w:szCs w:val="10"/>
          <w:i w:val="1"/>
          <w:iCs w:val="1"/>
          <w:color w:val="auto"/>
        </w:rPr>
        <w:drawing>
          <wp:anchor simplePos="0" relativeHeight="251657728" behindDoc="1" locked="0" layoutInCell="0" allowOverlap="1">
            <wp:simplePos x="0" y="0"/>
            <wp:positionH relativeFrom="page">
              <wp:posOffset>474345</wp:posOffset>
            </wp:positionH>
            <wp:positionV relativeFrom="page">
              <wp:posOffset>199390</wp:posOffset>
            </wp:positionV>
            <wp:extent cx="661225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351155"/>
                    </a:xfrm>
                    <a:prstGeom prst="rect">
                      <a:avLst/>
                    </a:prstGeom>
                    <a:noFill/>
                  </pic:spPr>
                </pic:pic>
              </a:graphicData>
            </a:graphic>
          </wp:anchor>
        </w:drawing>
        <w:t>The information in this Annual Report on Form 10-K for the year ended December 31, 2017 ("2017 Form 10-K" or “2017 Annual Report”)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"Item 1 – Our Business," "Item 1A – Risk Factors," and "Item 7 – Management's Discussions and Analysis of Financial Condition and Results of Operations" as well as those discussed elsewhere in this 2017 Form 10-K.</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6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Reading International, Inc. (“RDI” and collectively with our consolidated subsidiaries and corporate predecessors, the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located at 5995 Sepulveda Blvd, Suite 300, Culver City (a Los Angeles suburb), California, United States 90230.</w:t>
      </w:r>
    </w:p>
    <w:p>
      <w:pPr>
        <w:spacing w:after="0" w:line="10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4"/>
          <w:szCs w:val="14"/>
          <w:color w:val="auto"/>
        </w:rPr>
        <w:t xml:space="preserve">Our corporate website address is </w:t>
      </w:r>
      <w:r>
        <w:rPr>
          <w:rFonts w:ascii="Times New Roman" w:cs="Times New Roman" w:eastAsia="Times New Roman" w:hAnsi="Times New Roman"/>
          <w:sz w:val="14"/>
          <w:szCs w:val="14"/>
          <w:b w:val="1"/>
          <w:bCs w:val="1"/>
          <w:u w:val="single" w:color="auto"/>
          <w:color w:val="auto"/>
        </w:rPr>
        <w:t>www.ReadingRDI.com</w:t>
      </w:r>
      <w:r>
        <w:rPr>
          <w:rFonts w:ascii="Times New Roman" w:cs="Times New Roman" w:eastAsia="Times New Roman" w:hAnsi="Times New Roman"/>
          <w:sz w:val="14"/>
          <w:szCs w:val="14"/>
          <w:color w:val="auto"/>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The contents of our Company website are not incorporated into this report. Our corporate governance charters for our Audit and Conflicts Committee and Compensation and Stock Options Committee are available on our website.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DESCRIPTION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Synergistic Diversification and Branding</w:t>
      </w:r>
    </w:p>
    <w:p>
      <w:pPr>
        <w:spacing w:after="0" w:line="3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4"/>
          <w:szCs w:val="14"/>
          <w:color w:val="auto"/>
        </w:rPr>
        <w:t>We are a diversified company principally focused on the development, ownership and operation of entertainment and real property assets in three jurisdictions: (i) United States (“U.S.”), (ii) Australia, and (iii) New Zealand. We group our businesses in two (2) operating segments:</w:t>
      </w:r>
    </w:p>
    <w:p>
      <w:pPr>
        <w:spacing w:after="0" w:line="130" w:lineRule="exact"/>
        <w:rPr>
          <w:sz w:val="20"/>
          <w:szCs w:val="20"/>
          <w:color w:val="auto"/>
        </w:rPr>
      </w:pPr>
    </w:p>
    <w:p>
      <w:pPr>
        <w:ind w:left="520" w:hanging="252"/>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Theatrical Motion Picture Exhibition </w:t>
      </w:r>
      <w:r>
        <w:rPr>
          <w:rFonts w:ascii="Times New Roman" w:cs="Times New Roman" w:eastAsia="Times New Roman" w:hAnsi="Times New Roman"/>
          <w:sz w:val="14"/>
          <w:szCs w:val="14"/>
          <w:color w:val="auto"/>
        </w:rPr>
        <w:t>(“Cinema Exhibition”), through our 59 cinemas, and,</w:t>
      </w:r>
    </w:p>
    <w:p>
      <w:pPr>
        <w:spacing w:after="0" w:line="31" w:lineRule="exact"/>
        <w:rPr>
          <w:rFonts w:ascii="Times New Roman" w:cs="Times New Roman" w:eastAsia="Times New Roman" w:hAnsi="Times New Roman"/>
          <w:sz w:val="14"/>
          <w:szCs w:val="14"/>
          <w:color w:val="auto"/>
        </w:rPr>
      </w:pPr>
    </w:p>
    <w:p>
      <w:pPr>
        <w:ind w:left="520" w:right="40" w:hanging="252"/>
        <w:spacing w:after="0" w:line="27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Real Estate</w:t>
      </w:r>
      <w:r>
        <w:rPr>
          <w:rFonts w:ascii="Times New Roman" w:cs="Times New Roman" w:eastAsia="Times New Roman" w:hAnsi="Times New Roman"/>
          <w:sz w:val="14"/>
          <w:szCs w:val="14"/>
          <w:color w:val="auto"/>
        </w:rPr>
        <w:t>, including real estate development and the rental or licensing of retail, commercial and live theater assets comprising some 21,918,000 square foot of land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842,000 square feet of net rentable area.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portfolio of commercial brands is described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Our Commercial Brands</w:t>
            </w:r>
          </w:p>
        </w:tc>
        <w:tc>
          <w:tcPr>
            <w:tcW w:w="13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960" w:type="dxa"/>
            <w:vAlign w:val="bottom"/>
            <w:tcBorders>
              <w:top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40" w:type="dxa"/>
            <w:vAlign w:val="bottom"/>
            <w:tcBorders>
              <w:top w:val="single" w:sz="8" w:color="auto"/>
            </w:tcBorders>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Website Link</w:t>
            </w:r>
          </w:p>
        </w:tc>
        <w:tc>
          <w:tcPr>
            <w:tcW w:w="0" w:type="dxa"/>
            <w:vAlign w:val="bottom"/>
          </w:tcPr>
          <w:p>
            <w:pPr>
              <w:spacing w:after="0"/>
              <w:rPr>
                <w:sz w:val="1"/>
                <w:szCs w:val="1"/>
                <w:color w:val="auto"/>
              </w:rPr>
            </w:pPr>
          </w:p>
        </w:tc>
      </w:tr>
      <w:tr>
        <w:trPr>
          <w:trHeight w:val="10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Unit</w:t>
            </w:r>
          </w:p>
        </w:tc>
        <w:tc>
          <w:tcPr>
            <w:tcW w:w="18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0440"/>
          </w:cols>
          <w:pgMar w:left="740" w:top="406" w:right="719" w:bottom="1440" w:gutter="0" w:footer="0" w:header="0"/>
        </w:sectPr>
      </w:pPr>
    </w:p>
    <w:tbl>
      <w:tblPr>
        <w:tblLayout w:type="fixed"/>
        <w:tblInd w:w="40" w:type="dxa"/>
        <w:tblCellMar>
          <w:top w:w="0" w:type="dxa"/>
          <w:left w:w="0" w:type="dxa"/>
          <w:bottom w:w="0" w:type="dxa"/>
          <w:right w:w="0" w:type="dxa"/>
        </w:tblCellMar>
      </w:tblPr>
      <w:tr>
        <w:trPr>
          <w:trHeight w:val="174"/>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Cinema</w:t>
            </w:r>
          </w:p>
        </w:tc>
        <w:tc>
          <w:tcPr>
            <w:tcW w:w="19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United States,</w:t>
            </w:r>
          </w:p>
        </w:tc>
      </w:tr>
      <w:tr>
        <w:trPr>
          <w:trHeight w:val="176"/>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Exhibition</w:t>
            </w:r>
          </w:p>
        </w:tc>
        <w:tc>
          <w:tcPr>
            <w:tcW w:w="19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Australia, New</w:t>
            </w:r>
          </w:p>
        </w:tc>
      </w:tr>
      <w:tr>
        <w:trPr>
          <w:trHeight w:val="174"/>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  All</w:t>
            </w:r>
          </w:p>
        </w:tc>
        <w:tc>
          <w:tcPr>
            <w:tcW w:w="19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Zealand</w:t>
            </w: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Countries</w:t>
            </w:r>
          </w:p>
        </w:tc>
        <w:tc>
          <w:tcPr>
            <w:tcW w:w="19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-440690</wp:posOffset>
            </wp:positionV>
            <wp:extent cx="1074420" cy="37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4420" cy="379095"/>
                    </a:xfrm>
                    <a:prstGeom prst="rect">
                      <a:avLst/>
                    </a:prstGeom>
                    <a:noFill/>
                  </pic:spPr>
                </pic:pic>
              </a:graphicData>
            </a:graphic>
          </wp:anchor>
        </w:drawing>
        <w:drawing>
          <wp:anchor simplePos="0" relativeHeight="251657728" behindDoc="1" locked="0" layoutInCell="0" allowOverlap="1">
            <wp:simplePos x="0" y="0"/>
            <wp:positionH relativeFrom="column">
              <wp:posOffset>762635</wp:posOffset>
            </wp:positionH>
            <wp:positionV relativeFrom="paragraph">
              <wp:posOffset>392430</wp:posOffset>
            </wp:positionV>
            <wp:extent cx="923290" cy="668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3290" cy="668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Times New Roman" w:cs="Times New Roman" w:eastAsia="Times New Roman" w:hAnsi="Times New Roman"/>
          <w:sz w:val="13"/>
          <w:szCs w:val="13"/>
          <w:color w:val="auto"/>
        </w:rPr>
        <w:t xml:space="preserve">Our </w:t>
      </w:r>
      <w:r>
        <w:rPr>
          <w:rFonts w:ascii="Times New Roman" w:cs="Times New Roman" w:eastAsia="Times New Roman" w:hAnsi="Times New Roman"/>
          <w:sz w:val="13"/>
          <w:szCs w:val="13"/>
          <w:b w:val="1"/>
          <w:bCs w:val="1"/>
          <w:color w:val="auto"/>
        </w:rPr>
        <w:t>Reading Cinemas</w:t>
      </w:r>
      <w:r>
        <w:rPr>
          <w:rFonts w:ascii="Times New Roman" w:cs="Times New Roman" w:eastAsia="Times New Roman" w:hAnsi="Times New Roman"/>
          <w:sz w:val="13"/>
          <w:szCs w:val="13"/>
          <w:color w:val="auto"/>
        </w:rPr>
        <w:t xml:space="preserve"> brand, a name we took from our corporate predecessor (refer to </w:t>
      </w:r>
      <w:r>
        <w:rPr>
          <w:rFonts w:ascii="Times New Roman" w:cs="Times New Roman" w:eastAsia="Times New Roman" w:hAnsi="Times New Roman"/>
          <w:sz w:val="13"/>
          <w:szCs w:val="13"/>
          <w:i w:val="1"/>
          <w:iCs w:val="1"/>
          <w:color w:val="auto"/>
        </w:rPr>
        <w:t>Item 7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Management’s Discussion &amp; Analysis </w:t>
      </w:r>
      <w:r>
        <w:rPr>
          <w:rFonts w:ascii="Times New Roman" w:cs="Times New Roman" w:eastAsia="Times New Roman" w:hAnsi="Times New Roman"/>
          <w:sz w:val="13"/>
          <w:szCs w:val="13"/>
          <w:color w:val="auto"/>
        </w:rPr>
        <w:t>for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History), delivers movie entertainment across our three operating jurisdictions. All our cinemas are equipped with the latest state-of-the-art digital equipment, and some screens feature TITAN XC/LUXE or IMAX.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-836930</wp:posOffset>
            </wp:positionV>
            <wp:extent cx="50209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209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Reading Cinemas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Reading Cinemas AU</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Reading Cinemas NZ</w:t>
      </w:r>
    </w:p>
    <w:p>
      <w:pPr>
        <w:spacing w:after="0" w:line="641" w:lineRule="exact"/>
        <w:rPr>
          <w:sz w:val="20"/>
          <w:szCs w:val="20"/>
          <w:color w:val="auto"/>
        </w:rPr>
      </w:pPr>
    </w:p>
    <w:p>
      <w:pPr>
        <w:sectPr>
          <w:pgSz w:w="11900" w:h="16838" w:orient="portrait"/>
          <w:cols w:equalWidth="0" w:num="3">
            <w:col w:w="3760" w:space="100"/>
            <w:col w:w="2560" w:space="180"/>
            <w:col w:w="3840"/>
          </w:cols>
          <w:pgMar w:left="740" w:top="406" w:right="71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3720" w:type="dxa"/>
            <w:vAlign w:val="bottom"/>
            <w:tcBorders>
              <w:top w:val="single" w:sz="8" w:color="auto"/>
            </w:tcBorders>
          </w:tcPr>
          <w:p>
            <w:pPr>
              <w:ind w:left="100"/>
              <w:spacing w:after="0" w:line="135" w:lineRule="exact"/>
              <w:rPr>
                <w:sz w:val="20"/>
                <w:szCs w:val="20"/>
                <w:color w:val="auto"/>
              </w:rPr>
            </w:pPr>
            <w:r>
              <w:rPr>
                <w:rFonts w:ascii="Times New Roman" w:cs="Times New Roman" w:eastAsia="Times New Roman" w:hAnsi="Times New Roman"/>
                <w:sz w:val="14"/>
                <w:szCs w:val="14"/>
                <w:color w:val="auto"/>
              </w:rPr>
              <w:t xml:space="preserve">United States  </w:t>
            </w:r>
            <w:r>
              <w:rPr>
                <w:rFonts w:ascii="Times New Roman" w:cs="Times New Roman" w:eastAsia="Times New Roman" w:hAnsi="Times New Roman"/>
                <w:sz w:val="13"/>
                <w:szCs w:val="13"/>
                <w:color w:val="auto"/>
              </w:rPr>
              <w:t>Since its opening in 1989,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b w:val="1"/>
                <w:bCs w:val="1"/>
                <w:color w:val="auto"/>
              </w:rPr>
              <w:t>Angelika Film</w:t>
            </w:r>
          </w:p>
        </w:tc>
        <w:tc>
          <w:tcPr>
            <w:tcW w:w="1360" w:type="dxa"/>
            <w:vAlign w:val="bottom"/>
            <w:tcBorders>
              <w:top w:val="single" w:sz="8" w:color="auto"/>
            </w:tcBorders>
          </w:tcPr>
          <w:p>
            <w:pPr>
              <w:ind w:left="40"/>
              <w:spacing w:after="0" w:line="135" w:lineRule="exact"/>
              <w:rPr>
                <w:sz w:val="20"/>
                <w:szCs w:val="20"/>
                <w:color w:val="auto"/>
              </w:rPr>
            </w:pPr>
            <w:r>
              <w:rPr>
                <w:rFonts w:ascii="Times New Roman" w:cs="Times New Roman" w:eastAsia="Times New Roman" w:hAnsi="Times New Roman"/>
                <w:sz w:val="14"/>
                <w:szCs w:val="14"/>
                <w:color w:val="auto"/>
              </w:rPr>
              <w:t>Angelika Film</w:t>
            </w: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 xml:space="preserve">Center </w:t>
            </w:r>
            <w:r>
              <w:rPr>
                <w:rFonts w:ascii="Times New Roman" w:cs="Times New Roman" w:eastAsia="Times New Roman" w:hAnsi="Times New Roman"/>
                <w:sz w:val="13"/>
                <w:szCs w:val="13"/>
                <w:color w:val="auto"/>
              </w:rPr>
              <w:t>(“AFC”) in New York City (“NYC”) is a</w:t>
            </w: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Center</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successful and well-recognized dedicated arthouse</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in the U.S., featuring independent and foreign</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films. Our Angelika brand now has five additional</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cinemas in the U.S., including the states of</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Virginia, Texas, California, and Washington D.C.</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0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72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 xml:space="preserve">United States  </w:t>
            </w:r>
            <w:r>
              <w:rPr>
                <w:rFonts w:ascii="Times New Roman" w:cs="Times New Roman" w:eastAsia="Times New Roman" w:hAnsi="Times New Roman"/>
                <w:sz w:val="13"/>
                <w:szCs w:val="13"/>
                <w:color w:val="auto"/>
              </w:rPr>
              <w:t>In 2017,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b w:val="1"/>
                <w:bCs w:val="1"/>
                <w:color w:val="auto"/>
              </w:rPr>
              <w:t>Consolidated Theatres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celebrated</w:t>
            </w:r>
          </w:p>
        </w:tc>
        <w:tc>
          <w:tcPr>
            <w:tcW w:w="136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color w:val="auto"/>
              </w:rPr>
              <w:t>Consolidated</w:t>
            </w: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100 years of providing cinematic entertainment in</w:t>
            </w: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Theatres</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the state of Hawaii. Currently, we have one (1)</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cinema on the island of Maui and eight (8)</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CONSOLIDATED THEATRES</w:t>
            </w: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cinemas on the island of Oahu, including the</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newly-opened state-of-the-art 8-screen cinema,</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7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Olino by Consolidated Theatres.</w:t>
            </w:r>
          </w:p>
        </w:tc>
        <w:tc>
          <w:tcPr>
            <w:tcW w:w="1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02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72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3</w:t>
            </w: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0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6610985</wp:posOffset>
            </wp:positionH>
            <wp:positionV relativeFrom="paragraph">
              <wp:posOffset>-33020</wp:posOffset>
            </wp:positionV>
            <wp:extent cx="32385" cy="46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-33020</wp:posOffset>
            </wp:positionV>
            <wp:extent cx="32385" cy="46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-1101725</wp:posOffset>
            </wp:positionV>
            <wp:extent cx="785495" cy="509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5495" cy="50990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-516255</wp:posOffset>
            </wp:positionV>
            <wp:extent cx="743585" cy="206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3585" cy="206375"/>
                    </a:xfrm>
                    <a:prstGeom prst="rect">
                      <a:avLst/>
                    </a:prstGeom>
                    <a:noFill/>
                  </pic:spPr>
                </pic:pic>
              </a:graphicData>
            </a:graphic>
          </wp:anchor>
        </w:drawing>
      </w:r>
    </w:p>
    <w:p>
      <w:pPr>
        <w:sectPr>
          <w:pgSz w:w="11900" w:h="16838" w:orient="portrait"/>
          <w:cols w:equalWidth="0" w:num="1">
            <w:col w:w="10440"/>
          </w:cols>
          <w:pgMar w:left="740" w:top="406" w:right="7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9"/>
        </w:trPr>
        <w:tc>
          <w:tcPr>
            <w:tcW w:w="28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98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190"/>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Segment / Unit   Our Commercial Brands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7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3"/>
        </w:trPr>
        <w:tc>
          <w:tcPr>
            <w:tcW w:w="2820" w:type="dxa"/>
            <w:vAlign w:val="bottom"/>
          </w:tcPr>
          <w:p>
            <w:pPr>
              <w:spacing w:after="0"/>
              <w:rPr>
                <w:sz w:val="12"/>
                <w:szCs w:val="12"/>
                <w:color w:val="auto"/>
              </w:rPr>
            </w:pPr>
          </w:p>
        </w:tc>
        <w:tc>
          <w:tcPr>
            <w:tcW w:w="980" w:type="dxa"/>
            <w:vAlign w:val="bottom"/>
          </w:tcPr>
          <w:p>
            <w:pPr>
              <w:jc w:val="center"/>
              <w:ind w:left="8"/>
              <w:spacing w:after="0" w:line="143" w:lineRule="exact"/>
              <w:rPr>
                <w:sz w:val="20"/>
                <w:szCs w:val="20"/>
                <w:color w:val="auto"/>
              </w:rPr>
            </w:pPr>
            <w:r>
              <w:rPr>
                <w:rFonts w:ascii="Times New Roman" w:cs="Times New Roman" w:eastAsia="Times New Roman" w:hAnsi="Times New Roman"/>
                <w:sz w:val="14"/>
                <w:szCs w:val="14"/>
                <w:color w:val="auto"/>
              </w:rPr>
              <w:t>United States</w:t>
            </w:r>
          </w:p>
        </w:tc>
        <w:tc>
          <w:tcPr>
            <w:tcW w:w="27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auto"/>
              </w:rPr>
              <w:t xml:space="preserve">Our </w:t>
            </w:r>
            <w:r>
              <w:rPr>
                <w:rFonts w:ascii="Times New Roman" w:cs="Times New Roman" w:eastAsia="Times New Roman" w:hAnsi="Times New Roman"/>
                <w:sz w:val="13"/>
                <w:szCs w:val="13"/>
                <w:b w:val="1"/>
                <w:bCs w:val="1"/>
                <w:color w:val="auto"/>
              </w:rPr>
              <w:t>City Cinemas</w:t>
            </w:r>
            <w:r>
              <w:rPr>
                <w:rFonts w:ascii="Times New Roman" w:cs="Times New Roman" w:eastAsia="Times New Roman" w:hAnsi="Times New Roman"/>
                <w:sz w:val="13"/>
                <w:szCs w:val="13"/>
                <w:color w:val="auto"/>
              </w:rPr>
              <w:t xml:space="preserve"> circuit, which consists of five</w:t>
            </w:r>
          </w:p>
        </w:tc>
        <w:tc>
          <w:tcPr>
            <w:tcW w:w="138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color w:val="auto"/>
              </w:rPr>
              <w:t>City Cinemas</w:t>
            </w:r>
          </w:p>
        </w:tc>
      </w:tr>
      <w:tr>
        <w:trPr>
          <w:trHeight w:val="163"/>
        </w:trPr>
        <w:tc>
          <w:tcPr>
            <w:tcW w:w="2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cinemas in New York (including one managed</w:t>
            </w:r>
          </w:p>
        </w:tc>
        <w:tc>
          <w:tcPr>
            <w:tcW w:w="1380" w:type="dxa"/>
            <w:vAlign w:val="bottom"/>
          </w:tcPr>
          <w:p>
            <w:pPr>
              <w:spacing w:after="0"/>
              <w:rPr>
                <w:sz w:val="14"/>
                <w:szCs w:val="14"/>
                <w:color w:val="auto"/>
              </w:rPr>
            </w:pPr>
          </w:p>
        </w:tc>
      </w:tr>
      <w:tr>
        <w:trPr>
          <w:trHeight w:val="163"/>
        </w:trPr>
        <w:tc>
          <w:tcPr>
            <w:tcW w:w="2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cinema), features an eclectic mix of programming,</w:t>
            </w:r>
          </w:p>
        </w:tc>
        <w:tc>
          <w:tcPr>
            <w:tcW w:w="1380" w:type="dxa"/>
            <w:vAlign w:val="bottom"/>
          </w:tcPr>
          <w:p>
            <w:pPr>
              <w:spacing w:after="0"/>
              <w:rPr>
                <w:sz w:val="14"/>
                <w:szCs w:val="14"/>
                <w:color w:val="auto"/>
              </w:rPr>
            </w:pPr>
          </w:p>
        </w:tc>
      </w:tr>
      <w:tr>
        <w:trPr>
          <w:trHeight w:val="163"/>
        </w:trPr>
        <w:tc>
          <w:tcPr>
            <w:tcW w:w="2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from mainstream blockbusters to independent</w:t>
            </w:r>
          </w:p>
        </w:tc>
        <w:tc>
          <w:tcPr>
            <w:tcW w:w="138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films.</w:t>
            </w:r>
          </w:p>
        </w:tc>
        <w:tc>
          <w:tcPr>
            <w:tcW w:w="13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-512445</wp:posOffset>
            </wp:positionV>
            <wp:extent cx="1088390" cy="1377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8390" cy="137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p>
        </w:tc>
        <w:tc>
          <w:tcPr>
            <w:tcW w:w="2800" w:type="dxa"/>
            <w:vAlign w:val="bottom"/>
            <w:tcBorders>
              <w:top w:val="single" w:sz="8" w:color="auto"/>
            </w:tcBorders>
          </w:tcPr>
          <w:p>
            <w:pPr>
              <w:jc w:val="center"/>
              <w:ind w:left="1828"/>
              <w:spacing w:after="0"/>
              <w:rPr>
                <w:sz w:val="20"/>
                <w:szCs w:val="20"/>
                <w:color w:val="auto"/>
              </w:rPr>
            </w:pPr>
            <w:r>
              <w:rPr>
                <w:rFonts w:ascii="Times New Roman" w:cs="Times New Roman" w:eastAsia="Times New Roman" w:hAnsi="Times New Roman"/>
                <w:sz w:val="14"/>
                <w:szCs w:val="14"/>
                <w:color w:val="auto"/>
              </w:rPr>
              <w:t>United States</w:t>
            </w:r>
          </w:p>
        </w:tc>
        <w:tc>
          <w:tcPr>
            <w:tcW w:w="2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 xml:space="preserve">The redevelopment of </w:t>
            </w:r>
            <w:r>
              <w:rPr>
                <w:rFonts w:ascii="Times New Roman" w:cs="Times New Roman" w:eastAsia="Times New Roman" w:hAnsi="Times New Roman"/>
                <w:sz w:val="13"/>
                <w:szCs w:val="13"/>
                <w:b w:val="1"/>
                <w:bCs w:val="1"/>
                <w:color w:val="auto"/>
              </w:rPr>
              <w:t>44 Union Square</w:t>
            </w:r>
            <w:r>
              <w:rPr>
                <w:rFonts w:ascii="Times New Roman" w:cs="Times New Roman" w:eastAsia="Times New Roman" w:hAnsi="Times New Roman"/>
                <w:sz w:val="13"/>
                <w:szCs w:val="13"/>
                <w:color w:val="auto"/>
              </w:rPr>
              <w:t>, a</w:t>
            </w:r>
          </w:p>
        </w:tc>
        <w:tc>
          <w:tcPr>
            <w:tcW w:w="1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44 Union Square</w:t>
            </w:r>
          </w:p>
        </w:tc>
      </w:tr>
      <w:tr>
        <w:trPr>
          <w:trHeight w:val="163"/>
        </w:trPr>
        <w:tc>
          <w:tcPr>
            <w:tcW w:w="1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Leasing</w:t>
            </w: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historic Union Square landmark in New York</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City, is under construction and we anticipate this</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flagship real estate property in the U.S. will be</w:t>
            </w:r>
          </w:p>
        </w:tc>
        <w:tc>
          <w:tcPr>
            <w:tcW w:w="1380" w:type="dxa"/>
            <w:vAlign w:val="bottom"/>
          </w:tcPr>
          <w:p>
            <w:pPr>
              <w:spacing w:after="0"/>
              <w:rPr>
                <w:sz w:val="14"/>
                <w:szCs w:val="14"/>
                <w:color w:val="auto"/>
              </w:rPr>
            </w:pPr>
          </w:p>
        </w:tc>
      </w:tr>
      <w:tr>
        <w:trPr>
          <w:trHeight w:val="194"/>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ready for tenant fit-out by 3</w:t>
            </w:r>
            <w:r>
              <w:rPr>
                <w:rFonts w:ascii="Times New Roman" w:cs="Times New Roman" w:eastAsia="Times New Roman" w:hAnsi="Times New Roman"/>
                <w:sz w:val="14"/>
                <w:szCs w:val="14"/>
                <w:color w:val="auto"/>
                <w:vertAlign w:val="superscript"/>
              </w:rPr>
              <w:t>rd</w:t>
            </w:r>
            <w:r>
              <w:rPr>
                <w:rFonts w:ascii="Times New Roman" w:cs="Times New Roman" w:eastAsia="Times New Roman" w:hAnsi="Times New Roman"/>
                <w:sz w:val="13"/>
                <w:szCs w:val="13"/>
                <w:color w:val="auto"/>
              </w:rPr>
              <w:t xml:space="preserve"> quarter of 2018.</w:t>
            </w:r>
          </w:p>
        </w:tc>
        <w:tc>
          <w:tcPr>
            <w:tcW w:w="1380" w:type="dxa"/>
            <w:vAlign w:val="bottom"/>
          </w:tcPr>
          <w:p>
            <w:pPr>
              <w:spacing w:after="0"/>
              <w:rPr>
                <w:sz w:val="16"/>
                <w:szCs w:val="16"/>
                <w:color w:val="auto"/>
              </w:rPr>
            </w:pPr>
          </w:p>
        </w:tc>
      </w:tr>
      <w:tr>
        <w:trPr>
          <w:trHeight w:val="163"/>
        </w:trPr>
        <w:tc>
          <w:tcPr>
            <w:tcW w:w="100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43"/>
        </w:trPr>
        <w:tc>
          <w:tcPr>
            <w:tcW w:w="1000" w:type="dxa"/>
            <w:vAlign w:val="bottom"/>
          </w:tcPr>
          <w:p>
            <w:pPr>
              <w:spacing w:after="0"/>
              <w:rPr>
                <w:sz w:val="12"/>
                <w:szCs w:val="12"/>
                <w:color w:val="auto"/>
              </w:rPr>
            </w:pPr>
          </w:p>
        </w:tc>
        <w:tc>
          <w:tcPr>
            <w:tcW w:w="2800" w:type="dxa"/>
            <w:vAlign w:val="bottom"/>
          </w:tcPr>
          <w:p>
            <w:pPr>
              <w:jc w:val="center"/>
              <w:ind w:left="1808"/>
              <w:spacing w:after="0" w:line="143" w:lineRule="exact"/>
              <w:rPr>
                <w:sz w:val="20"/>
                <w:szCs w:val="20"/>
                <w:color w:val="auto"/>
              </w:rPr>
            </w:pPr>
            <w:r>
              <w:rPr>
                <w:rFonts w:ascii="Times New Roman" w:cs="Times New Roman" w:eastAsia="Times New Roman" w:hAnsi="Times New Roman"/>
                <w:sz w:val="14"/>
                <w:szCs w:val="14"/>
                <w:color w:val="auto"/>
              </w:rPr>
              <w:t>Australia</w:t>
            </w:r>
          </w:p>
        </w:tc>
        <w:tc>
          <w:tcPr>
            <w:tcW w:w="27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auto"/>
              </w:rPr>
              <w:t>We just completed a major expansion of</w:t>
            </w:r>
          </w:p>
        </w:tc>
        <w:tc>
          <w:tcPr>
            <w:tcW w:w="138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color w:val="auto"/>
              </w:rPr>
              <w:t>Newmarket Village</w:t>
            </w: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Newmarket Village, located in a suburb of</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Brisbane, that added a new 8-screen Reading</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Cinemas with TITAN LUXE, an additional</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10,150 square feet (943m2) of restaurant tenants</w:t>
            </w:r>
          </w:p>
        </w:tc>
        <w:tc>
          <w:tcPr>
            <w:tcW w:w="138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and 124 parking spaces.</w:t>
            </w:r>
          </w:p>
        </w:tc>
        <w:tc>
          <w:tcPr>
            <w:tcW w:w="1380" w:type="dxa"/>
            <w:vAlign w:val="bottom"/>
            <w:tcBorders>
              <w:bottom w:val="single" w:sz="8" w:color="auto"/>
            </w:tcBorders>
          </w:tcPr>
          <w:p>
            <w:pPr>
              <w:spacing w:after="0"/>
              <w:rPr>
                <w:sz w:val="14"/>
                <w:szCs w:val="14"/>
                <w:color w:val="auto"/>
              </w:rPr>
            </w:pPr>
          </w:p>
        </w:tc>
      </w:tr>
      <w:tr>
        <w:trPr>
          <w:trHeight w:val="144"/>
        </w:trPr>
        <w:tc>
          <w:tcPr>
            <w:tcW w:w="1000" w:type="dxa"/>
            <w:vAlign w:val="bottom"/>
          </w:tcPr>
          <w:p>
            <w:pPr>
              <w:spacing w:after="0"/>
              <w:rPr>
                <w:sz w:val="12"/>
                <w:szCs w:val="12"/>
                <w:color w:val="auto"/>
              </w:rPr>
            </w:pPr>
          </w:p>
        </w:tc>
        <w:tc>
          <w:tcPr>
            <w:tcW w:w="2800" w:type="dxa"/>
            <w:vAlign w:val="bottom"/>
          </w:tcPr>
          <w:p>
            <w:pPr>
              <w:jc w:val="center"/>
              <w:ind w:left="1808"/>
              <w:spacing w:after="0" w:line="144" w:lineRule="exact"/>
              <w:rPr>
                <w:sz w:val="20"/>
                <w:szCs w:val="20"/>
                <w:color w:val="auto"/>
              </w:rPr>
            </w:pPr>
            <w:r>
              <w:rPr>
                <w:rFonts w:ascii="Times New Roman" w:cs="Times New Roman" w:eastAsia="Times New Roman" w:hAnsi="Times New Roman"/>
                <w:sz w:val="14"/>
                <w:szCs w:val="14"/>
                <w:color w:val="auto"/>
              </w:rPr>
              <w:t>Australia</w:t>
            </w:r>
          </w:p>
        </w:tc>
        <w:tc>
          <w:tcPr>
            <w:tcW w:w="27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Anchored by a 9-screen Reading Cinemas,</w:t>
            </w:r>
          </w:p>
        </w:tc>
        <w:tc>
          <w:tcPr>
            <w:tcW w:w="138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Auburn/Redyard</w:t>
            </w:r>
          </w:p>
        </w:tc>
      </w:tr>
      <w:tr>
        <w:trPr>
          <w:trHeight w:val="165"/>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Auburn/Redyard </w:t>
            </w:r>
            <w:r>
              <w:rPr>
                <w:rFonts w:ascii="Times New Roman" w:cs="Times New Roman" w:eastAsia="Times New Roman" w:hAnsi="Times New Roman"/>
                <w:sz w:val="13"/>
                <w:szCs w:val="13"/>
                <w:color w:val="auto"/>
              </w:rPr>
              <w:t>is an outdoor retail center</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located in a suburb of Sydney that is undergoing a</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major facelift to enhance and improve our retail</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tenancy mix and added three new restaurant</w:t>
            </w:r>
          </w:p>
        </w:tc>
        <w:tc>
          <w:tcPr>
            <w:tcW w:w="138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tenants in 2017.</w:t>
            </w:r>
          </w:p>
        </w:tc>
        <w:tc>
          <w:tcPr>
            <w:tcW w:w="1380" w:type="dxa"/>
            <w:vAlign w:val="bottom"/>
            <w:tcBorders>
              <w:bottom w:val="single" w:sz="8" w:color="auto"/>
            </w:tcBorders>
          </w:tcPr>
          <w:p>
            <w:pPr>
              <w:spacing w:after="0"/>
              <w:rPr>
                <w:sz w:val="14"/>
                <w:szCs w:val="14"/>
                <w:color w:val="auto"/>
              </w:rPr>
            </w:pPr>
          </w:p>
        </w:tc>
      </w:tr>
      <w:tr>
        <w:trPr>
          <w:trHeight w:val="144"/>
        </w:trPr>
        <w:tc>
          <w:tcPr>
            <w:tcW w:w="1000" w:type="dxa"/>
            <w:vAlign w:val="bottom"/>
          </w:tcPr>
          <w:p>
            <w:pPr>
              <w:spacing w:after="0"/>
              <w:rPr>
                <w:sz w:val="12"/>
                <w:szCs w:val="12"/>
                <w:color w:val="auto"/>
              </w:rPr>
            </w:pPr>
          </w:p>
        </w:tc>
        <w:tc>
          <w:tcPr>
            <w:tcW w:w="2800" w:type="dxa"/>
            <w:vAlign w:val="bottom"/>
          </w:tcPr>
          <w:p>
            <w:pPr>
              <w:jc w:val="center"/>
              <w:ind w:left="1808"/>
              <w:spacing w:after="0" w:line="144" w:lineRule="exact"/>
              <w:rPr>
                <w:sz w:val="20"/>
                <w:szCs w:val="20"/>
                <w:color w:val="auto"/>
              </w:rPr>
            </w:pPr>
            <w:r>
              <w:rPr>
                <w:rFonts w:ascii="Times New Roman" w:cs="Times New Roman" w:eastAsia="Times New Roman" w:hAnsi="Times New Roman"/>
                <w:sz w:val="14"/>
                <w:szCs w:val="14"/>
                <w:color w:val="auto"/>
              </w:rPr>
              <w:t>Australia</w:t>
            </w:r>
          </w:p>
        </w:tc>
        <w:tc>
          <w:tcPr>
            <w:tcW w:w="27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Anchored by our own Reading Cinemas, we</w:t>
            </w:r>
          </w:p>
        </w:tc>
        <w:tc>
          <w:tcPr>
            <w:tcW w:w="138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Cannon Park</w:t>
            </w:r>
          </w:p>
        </w:tc>
      </w:tr>
      <w:tr>
        <w:trPr>
          <w:trHeight w:val="165"/>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xml:space="preserve">acquired </w:t>
            </w:r>
            <w:r>
              <w:rPr>
                <w:rFonts w:ascii="Times New Roman" w:cs="Times New Roman" w:eastAsia="Times New Roman" w:hAnsi="Times New Roman"/>
                <w:sz w:val="13"/>
                <w:szCs w:val="13"/>
                <w:b w:val="1"/>
                <w:bCs w:val="1"/>
                <w:color w:val="auto"/>
              </w:rPr>
              <w:t>Cannon Park</w:t>
            </w:r>
            <w:r>
              <w:rPr>
                <w:rFonts w:ascii="Times New Roman" w:cs="Times New Roman" w:eastAsia="Times New Roman" w:hAnsi="Times New Roman"/>
                <w:sz w:val="13"/>
                <w:szCs w:val="13"/>
                <w:color w:val="auto"/>
              </w:rPr>
              <w:t>, comprised of two-</w:t>
            </w:r>
          </w:p>
        </w:tc>
        <w:tc>
          <w:tcPr>
            <w:tcW w:w="1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Townsville</w:t>
            </w: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adjoining retail centers in the State of</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Queensland. The property was purchased in</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December 2015, in line with our strategic</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business plan to organically grow our real estate</w:t>
            </w:r>
          </w:p>
        </w:tc>
        <w:tc>
          <w:tcPr>
            <w:tcW w:w="138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business.</w:t>
            </w:r>
          </w:p>
        </w:tc>
        <w:tc>
          <w:tcPr>
            <w:tcW w:w="1380" w:type="dxa"/>
            <w:vAlign w:val="bottom"/>
            <w:tcBorders>
              <w:bottom w:val="single" w:sz="8" w:color="auto"/>
            </w:tcBorders>
          </w:tcPr>
          <w:p>
            <w:pPr>
              <w:spacing w:after="0"/>
              <w:rPr>
                <w:sz w:val="14"/>
                <w:szCs w:val="14"/>
                <w:color w:val="auto"/>
              </w:rPr>
            </w:pPr>
          </w:p>
        </w:tc>
      </w:tr>
      <w:tr>
        <w:trPr>
          <w:trHeight w:val="146"/>
        </w:trPr>
        <w:tc>
          <w:tcPr>
            <w:tcW w:w="1000" w:type="dxa"/>
            <w:vAlign w:val="bottom"/>
          </w:tcPr>
          <w:p>
            <w:pPr>
              <w:spacing w:after="0"/>
              <w:rPr>
                <w:sz w:val="12"/>
                <w:szCs w:val="12"/>
                <w:color w:val="auto"/>
              </w:rPr>
            </w:pPr>
          </w:p>
        </w:tc>
        <w:tc>
          <w:tcPr>
            <w:tcW w:w="2800" w:type="dxa"/>
            <w:vAlign w:val="bottom"/>
          </w:tcPr>
          <w:p>
            <w:pPr>
              <w:jc w:val="center"/>
              <w:ind w:left="1828"/>
              <w:spacing w:after="0" w:line="146" w:lineRule="exact"/>
              <w:rPr>
                <w:sz w:val="20"/>
                <w:szCs w:val="20"/>
                <w:color w:val="auto"/>
              </w:rPr>
            </w:pPr>
            <w:r>
              <w:rPr>
                <w:rFonts w:ascii="Times New Roman" w:cs="Times New Roman" w:eastAsia="Times New Roman" w:hAnsi="Times New Roman"/>
                <w:sz w:val="14"/>
                <w:szCs w:val="14"/>
                <w:color w:val="auto"/>
              </w:rPr>
              <w:t>New Zealand</w:t>
            </w:r>
          </w:p>
        </w:tc>
        <w:tc>
          <w:tcPr>
            <w:tcW w:w="274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auto"/>
              </w:rPr>
              <w:t>As a result of an earthquake in November 2016,</w:t>
            </w:r>
          </w:p>
        </w:tc>
        <w:tc>
          <w:tcPr>
            <w:tcW w:w="138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color w:val="auto"/>
              </w:rPr>
              <w:t>Courtenay Central</w:t>
            </w:r>
          </w:p>
        </w:tc>
      </w:tr>
      <w:tr>
        <w:trPr>
          <w:trHeight w:val="161"/>
        </w:trPr>
        <w:tc>
          <w:tcPr>
            <w:tcW w:w="10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we now have the opportunity to re-think our</w:t>
            </w:r>
          </w:p>
        </w:tc>
        <w:tc>
          <w:tcPr>
            <w:tcW w:w="1380" w:type="dxa"/>
            <w:vAlign w:val="bottom"/>
          </w:tcPr>
          <w:p>
            <w:pPr>
              <w:spacing w:after="0"/>
              <w:rPr>
                <w:sz w:val="13"/>
                <w:szCs w:val="13"/>
                <w:color w:val="auto"/>
              </w:rPr>
            </w:pPr>
          </w:p>
        </w:tc>
      </w:tr>
      <w:tr>
        <w:trPr>
          <w:trHeight w:val="165"/>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Courtenay Central </w:t>
            </w:r>
            <w:r>
              <w:rPr>
                <w:rFonts w:ascii="Times New Roman" w:cs="Times New Roman" w:eastAsia="Times New Roman" w:hAnsi="Times New Roman"/>
                <w:sz w:val="13"/>
                <w:szCs w:val="13"/>
                <w:color w:val="auto"/>
              </w:rPr>
              <w:t>expansion project, which</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includes plans to construct a supermarket. This</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property in the heart of New Zealand’s capital city</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 anchored by our 10-screen Reading Cinemas,</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which re-opened in March 2017 following the</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earthquake. While we re-think our expansion</w:t>
            </w:r>
          </w:p>
        </w:tc>
        <w:tc>
          <w:tcPr>
            <w:tcW w:w="138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plans, we have launched a pop up food and</w:t>
            </w:r>
          </w:p>
        </w:tc>
        <w:tc>
          <w:tcPr>
            <w:tcW w:w="1380" w:type="dxa"/>
            <w:vAlign w:val="bottom"/>
          </w:tcPr>
          <w:p>
            <w:pPr>
              <w:spacing w:after="0"/>
              <w:rPr>
                <w:sz w:val="14"/>
                <w:szCs w:val="14"/>
                <w:color w:val="auto"/>
              </w:rPr>
            </w:pPr>
          </w:p>
        </w:tc>
      </w:tr>
      <w:tr>
        <w:trPr>
          <w:trHeight w:val="171"/>
        </w:trPr>
        <w:tc>
          <w:tcPr>
            <w:tcW w:w="10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entertainment experience called The Courtyard.</w:t>
            </w:r>
          </w:p>
        </w:tc>
        <w:tc>
          <w:tcPr>
            <w:tcW w:w="1380" w:type="dxa"/>
            <w:vAlign w:val="bottom"/>
            <w:tcBorders>
              <w:bottom w:val="single" w:sz="8" w:color="auto"/>
            </w:tcBorders>
          </w:tcPr>
          <w:p>
            <w:pPr>
              <w:spacing w:after="0"/>
              <w:rPr>
                <w:sz w:val="14"/>
                <w:szCs w:val="14"/>
                <w:color w:val="auto"/>
              </w:rPr>
            </w:pPr>
          </w:p>
        </w:tc>
      </w:tr>
      <w:tr>
        <w:trPr>
          <w:trHeight w:val="146"/>
        </w:trPr>
        <w:tc>
          <w:tcPr>
            <w:tcW w:w="100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p>
        </w:tc>
        <w:tc>
          <w:tcPr>
            <w:tcW w:w="2800" w:type="dxa"/>
            <w:vAlign w:val="bottom"/>
          </w:tcPr>
          <w:p>
            <w:pPr>
              <w:jc w:val="center"/>
              <w:ind w:left="1828"/>
              <w:spacing w:after="0" w:line="146" w:lineRule="exact"/>
              <w:rPr>
                <w:sz w:val="20"/>
                <w:szCs w:val="20"/>
                <w:color w:val="auto"/>
              </w:rPr>
            </w:pPr>
            <w:r>
              <w:rPr>
                <w:rFonts w:ascii="Times New Roman" w:cs="Times New Roman" w:eastAsia="Times New Roman" w:hAnsi="Times New Roman"/>
                <w:sz w:val="14"/>
                <w:szCs w:val="14"/>
                <w:color w:val="auto"/>
              </w:rPr>
              <w:t>United States</w:t>
            </w:r>
          </w:p>
        </w:tc>
        <w:tc>
          <w:tcPr>
            <w:tcW w:w="274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auto"/>
              </w:rPr>
              <w:t>We continue to operate three (3) off-Broadway</w:t>
            </w:r>
          </w:p>
        </w:tc>
        <w:tc>
          <w:tcPr>
            <w:tcW w:w="138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color w:val="auto"/>
              </w:rPr>
              <w:t>Liberty Theatres</w:t>
            </w:r>
          </w:p>
        </w:tc>
      </w:tr>
      <w:tr>
        <w:trPr>
          <w:trHeight w:val="161"/>
        </w:trPr>
        <w:tc>
          <w:tcPr>
            <w:tcW w:w="1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Live Theatre</w:t>
            </w:r>
          </w:p>
        </w:tc>
        <w:tc>
          <w:tcPr>
            <w:tcW w:w="2800" w:type="dxa"/>
            <w:vAlign w:val="bottom"/>
          </w:tcPr>
          <w:p>
            <w:pPr>
              <w:spacing w:after="0"/>
              <w:rPr>
                <w:sz w:val="13"/>
                <w:szCs w:val="13"/>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live theatres, one (1) in Chicago and two (2) in</w:t>
            </w:r>
          </w:p>
        </w:tc>
        <w:tc>
          <w:tcPr>
            <w:tcW w:w="1380" w:type="dxa"/>
            <w:vAlign w:val="bottom"/>
          </w:tcPr>
          <w:p>
            <w:pPr>
              <w:spacing w:after="0"/>
              <w:rPr>
                <w:sz w:val="13"/>
                <w:szCs w:val="13"/>
                <w:color w:val="auto"/>
              </w:rPr>
            </w:pPr>
          </w:p>
        </w:tc>
      </w:tr>
      <w:tr>
        <w:trPr>
          <w:trHeight w:val="163"/>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xml:space="preserve">Manhattan, New York, all branded under </w:t>
            </w:r>
            <w:r>
              <w:rPr>
                <w:rFonts w:ascii="Times New Roman" w:cs="Times New Roman" w:eastAsia="Times New Roman" w:hAnsi="Times New Roman"/>
                <w:sz w:val="13"/>
                <w:szCs w:val="13"/>
                <w:b w:val="1"/>
                <w:bCs w:val="1"/>
                <w:color w:val="auto"/>
              </w:rPr>
              <w:t>Liberty</w:t>
            </w:r>
          </w:p>
        </w:tc>
        <w:tc>
          <w:tcPr>
            <w:tcW w:w="138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Theatres</w:t>
            </w:r>
            <w:r>
              <w:rPr>
                <w:rFonts w:ascii="Times New Roman" w:cs="Times New Roman" w:eastAsia="Times New Roman" w:hAnsi="Times New Roman"/>
                <w:sz w:val="13"/>
                <w:szCs w:val="13"/>
                <w:color w:val="auto"/>
              </w:rPr>
              <w:t>.</w:t>
            </w:r>
          </w:p>
        </w:tc>
        <w:tc>
          <w:tcPr>
            <w:tcW w:w="1380" w:type="dxa"/>
            <w:vAlign w:val="bottom"/>
          </w:tcPr>
          <w:p>
            <w:pPr>
              <w:spacing w:after="0"/>
              <w:rPr>
                <w:sz w:val="14"/>
                <w:szCs w:val="14"/>
                <w:color w:val="auto"/>
              </w:rPr>
            </w:pPr>
          </w:p>
        </w:tc>
      </w:tr>
      <w:tr>
        <w:trPr>
          <w:trHeight w:val="126"/>
        </w:trPr>
        <w:tc>
          <w:tcPr>
            <w:tcW w:w="100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-4166235</wp:posOffset>
            </wp:positionV>
            <wp:extent cx="1129665" cy="3140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9665" cy="314071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-502285</wp:posOffset>
            </wp:positionV>
            <wp:extent cx="1122680" cy="295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2680" cy="295910"/>
                    </a:xfrm>
                    <a:prstGeom prst="rect">
                      <a:avLst/>
                    </a:prstGeom>
                    <a:noFill/>
                  </pic:spPr>
                </pic:pic>
              </a:graphicData>
            </a:graphic>
          </wp:anchor>
        </w:drawing>
      </w:r>
    </w:p>
    <w:p>
      <w:pPr>
        <w:spacing w:after="0" w:line="13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synergistically bring together cinema based entertainment and real estate and believe that these two business segments complement one another, as our cinemas have historically provided the steady cash flows that allow us to be opportunistic in acquiring and holding real estate assets (including non-income producing land) and support our real estate development activities. Our real estate allows us to develop an asset base that we believe will stand the test of time and one that is capable of being leveraged. More specifically, the combination of these two segments provides a variety of business advantages including the following:</w:t>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320"/>
          </w:cols>
          <w:pgMar w:left="740" w:top="293" w:right="839" w:bottom="1440" w:gutter="0" w:footer="0" w:header="0"/>
        </w:sectPr>
      </w:pPr>
    </w:p>
    <w:bookmarkStart w:id="4" w:name="page5"/>
    <w:bookmarkEnd w:id="4"/>
    <w:p>
      <w:pPr>
        <w:ind w:left="200" w:right="80" w:hanging="193"/>
        <w:spacing w:after="0" w:line="280" w:lineRule="auto"/>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Cinema Anchor Tenancy</w:t>
      </w:r>
      <w:r>
        <w:rPr>
          <w:rFonts w:ascii="Times New Roman" w:cs="Times New Roman" w:eastAsia="Times New Roman" w:hAnsi="Times New Roman"/>
          <w:sz w:val="14"/>
          <w:szCs w:val="14"/>
          <w:color w:val="auto"/>
        </w:rPr>
        <w:t>. Cinemas can be used as anchors for larger retail developments (referred to as entertainment-themed centers, or “ETCs”), and our involvement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cinema business can give us an advantage over other real estate developers or redevelopers who must identify and negotiate with third-party anchor tenants. We have used cinemas to create our own anchors in the following ETCs: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ETC</w:t>
            </w:r>
          </w:p>
        </w:tc>
        <w:tc>
          <w:tcPr>
            <w:tcW w:w="2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City, State or Region / Urban Area</w:t>
            </w:r>
          </w:p>
        </w:tc>
        <w:tc>
          <w:tcPr>
            <w:tcW w:w="29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Recent or In-development Projects</w:t>
            </w:r>
          </w:p>
        </w:tc>
      </w:tr>
      <w:tr>
        <w:trPr>
          <w:trHeight w:val="150"/>
        </w:trPr>
        <w:tc>
          <w:tcPr>
            <w:tcW w:w="14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4"/>
                <w:szCs w:val="14"/>
                <w:color w:val="auto"/>
              </w:rPr>
              <w:t>Newmarket Village</w:t>
            </w:r>
          </w:p>
        </w:tc>
        <w:tc>
          <w:tcPr>
            <w:tcW w:w="25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color w:val="auto"/>
              </w:rPr>
              <w:t>Newmarket, Queensland / Brisbane</w:t>
            </w:r>
          </w:p>
        </w:tc>
        <w:tc>
          <w:tcPr>
            <w:tcW w:w="292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4"/>
                <w:szCs w:val="14"/>
                <w:color w:val="auto"/>
              </w:rPr>
              <w:t>Expansion Project which added an 8-Screen</w:t>
            </w:r>
          </w:p>
        </w:tc>
      </w:tr>
      <w:tr>
        <w:trPr>
          <w:trHeight w:val="174"/>
        </w:trPr>
        <w:tc>
          <w:tcPr>
            <w:tcW w:w="14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 and new retail and parking</w:t>
            </w:r>
          </w:p>
        </w:tc>
      </w:tr>
      <w:tr>
        <w:trPr>
          <w:trHeight w:val="188"/>
        </w:trPr>
        <w:tc>
          <w:tcPr>
            <w:tcW w:w="140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spaces, completed December 2017.</w:t>
            </w:r>
          </w:p>
        </w:tc>
      </w:tr>
      <w:tr>
        <w:trPr>
          <w:trHeight w:val="159"/>
        </w:trPr>
        <w:tc>
          <w:tcPr>
            <w:tcW w:w="140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Redyard</w:t>
            </w:r>
          </w:p>
        </w:tc>
        <w:tc>
          <w:tcPr>
            <w:tcW w:w="25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Auburn, New South Wales / Sydney</w:t>
            </w:r>
          </w:p>
        </w:tc>
        <w:tc>
          <w:tcPr>
            <w:tcW w:w="2920" w:type="dxa"/>
            <w:vAlign w:val="bottom"/>
          </w:tcPr>
          <w:p>
            <w:pPr>
              <w:ind w:left="160"/>
              <w:spacing w:after="0" w:line="159" w:lineRule="exact"/>
              <w:rPr>
                <w:sz w:val="20"/>
                <w:szCs w:val="20"/>
                <w:color w:val="auto"/>
              </w:rPr>
            </w:pPr>
            <w:r>
              <w:rPr>
                <w:rFonts w:ascii="Times New Roman" w:cs="Times New Roman" w:eastAsia="Times New Roman" w:hAnsi="Times New Roman"/>
                <w:sz w:val="14"/>
                <w:szCs w:val="14"/>
                <w:color w:val="auto"/>
              </w:rPr>
              <w:t>Expansion Project to add new retail,</w:t>
            </w:r>
          </w:p>
        </w:tc>
      </w:tr>
      <w:tr>
        <w:trPr>
          <w:trHeight w:val="174"/>
        </w:trPr>
        <w:tc>
          <w:tcPr>
            <w:tcW w:w="14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completed December 2017. Re-development</w:t>
            </w:r>
          </w:p>
        </w:tc>
      </w:tr>
      <w:tr>
        <w:trPr>
          <w:trHeight w:val="174"/>
        </w:trPr>
        <w:tc>
          <w:tcPr>
            <w:tcW w:w="14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public alfresco space, target completion</w:t>
            </w:r>
          </w:p>
        </w:tc>
      </w:tr>
      <w:tr>
        <w:trPr>
          <w:trHeight w:val="188"/>
        </w:trPr>
        <w:tc>
          <w:tcPr>
            <w:tcW w:w="14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Q3-18.</w:t>
            </w:r>
          </w:p>
        </w:tc>
      </w:tr>
      <w:tr>
        <w:trPr>
          <w:trHeight w:val="174"/>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Cannon Park</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Townsville / Queensland</w:t>
            </w: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Concept master planning in development.</w:t>
            </w:r>
          </w:p>
        </w:tc>
      </w:tr>
      <w:tr>
        <w:trPr>
          <w:trHeight w:val="174"/>
        </w:trPr>
        <w:tc>
          <w:tcPr>
            <w:tcW w:w="1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Courtenay Central</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Wellington / New Zealand</w:t>
            </w:r>
          </w:p>
        </w:tc>
        <w:tc>
          <w:tcPr>
            <w:tcW w:w="2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Re-design of Expansion Project in progress.</w:t>
            </w:r>
          </w:p>
        </w:tc>
      </w:tr>
      <w:tr>
        <w:trPr>
          <w:trHeight w:val="174"/>
        </w:trPr>
        <w:tc>
          <w:tcPr>
            <w:tcW w:w="1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Belmont</w:t>
            </w:r>
          </w:p>
        </w:tc>
        <w:tc>
          <w:tcPr>
            <w:tcW w:w="2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Perth / Western Australia</w:t>
            </w:r>
          </w:p>
        </w:tc>
        <w:tc>
          <w:tcPr>
            <w:tcW w:w="29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current development planned.</w:t>
            </w:r>
          </w:p>
        </w:tc>
      </w:tr>
    </w:tbl>
    <w:p>
      <w:pPr>
        <w:spacing w:after="0" w:line="157" w:lineRule="exact"/>
        <w:rPr>
          <w:sz w:val="20"/>
          <w:szCs w:val="20"/>
          <w:color w:val="auto"/>
        </w:rPr>
      </w:pPr>
    </w:p>
    <w:p>
      <w:pPr>
        <w:ind w:left="200" w:right="120" w:hanging="193"/>
        <w:spacing w:after="0" w:line="267"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Reduced Pressure to Deliver Cinema Business Growth</w:t>
      </w:r>
      <w:r>
        <w:rPr>
          <w:rFonts w:ascii="Times New Roman" w:cs="Times New Roman" w:eastAsia="Times New Roman" w:hAnsi="Times New Roman"/>
          <w:sz w:val="14"/>
          <w:szCs w:val="14"/>
          <w:color w:val="auto"/>
        </w:rPr>
        <w:t>. Pure cinema operators can encounter financial difficulty as demands upon them to produce cinema-based earnings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growth tempt them into reinvesting their cash flow into increasingly marginal cinema sites or overpaying for existing cinemas. While we believe that there will continue to be attractive opportunities to acquire cinema assets and/or to develop upper-end specialty type theaters in the future, we do not feel pressure to build or acquire cinemas for the sake of adding units or building gross revenues. This strategy has, over the years, allowed us to acquire cinemas at multiples of trailing theater cash flow below those paid by third parties in recent acquisitions. We intend to focus our use of cash flow on our real estate development and operating activities, to the extent that attractive cinema opportunities are not available to us or that such funds are not needed for reinvestment to maintain our cinemas in a competitive position.</w:t>
      </w:r>
    </w:p>
    <w:p>
      <w:pPr>
        <w:spacing w:after="0" w:line="140" w:lineRule="exact"/>
        <w:rPr>
          <w:rFonts w:ascii="Times New Roman" w:cs="Times New Roman" w:eastAsia="Times New Roman" w:hAnsi="Times New Roman"/>
          <w:sz w:val="14"/>
          <w:szCs w:val="14"/>
          <w:color w:val="auto"/>
        </w:rPr>
      </w:pPr>
    </w:p>
    <w:p>
      <w:pPr>
        <w:ind w:left="200" w:hanging="193"/>
        <w:spacing w:after="0" w:line="273"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Flexibility in Property Use</w:t>
      </w:r>
      <w:r>
        <w:rPr>
          <w:rFonts w:ascii="Times New Roman" w:cs="Times New Roman" w:eastAsia="Times New Roman" w:hAnsi="Times New Roman"/>
          <w:sz w:val="14"/>
          <w:szCs w:val="14"/>
          <w:color w:val="auto"/>
        </w:rPr>
        <w:t>. We are always open to the idea of converting an entertainment property to another use, if there is a higher and better use for the property, or to sell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individual assets, if we are presented with an attractive opportunity. Our Union Square property, where redevelopment is currently in progress, and our Cinema 1,2,3 property on Third Avenue (near 60</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Street) in New York City, which is slated for redevelopment, were initially acquired as, and in the case of our Third Avenue property, continues to be used as, an entertainment property.</w:t>
      </w:r>
    </w:p>
    <w:p>
      <w:pPr>
        <w:spacing w:after="0" w:line="5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Insofar as we are aware, we are the only publicly traded company in the world to apply this two-track, synergistic approach to the cinema and real estate development businesses on an international basis. None of the major cinema exhibition companies (other than Marcus Theatres) have any material landholdings as they operate predominantly on a leased-facility model.</w:t>
      </w:r>
    </w:p>
    <w:p>
      <w:pPr>
        <w:spacing w:after="0" w:line="46"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4"/>
          <w:szCs w:val="14"/>
          <w:color w:val="auto"/>
        </w:rPr>
        <w:t>We believe that this synergistic two-pronged strategy – which focuses on the building of long term real estate assets as well as cinema operations – has gained respect in the market, as the trading price of our stock has, generally speaking, outperformed those of our pure cinema competitors in recent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Business Mix and Impact of Foreign Currency Fluctuations</w:t>
      </w:r>
    </w:p>
    <w:p>
      <w:pPr>
        <w:spacing w:after="0" w:line="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have worked to maintain a balance both between our cinema and real estate assets and between our U.S. and our Australian and New Zealand assets. In 2017, we invested approximately $38.1 million in our U.S. assets, including approximately $20.1 million for the development of our real estate assets (principally construction of our Union Square property) and $18.0 million for the improvements of our cinema assets (principally upgrading our offerings at our existing cinemas). We invested approximately $35.6 million in our Australian assets, including approximately $28.2 million for the development of our real estate assets (principally at our Newmarket (Brisbane) and Auburn (Sydney) shopping centers), and $7.5 million for the development of our cinema assets (principally the fit out of our new cinema at Newmarket and the upgrade of certain other cinemas). We invested approximately $3.3 million in our New Zealand assets, including approximately $2.7 million for the development of real estate assets (principally towards the redevelopment of our Courtenay Central assets), and approximately $571,000 for the development of cinema assets (principally upgrades).</w:t>
      </w:r>
    </w:p>
    <w:p>
      <w:pPr>
        <w:spacing w:after="0" w:line="14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4"/>
          <w:szCs w:val="14"/>
          <w:color w:val="auto"/>
        </w:rPr>
        <w:t>As shown in the chart within the International Business Risks section below, exchange rates for the currencies of these jurisdictions have varied, sometimes materially. These ratios naturally have an impact on our revenues and asset values, which are reported in USD. Notwithstanding these fluctuations, however, we continue to believe that, over the long term, operating in Australia and New Zealand is a prudent diversification of risk. Australia has been identified by the United Nations as one of the Top 10 highest natural resources per person in the world. In 2017, Deutsche Bank named Wellington the best place in the world to live. In 2013, the Organization for Economic Co-operation and Development rated Australia as the best place to live and work in the world. In our view, the Australian and New Zealand lifestyles support our entertainment/lifestyle focus.</w:t>
      </w:r>
    </w:p>
    <w:p>
      <w:pPr>
        <w:spacing w:after="0" w:line="107"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4"/>
          <w:szCs w:val="14"/>
          <w:color w:val="auto"/>
        </w:rPr>
        <w:t>At December 31, 2017, the book value of our assets was $423.0 million, and, as of that same date, we had a consolidated stockholders’ book equity of $181.2 million. Calculated based on book value, $135.2 million, or 32% of our assets, relate to our cinema exhibition activities and $249.2 million, or 59%, of our assets, relate to our real estate activities.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380"/>
          </w:cols>
          <w:pgMar w:left="740" w:top="123" w:right="7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2423795</wp:posOffset>
            </wp:positionH>
            <wp:positionV relativeFrom="page">
              <wp:posOffset>88900</wp:posOffset>
            </wp:positionV>
            <wp:extent cx="2713990" cy="130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3990" cy="130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additional segment financial information, please see </w:t>
      </w:r>
      <w:r>
        <w:rPr>
          <w:rFonts w:ascii="Times New Roman" w:cs="Times New Roman" w:eastAsia="Times New Roman" w:hAnsi="Times New Roman"/>
          <w:sz w:val="14"/>
          <w:szCs w:val="14"/>
          <w:i w:val="1"/>
          <w:iCs w:val="1"/>
          <w:color w:val="auto"/>
        </w:rPr>
        <w:t>Note 1 – Description of Business and Segment Reporting</w:t>
      </w:r>
      <w:r>
        <w:rPr>
          <w:rFonts w:ascii="Times New Roman" w:cs="Times New Roman" w:eastAsia="Times New Roman" w:hAnsi="Times New Roman"/>
          <w:sz w:val="14"/>
          <w:szCs w:val="14"/>
          <w:color w:val="auto"/>
        </w:rPr>
        <w:t xml:space="preserve"> to our 2017 consolidated financial statements.</w:t>
      </w:r>
    </w:p>
    <w:p>
      <w:pPr>
        <w:spacing w:after="0" w:line="156"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color w:val="auto"/>
        </w:rPr>
        <w:t>We have diversified our assets among three countries: the United States, Australia, and New Zealand. Based on book value, at December 31, 2017, we had approximately 45% of our assets in the United States, 40% in Australia and 15% in New Zealand compared to 40%, 42%, and 18% respectively, at the end of 2016.</w:t>
      </w:r>
    </w:p>
    <w:p>
      <w:pPr>
        <w:spacing w:after="0" w:line="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At December 31, 2017, we had cash and cash equivalents of $13.7 million, which has been treated as a corporate asset. Our cash included $9.1 million denominated in U.S. dollars, $2.9 million (AU $3.6 million) in Australian dollars, and $1.7 million (NZ$2.4 million) in New Zealand dollars. We had non-current assets of $169.3 million in the United States, $158.5 million (AU$202.8 million) in Australia and $61.7 million (NZ$86.9 million) in New Zealand. We had $75.0 million unused capacity of available and unrestricted corporate credit facilities at December 31, 2017.</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2017, our gross revenues in these jurisdictions were $143.8 million, $106.2 million, and $29.7 million, respectively, compared to $143.1 million, $97.5 million, and</w:t>
      </w:r>
    </w:p>
    <w:p>
      <w:pPr>
        <w:spacing w:after="0" w:line="2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$29.9 million for 2016. The United States and Australia both posted revenue increases again in 2017 primarily due to increased box office sales as a result of higher attendance in Australia and increases in our food &amp; beverage (“F&amp;B”). Other revenues increased in all jurisdictions including the business interruption insurance proceeds from our Courtenay Central insurance claim. New Zealand revenue decreased slightly in 2017 compared to 2016 due to the closure of our Courtenay Central ETC and the associated car parking building. The complex and Cinema re-opened for business in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100965</wp:posOffset>
            </wp:positionV>
            <wp:extent cx="3058160" cy="139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58160" cy="139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CINEMA EXHIBITION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Overall</w:t>
      </w:r>
    </w:p>
    <w:p>
      <w:pPr>
        <w:spacing w:after="0" w:line="3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We are dedicated to creating inspiring cinema experiences for our guests through hospitality-styled comfort and service, cinematic presentation, uniquely designed venues, curated film and event programming, and crafted food and beverage options. As discussed previously, we manage our worldwide cinema exhibition business under various brands. Historically, we have focused on the ownership and/or operation of three categories of cinemas:</w:t>
      </w:r>
    </w:p>
    <w:p>
      <w:pPr>
        <w:spacing w:after="0" w:line="118" w:lineRule="exact"/>
        <w:rPr>
          <w:sz w:val="20"/>
          <w:szCs w:val="20"/>
          <w:color w:val="auto"/>
        </w:rPr>
      </w:pPr>
    </w:p>
    <w:p>
      <w:pPr>
        <w:ind w:left="520" w:hanging="25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Modern stadium-seating multiplex cinemas featuring conventional film product;</w:t>
      </w:r>
    </w:p>
    <w:p>
      <w:pPr>
        <w:spacing w:after="0" w:line="27"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and art cinemas, such as Angelika Film Centers in the U.S. and Rialto Cinema in New Zealand; and,</w:t>
      </w:r>
    </w:p>
    <w:p>
      <w:pPr>
        <w:spacing w:after="0" w:line="12" w:lineRule="exact"/>
        <w:rPr>
          <w:rFonts w:ascii="Times New Roman" w:cs="Times New Roman" w:eastAsia="Times New Roman" w:hAnsi="Times New Roman"/>
          <w:sz w:val="14"/>
          <w:szCs w:val="14"/>
          <w:color w:val="auto"/>
        </w:rPr>
      </w:pPr>
    </w:p>
    <w:p>
      <w:pPr>
        <w:ind w:left="520" w:right="100" w:hanging="252"/>
        <w:spacing w:after="0" w:line="277"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Conventional sloped-floor cinemas in certain markets, including New York City with its prohibitory occupancy and construction costs as well as small town markets that will not support the development of a modern stadium-design multiplex cinema.</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440" w:right="739" w:bottom="1440" w:gutter="0" w:footer="0" w:header="0"/>
        </w:sectPr>
      </w:pPr>
    </w:p>
    <w:bookmarkStart w:id="6" w:name="page7"/>
    <w:bookmarkEnd w:id="6"/>
    <w:p>
      <w:pPr>
        <w:ind w:right="160"/>
        <w:spacing w:after="0" w:line="300" w:lineRule="auto"/>
        <w:rPr>
          <w:sz w:val="20"/>
          <w:szCs w:val="20"/>
          <w:color w:val="auto"/>
        </w:rPr>
      </w:pPr>
      <w:r>
        <w:rPr>
          <w:rFonts w:ascii="Times New Roman" w:cs="Times New Roman" w:eastAsia="Times New Roman" w:hAnsi="Times New Roman"/>
          <w:sz w:val="14"/>
          <w:szCs w:val="14"/>
          <w:color w:val="auto"/>
        </w:rPr>
        <w:t>Shown in the following table are the number of locations and theatre screens in our theatre circuit in each country, by state/territory/ region and indicating our cinema brands and our interest in the underlying asset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661225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698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State / Territory /</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Location</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Screen</w:t>
            </w:r>
          </w:p>
        </w:tc>
        <w:tc>
          <w:tcPr>
            <w:tcW w:w="2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w w:val="96"/>
              </w:rPr>
              <w:t>Interest in Asset Underlying the Cinema</w:t>
            </w:r>
          </w:p>
        </w:tc>
        <w:tc>
          <w:tcPr>
            <w:tcW w:w="1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34"/>
        </w:trPr>
        <w:tc>
          <w:tcPr>
            <w:tcW w:w="1300" w:type="dxa"/>
            <w:vAlign w:val="bottom"/>
            <w:tcBorders>
              <w:bottom w:val="single" w:sz="8" w:color="auto"/>
            </w:tcBorders>
          </w:tcPr>
          <w:p>
            <w:pPr>
              <w:ind w:left="440"/>
              <w:spacing w:after="0" w:line="132" w:lineRule="exact"/>
              <w:rPr>
                <w:sz w:val="20"/>
                <w:szCs w:val="20"/>
                <w:color w:val="auto"/>
              </w:rPr>
            </w:pPr>
            <w:r>
              <w:rPr>
                <w:rFonts w:ascii="Times New Roman" w:cs="Times New Roman" w:eastAsia="Times New Roman" w:hAnsi="Times New Roman"/>
                <w:sz w:val="12"/>
                <w:szCs w:val="12"/>
                <w:b w:val="1"/>
                <w:bCs w:val="1"/>
                <w:color w:val="auto"/>
              </w:rPr>
              <w:t>Country</w:t>
            </w:r>
          </w:p>
        </w:tc>
        <w:tc>
          <w:tcPr>
            <w:tcW w:w="18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tcPr>
          <w:p>
            <w:pPr>
              <w:ind w:left="720"/>
              <w:spacing w:after="0" w:line="132" w:lineRule="exact"/>
              <w:rPr>
                <w:sz w:val="20"/>
                <w:szCs w:val="20"/>
                <w:color w:val="auto"/>
              </w:rPr>
            </w:pPr>
            <w:r>
              <w:rPr>
                <w:rFonts w:ascii="Times New Roman" w:cs="Times New Roman" w:eastAsia="Times New Roman" w:hAnsi="Times New Roman"/>
                <w:sz w:val="12"/>
                <w:szCs w:val="12"/>
                <w:b w:val="1"/>
                <w:bCs w:val="1"/>
                <w:color w:val="auto"/>
              </w:rPr>
              <w:t>Region</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Count</w:t>
            </w: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ind w:left="280"/>
              <w:spacing w:after="0" w:line="132" w:lineRule="exact"/>
              <w:rPr>
                <w:sz w:val="20"/>
                <w:szCs w:val="20"/>
                <w:color w:val="auto"/>
              </w:rPr>
            </w:pPr>
            <w:r>
              <w:rPr>
                <w:rFonts w:ascii="Times New Roman" w:cs="Times New Roman" w:eastAsia="Times New Roman" w:hAnsi="Times New Roman"/>
                <w:sz w:val="12"/>
                <w:szCs w:val="12"/>
                <w:b w:val="1"/>
                <w:bCs w:val="1"/>
                <w:color w:val="auto"/>
              </w:rPr>
              <w:t>Count</w:t>
            </w:r>
          </w:p>
        </w:tc>
        <w:tc>
          <w:tcPr>
            <w:tcW w:w="1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Leased</w:t>
            </w:r>
          </w:p>
        </w:tc>
        <w:tc>
          <w:tcPr>
            <w:tcW w:w="1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8"/>
              </w:rPr>
              <w:t>Owned</w:t>
            </w:r>
          </w:p>
        </w:tc>
        <w:tc>
          <w:tcPr>
            <w:tcW w:w="160" w:type="dxa"/>
            <w:vAlign w:val="bottom"/>
            <w:tcBorders>
              <w:bottom w:val="single" w:sz="8" w:color="CCEEFF"/>
            </w:tcBorders>
          </w:tcPr>
          <w:p>
            <w:pPr>
              <w:spacing w:after="0"/>
              <w:rPr>
                <w:sz w:val="11"/>
                <w:szCs w:val="11"/>
                <w:color w:val="auto"/>
              </w:rPr>
            </w:pPr>
          </w:p>
        </w:tc>
        <w:tc>
          <w:tcPr>
            <w:tcW w:w="2720" w:type="dxa"/>
            <w:vAlign w:val="bottom"/>
            <w:tcBorders>
              <w:bottom w:val="single" w:sz="8" w:color="auto"/>
            </w:tcBorders>
          </w:tcPr>
          <w:p>
            <w:pPr>
              <w:ind w:left="920"/>
              <w:spacing w:after="0" w:line="132" w:lineRule="exact"/>
              <w:rPr>
                <w:sz w:val="20"/>
                <w:szCs w:val="20"/>
                <w:color w:val="auto"/>
              </w:rPr>
            </w:pPr>
            <w:r>
              <w:rPr>
                <w:rFonts w:ascii="Times New Roman" w:cs="Times New Roman" w:eastAsia="Times New Roman" w:hAnsi="Times New Roman"/>
                <w:sz w:val="12"/>
                <w:szCs w:val="12"/>
                <w:b w:val="1"/>
                <w:bCs w:val="1"/>
                <w:color w:val="auto"/>
              </w:rPr>
              <w:t>Operating Brands</w:t>
            </w:r>
          </w:p>
        </w:tc>
      </w:tr>
      <w:tr>
        <w:trPr>
          <w:trHeight w:val="152"/>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United States</w:t>
            </w: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Hawaii</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98</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Consolidated Theatres</w:t>
            </w:r>
          </w:p>
        </w:tc>
      </w:tr>
      <w:tr>
        <w:trPr>
          <w:trHeight w:val="163"/>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California</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88</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Reading Cinemas, Angelika Film Center</w:t>
            </w:r>
          </w:p>
        </w:tc>
      </w:tr>
      <w:tr>
        <w:trPr>
          <w:trHeight w:val="163"/>
        </w:trPr>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York</w:t>
            </w:r>
            <w:r>
              <w:rPr>
                <w:rFonts w:ascii="Times New Roman" w:cs="Times New Roman" w:eastAsia="Times New Roman" w:hAnsi="Times New Roman"/>
                <w:sz w:val="5"/>
                <w:szCs w:val="5"/>
                <w:color w:val="auto"/>
              </w:rPr>
              <w:t>(3)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23</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Angelika Film Center, City Cinemas</w:t>
            </w:r>
          </w:p>
        </w:tc>
      </w:tr>
      <w:tr>
        <w:trPr>
          <w:trHeight w:val="163"/>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Texas</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13</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Angelika Film Center</w:t>
            </w:r>
          </w:p>
        </w:tc>
      </w:tr>
      <w:tr>
        <w:trPr>
          <w:trHeight w:val="163"/>
        </w:trPr>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Jersey</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12</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3"/>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Virginia</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Angelika Film Center</w:t>
            </w:r>
          </w:p>
        </w:tc>
      </w:tr>
      <w:tr>
        <w:trPr>
          <w:trHeight w:val="163"/>
        </w:trPr>
        <w:tc>
          <w:tcPr>
            <w:tcW w:w="13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Washington DC</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Angelika Film Center</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9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i w:val="1"/>
                <w:iCs w:val="1"/>
                <w:color w:val="auto"/>
              </w:rPr>
              <w:t>U.S. Total</w:t>
            </w:r>
          </w:p>
        </w:tc>
        <w:tc>
          <w:tcPr>
            <w:tcW w:w="130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9"/>
              </w:rPr>
              <w:t>27</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245</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2"/>
              </w:rPr>
              <w:t>26</w:t>
            </w:r>
          </w:p>
        </w:tc>
        <w:tc>
          <w:tcPr>
            <w:tcW w:w="8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1</w:t>
            </w:r>
          </w:p>
        </w:tc>
        <w:tc>
          <w:tcPr>
            <w:tcW w:w="3020" w:type="dxa"/>
            <w:vAlign w:val="bottom"/>
            <w:tcBorders>
              <w:bottom w:val="single" w:sz="8" w:color="auto"/>
            </w:tcBorders>
          </w:tcPr>
          <w:p>
            <w:pPr>
              <w:spacing w:after="0"/>
              <w:rPr>
                <w:sz w:val="12"/>
                <w:szCs w:val="12"/>
                <w:color w:val="auto"/>
              </w:rPr>
            </w:pPr>
          </w:p>
        </w:tc>
      </w:tr>
      <w:tr>
        <w:trPr>
          <w:trHeight w:val="143"/>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Australia</w:t>
            </w:r>
          </w:p>
        </w:tc>
        <w:tc>
          <w:tcPr>
            <w:tcW w:w="2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New South Wales</w:t>
            </w:r>
          </w:p>
        </w:tc>
        <w:tc>
          <w:tcPr>
            <w:tcW w:w="130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2"/>
                <w:szCs w:val="12"/>
                <w:color w:val="auto"/>
                <w:w w:val="99"/>
              </w:rPr>
              <w:t>6</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43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8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rPr>
              <w:t>2</w:t>
            </w: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3"/>
        </w:trPr>
        <w:tc>
          <w:tcPr>
            <w:tcW w:w="980" w:type="dxa"/>
            <w:vAlign w:val="bottom"/>
          </w:tcPr>
          <w:p>
            <w:pPr>
              <w:spacing w:after="0"/>
              <w:rPr>
                <w:sz w:val="14"/>
                <w:szCs w:val="14"/>
                <w:color w:val="auto"/>
              </w:rPr>
            </w:pPr>
          </w:p>
        </w:tc>
        <w:tc>
          <w:tcPr>
            <w:tcW w:w="20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Victoria</w:t>
            </w:r>
          </w:p>
        </w:tc>
        <w:tc>
          <w:tcPr>
            <w:tcW w:w="1300" w:type="dxa"/>
            <w:vAlign w:val="bottom"/>
          </w:tcPr>
          <w:p>
            <w:pPr>
              <w:jc w:val="center"/>
              <w:ind w:left="262"/>
              <w:spacing w:after="0"/>
              <w:rPr>
                <w:sz w:val="20"/>
                <w:szCs w:val="20"/>
                <w:color w:val="auto"/>
              </w:rPr>
            </w:pPr>
            <w:r>
              <w:rPr>
                <w:rFonts w:ascii="Times New Roman" w:cs="Times New Roman" w:eastAsia="Times New Roman" w:hAnsi="Times New Roman"/>
                <w:sz w:val="12"/>
                <w:szCs w:val="12"/>
                <w:color w:val="auto"/>
                <w:w w:val="99"/>
              </w:rPr>
              <w:t>6</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43</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860" w:type="dxa"/>
            <w:vAlign w:val="bottom"/>
          </w:tcPr>
          <w:p>
            <w:pPr>
              <w:spacing w:after="0"/>
              <w:rPr>
                <w:sz w:val="14"/>
                <w:szCs w:val="14"/>
                <w:color w:val="auto"/>
              </w:rPr>
            </w:pPr>
          </w:p>
        </w:tc>
        <w:tc>
          <w:tcPr>
            <w:tcW w:w="3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3"/>
        </w:trPr>
        <w:tc>
          <w:tcPr>
            <w:tcW w:w="980" w:type="dxa"/>
            <w:vAlign w:val="bottom"/>
            <w:shd w:val="clear" w:color="auto" w:fill="CCEEFF"/>
          </w:tcPr>
          <w:p>
            <w:pPr>
              <w:spacing w:after="0"/>
              <w:rPr>
                <w:sz w:val="14"/>
                <w:szCs w:val="14"/>
                <w:color w:val="auto"/>
              </w:rPr>
            </w:pPr>
          </w:p>
        </w:tc>
        <w:tc>
          <w:tcPr>
            <w:tcW w:w="2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Queensland</w:t>
            </w:r>
          </w:p>
        </w:tc>
        <w:tc>
          <w:tcPr>
            <w:tcW w:w="130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2"/>
                <w:szCs w:val="12"/>
                <w:color w:val="auto"/>
                <w:w w:val="99"/>
              </w:rPr>
              <w:t>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48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8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rPr>
              <w:t>3</w:t>
            </w: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Reading Cinemas, Event Cinemas</w:t>
            </w:r>
            <w:r>
              <w:rPr>
                <w:rFonts w:ascii="Times New Roman" w:cs="Times New Roman" w:eastAsia="Times New Roman" w:hAnsi="Times New Roman"/>
                <w:sz w:val="5"/>
                <w:szCs w:val="5"/>
                <w:color w:val="auto"/>
              </w:rPr>
              <w:t>(1)</w:t>
            </w:r>
          </w:p>
        </w:tc>
      </w:tr>
      <w:tr>
        <w:trPr>
          <w:trHeight w:val="163"/>
        </w:trPr>
        <w:tc>
          <w:tcPr>
            <w:tcW w:w="980" w:type="dxa"/>
            <w:vAlign w:val="bottom"/>
          </w:tcPr>
          <w:p>
            <w:pPr>
              <w:spacing w:after="0"/>
              <w:rPr>
                <w:sz w:val="14"/>
                <w:szCs w:val="14"/>
                <w:color w:val="auto"/>
              </w:rPr>
            </w:pPr>
          </w:p>
        </w:tc>
        <w:tc>
          <w:tcPr>
            <w:tcW w:w="20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Western Australia</w:t>
            </w:r>
          </w:p>
        </w:tc>
        <w:tc>
          <w:tcPr>
            <w:tcW w:w="1300" w:type="dxa"/>
            <w:vAlign w:val="bottom"/>
          </w:tcPr>
          <w:p>
            <w:pPr>
              <w:jc w:val="center"/>
              <w:ind w:left="262"/>
              <w:spacing w:after="0"/>
              <w:rPr>
                <w:sz w:val="20"/>
                <w:szCs w:val="20"/>
                <w:color w:val="auto"/>
              </w:rPr>
            </w:pPr>
            <w:r>
              <w:rPr>
                <w:rFonts w:ascii="Times New Roman" w:cs="Times New Roman" w:eastAsia="Times New Roman" w:hAnsi="Times New Roman"/>
                <w:sz w:val="12"/>
                <w:szCs w:val="12"/>
                <w:color w:val="auto"/>
                <w:w w:val="99"/>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16</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86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1</w:t>
            </w:r>
          </w:p>
        </w:tc>
        <w:tc>
          <w:tcPr>
            <w:tcW w:w="3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3"/>
        </w:trPr>
        <w:tc>
          <w:tcPr>
            <w:tcW w:w="98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South Australia</w:t>
            </w:r>
          </w:p>
        </w:tc>
        <w:tc>
          <w:tcPr>
            <w:tcW w:w="1300" w:type="dxa"/>
            <w:vAlign w:val="bottom"/>
            <w:tcBorders>
              <w:bottom w:val="single" w:sz="8" w:color="auto"/>
            </w:tcBorders>
            <w:shd w:val="clear" w:color="auto" w:fill="CCEEFF"/>
          </w:tcPr>
          <w:p>
            <w:pPr>
              <w:jc w:val="center"/>
              <w:ind w:left="262"/>
              <w:spacing w:after="0"/>
              <w:rPr>
                <w:sz w:val="20"/>
                <w:szCs w:val="20"/>
                <w:color w:val="auto"/>
              </w:rPr>
            </w:pPr>
            <w:r>
              <w:rPr>
                <w:rFonts w:ascii="Times New Roman" w:cs="Times New Roman" w:eastAsia="Times New Roman" w:hAnsi="Times New Roman"/>
                <w:sz w:val="12"/>
                <w:szCs w:val="12"/>
                <w:color w:val="auto"/>
                <w:w w:val="99"/>
              </w:rPr>
              <w:t>2</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15</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86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Reading Cinemas</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1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Australia Total</w:t>
            </w:r>
          </w:p>
        </w:tc>
        <w:tc>
          <w:tcPr>
            <w:tcW w:w="122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2"/>
                <w:szCs w:val="12"/>
                <w:b w:val="1"/>
                <w:bCs w:val="1"/>
                <w:color w:val="auto"/>
                <w:w w:val="99"/>
              </w:rPr>
              <w:t>21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165</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2"/>
              </w:rPr>
              <w:t>15</w:t>
            </w:r>
          </w:p>
        </w:tc>
        <w:tc>
          <w:tcPr>
            <w:tcW w:w="900" w:type="dxa"/>
            <w:vAlign w:val="bottom"/>
            <w:tcBorders>
              <w:bottom w:val="single" w:sz="8" w:color="auto"/>
            </w:tcBorders>
          </w:tcPr>
          <w:p>
            <w:pPr>
              <w:jc w:val="center"/>
              <w:ind w:left="167"/>
              <w:spacing w:after="0"/>
              <w:rPr>
                <w:sz w:val="20"/>
                <w:szCs w:val="20"/>
                <w:color w:val="auto"/>
              </w:rPr>
            </w:pPr>
            <w:r>
              <w:rPr>
                <w:rFonts w:ascii="Times New Roman" w:cs="Times New Roman" w:eastAsia="Times New Roman" w:hAnsi="Times New Roman"/>
                <w:sz w:val="10"/>
                <w:szCs w:val="10"/>
                <w:b w:val="1"/>
                <w:bCs w:val="1"/>
                <w:color w:val="auto"/>
                <w:w w:val="79"/>
              </w:rPr>
              <w:t>6</w:t>
            </w:r>
          </w:p>
        </w:tc>
        <w:tc>
          <w:tcPr>
            <w:tcW w:w="3000" w:type="dxa"/>
            <w:vAlign w:val="bottom"/>
            <w:tcBorders>
              <w:bottom w:val="single" w:sz="8" w:color="auto"/>
            </w:tcBorders>
          </w:tcPr>
          <w:p>
            <w:pPr>
              <w:spacing w:after="0"/>
              <w:rPr>
                <w:sz w:val="12"/>
                <w:szCs w:val="12"/>
                <w:color w:val="auto"/>
              </w:rPr>
            </w:pPr>
          </w:p>
        </w:tc>
      </w:tr>
      <w:tr>
        <w:trPr>
          <w:trHeight w:val="14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New Zealand</w:t>
            </w:r>
          </w:p>
        </w:tc>
        <w:tc>
          <w:tcPr>
            <w:tcW w:w="1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Wellington</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2"/>
                <w:szCs w:val="12"/>
                <w:color w:val="auto"/>
                <w:w w:val="99"/>
              </w:rPr>
              <w:t>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15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900" w:type="dxa"/>
            <w:vAlign w:val="bottom"/>
            <w:shd w:val="clear" w:color="auto" w:fill="CCEEFF"/>
          </w:tcPr>
          <w:p>
            <w:pPr>
              <w:jc w:val="center"/>
              <w:ind w:left="167"/>
              <w:spacing w:after="0"/>
              <w:rPr>
                <w:sz w:val="20"/>
                <w:szCs w:val="20"/>
                <w:color w:val="auto"/>
              </w:rPr>
            </w:pPr>
            <w:r>
              <w:rPr>
                <w:rFonts w:ascii="Times New Roman" w:cs="Times New Roman" w:eastAsia="Times New Roman" w:hAnsi="Times New Roman"/>
                <w:sz w:val="10"/>
                <w:szCs w:val="10"/>
                <w:color w:val="auto"/>
                <w:w w:val="79"/>
              </w:rPr>
              <w:t>1</w:t>
            </w:r>
          </w:p>
        </w:tc>
        <w:tc>
          <w:tcPr>
            <w:tcW w:w="3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3"/>
        </w:trPr>
        <w:tc>
          <w:tcPr>
            <w:tcW w:w="1160" w:type="dxa"/>
            <w:vAlign w:val="bottom"/>
          </w:tcPr>
          <w:p>
            <w:pPr>
              <w:spacing w:after="0"/>
              <w:rPr>
                <w:sz w:val="14"/>
                <w:szCs w:val="14"/>
                <w:color w:val="auto"/>
              </w:rPr>
            </w:pPr>
          </w:p>
        </w:tc>
        <w:tc>
          <w:tcPr>
            <w:tcW w:w="19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Otago</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2"/>
                <w:szCs w:val="12"/>
                <w:color w:val="auto"/>
                <w:w w:val="99"/>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15</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900" w:type="dxa"/>
            <w:vAlign w:val="bottom"/>
          </w:tcPr>
          <w:p>
            <w:pPr>
              <w:jc w:val="center"/>
              <w:ind w:left="167"/>
              <w:spacing w:after="0"/>
              <w:rPr>
                <w:sz w:val="20"/>
                <w:szCs w:val="20"/>
                <w:color w:val="auto"/>
              </w:rPr>
            </w:pPr>
            <w:r>
              <w:rPr>
                <w:rFonts w:ascii="Times New Roman" w:cs="Times New Roman" w:eastAsia="Times New Roman" w:hAnsi="Times New Roman"/>
                <w:sz w:val="10"/>
                <w:szCs w:val="10"/>
                <w:color w:val="auto"/>
                <w:w w:val="79"/>
              </w:rPr>
              <w:t>1</w:t>
            </w:r>
          </w:p>
        </w:tc>
        <w:tc>
          <w:tcPr>
            <w:tcW w:w="3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Reading Cinemas, Rialto Cinemas</w:t>
            </w:r>
            <w:r>
              <w:rPr>
                <w:rFonts w:ascii="Times New Roman" w:cs="Times New Roman" w:eastAsia="Times New Roman" w:hAnsi="Times New Roman"/>
                <w:sz w:val="5"/>
                <w:szCs w:val="5"/>
                <w:color w:val="auto"/>
              </w:rPr>
              <w:t>(2)</w:t>
            </w:r>
          </w:p>
        </w:tc>
      </w:tr>
      <w:tr>
        <w:trPr>
          <w:trHeight w:val="163"/>
        </w:trPr>
        <w:tc>
          <w:tcPr>
            <w:tcW w:w="1160" w:type="dxa"/>
            <w:vAlign w:val="bottom"/>
            <w:shd w:val="clear" w:color="auto" w:fill="CCEEFF"/>
          </w:tcPr>
          <w:p>
            <w:pPr>
              <w:spacing w:after="0"/>
              <w:rPr>
                <w:sz w:val="14"/>
                <w:szCs w:val="14"/>
                <w:color w:val="auto"/>
              </w:rPr>
            </w:pPr>
          </w:p>
        </w:tc>
        <w:tc>
          <w:tcPr>
            <w:tcW w:w="1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Auckland</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2"/>
                <w:szCs w:val="12"/>
                <w:color w:val="auto"/>
                <w:w w:val="99"/>
              </w:rPr>
              <w:t>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15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900" w:type="dxa"/>
            <w:vAlign w:val="bottom"/>
            <w:shd w:val="clear" w:color="auto" w:fill="CCEEFF"/>
          </w:tcPr>
          <w:p>
            <w:pPr>
              <w:spacing w:after="0"/>
              <w:rPr>
                <w:sz w:val="14"/>
                <w:szCs w:val="14"/>
                <w:color w:val="auto"/>
              </w:rPr>
            </w:pPr>
          </w:p>
        </w:tc>
        <w:tc>
          <w:tcPr>
            <w:tcW w:w="3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Reading Cinemas, Rialto Cinemas</w:t>
            </w:r>
            <w:r>
              <w:rPr>
                <w:rFonts w:ascii="Times New Roman" w:cs="Times New Roman" w:eastAsia="Times New Roman" w:hAnsi="Times New Roman"/>
                <w:sz w:val="5"/>
                <w:szCs w:val="5"/>
                <w:color w:val="auto"/>
              </w:rPr>
              <w:t>(2)</w:t>
            </w:r>
          </w:p>
        </w:tc>
      </w:tr>
      <w:tr>
        <w:trPr>
          <w:trHeight w:val="163"/>
        </w:trPr>
        <w:tc>
          <w:tcPr>
            <w:tcW w:w="1160" w:type="dxa"/>
            <w:vAlign w:val="bottom"/>
          </w:tcPr>
          <w:p>
            <w:pPr>
              <w:spacing w:after="0"/>
              <w:rPr>
                <w:sz w:val="14"/>
                <w:szCs w:val="14"/>
                <w:color w:val="auto"/>
              </w:rPr>
            </w:pPr>
          </w:p>
        </w:tc>
        <w:tc>
          <w:tcPr>
            <w:tcW w:w="19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Canterbury</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2"/>
                <w:szCs w:val="12"/>
                <w:color w:val="auto"/>
                <w:w w:val="99"/>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90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3"/>
        </w:trPr>
        <w:tc>
          <w:tcPr>
            <w:tcW w:w="1160" w:type="dxa"/>
            <w:vAlign w:val="bottom"/>
            <w:shd w:val="clear" w:color="auto" w:fill="CCEEFF"/>
          </w:tcPr>
          <w:p>
            <w:pPr>
              <w:spacing w:after="0"/>
              <w:rPr>
                <w:sz w:val="14"/>
                <w:szCs w:val="14"/>
                <w:color w:val="auto"/>
              </w:rPr>
            </w:pPr>
          </w:p>
        </w:tc>
        <w:tc>
          <w:tcPr>
            <w:tcW w:w="1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Southland</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2"/>
                <w:szCs w:val="12"/>
                <w:color w:val="auto"/>
                <w:w w:val="99"/>
              </w:rPr>
              <w:t>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08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left="167"/>
              <w:spacing w:after="0"/>
              <w:rPr>
                <w:sz w:val="20"/>
                <w:szCs w:val="20"/>
                <w:color w:val="auto"/>
              </w:rPr>
            </w:pPr>
            <w:r>
              <w:rPr>
                <w:rFonts w:ascii="Times New Roman" w:cs="Times New Roman" w:eastAsia="Times New Roman" w:hAnsi="Times New Roman"/>
                <w:sz w:val="10"/>
                <w:szCs w:val="10"/>
                <w:color w:val="auto"/>
                <w:w w:val="79"/>
              </w:rPr>
              <w:t>1</w:t>
            </w:r>
          </w:p>
        </w:tc>
        <w:tc>
          <w:tcPr>
            <w:tcW w:w="3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3"/>
        </w:trPr>
        <w:tc>
          <w:tcPr>
            <w:tcW w:w="1160" w:type="dxa"/>
            <w:vAlign w:val="bottom"/>
          </w:tcPr>
          <w:p>
            <w:pPr>
              <w:spacing w:after="0"/>
              <w:rPr>
                <w:sz w:val="14"/>
                <w:szCs w:val="14"/>
                <w:color w:val="auto"/>
              </w:rPr>
            </w:pPr>
          </w:p>
        </w:tc>
        <w:tc>
          <w:tcPr>
            <w:tcW w:w="19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Bay of Plenty</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2"/>
                <w:szCs w:val="12"/>
                <w:color w:val="auto"/>
                <w:w w:val="99"/>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080" w:type="dxa"/>
            <w:vAlign w:val="bottom"/>
          </w:tcPr>
          <w:p>
            <w:pPr>
              <w:spacing w:after="0"/>
              <w:rPr>
                <w:sz w:val="14"/>
                <w:szCs w:val="14"/>
                <w:color w:val="auto"/>
              </w:rPr>
            </w:pPr>
          </w:p>
        </w:tc>
        <w:tc>
          <w:tcPr>
            <w:tcW w:w="900" w:type="dxa"/>
            <w:vAlign w:val="bottom"/>
          </w:tcPr>
          <w:p>
            <w:pPr>
              <w:jc w:val="center"/>
              <w:ind w:left="167"/>
              <w:spacing w:after="0"/>
              <w:rPr>
                <w:sz w:val="20"/>
                <w:szCs w:val="20"/>
                <w:color w:val="auto"/>
              </w:rPr>
            </w:pPr>
            <w:r>
              <w:rPr>
                <w:rFonts w:ascii="Times New Roman" w:cs="Times New Roman" w:eastAsia="Times New Roman" w:hAnsi="Times New Roman"/>
                <w:sz w:val="10"/>
                <w:szCs w:val="10"/>
                <w:color w:val="auto"/>
                <w:w w:val="79"/>
              </w:rPr>
              <w:t>1</w:t>
            </w:r>
          </w:p>
        </w:tc>
        <w:tc>
          <w:tcPr>
            <w:tcW w:w="30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3"/>
        </w:trPr>
        <w:tc>
          <w:tcPr>
            <w:tcW w:w="116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Hawke's Bay</w:t>
            </w:r>
          </w:p>
        </w:tc>
        <w:tc>
          <w:tcPr>
            <w:tcW w:w="1220" w:type="dxa"/>
            <w:vAlign w:val="bottom"/>
            <w:tcBorders>
              <w:bottom w:val="single" w:sz="8" w:color="auto"/>
            </w:tcBorders>
            <w:shd w:val="clear" w:color="auto" w:fill="CCEEFF"/>
          </w:tcPr>
          <w:p>
            <w:pPr>
              <w:jc w:val="center"/>
              <w:ind w:left="182"/>
              <w:spacing w:after="0"/>
              <w:rPr>
                <w:sz w:val="20"/>
                <w:szCs w:val="20"/>
                <w:color w:val="auto"/>
              </w:rPr>
            </w:pPr>
            <w:r>
              <w:rPr>
                <w:rFonts w:ascii="Times New Roman" w:cs="Times New Roman" w:eastAsia="Times New Roman" w:hAnsi="Times New Roman"/>
                <w:sz w:val="12"/>
                <w:szCs w:val="12"/>
                <w:color w:val="auto"/>
                <w:w w:val="99"/>
              </w:rPr>
              <w:t>1</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center"/>
              <w:ind w:left="167"/>
              <w:spacing w:after="0"/>
              <w:rPr>
                <w:sz w:val="20"/>
                <w:szCs w:val="20"/>
                <w:color w:val="auto"/>
              </w:rPr>
            </w:pPr>
            <w:r>
              <w:rPr>
                <w:rFonts w:ascii="Times New Roman" w:cs="Times New Roman" w:eastAsia="Times New Roman" w:hAnsi="Times New Roman"/>
                <w:sz w:val="10"/>
                <w:szCs w:val="10"/>
                <w:color w:val="auto"/>
                <w:w w:val="79"/>
              </w:rPr>
              <w:t>1</w:t>
            </w:r>
          </w:p>
        </w:tc>
        <w:tc>
          <w:tcPr>
            <w:tcW w:w="30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Reading Cinemas</w:t>
            </w:r>
          </w:p>
        </w:tc>
      </w:tr>
      <w:tr>
        <w:trPr>
          <w:trHeight w:val="164"/>
        </w:trPr>
        <w:tc>
          <w:tcPr>
            <w:tcW w:w="1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New Zealand Total</w:t>
            </w:r>
          </w:p>
        </w:tc>
        <w:tc>
          <w:tcPr>
            <w:tcW w:w="122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2"/>
                <w:szCs w:val="12"/>
                <w:b w:val="1"/>
                <w:bCs w:val="1"/>
                <w:color w:val="auto"/>
                <w:w w:val="99"/>
              </w:rPr>
              <w:t>11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2"/>
              </w:rPr>
              <w:t>67</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900" w:type="dxa"/>
            <w:vAlign w:val="bottom"/>
            <w:tcBorders>
              <w:bottom w:val="single" w:sz="8" w:color="auto"/>
            </w:tcBorders>
          </w:tcPr>
          <w:p>
            <w:pPr>
              <w:jc w:val="center"/>
              <w:ind w:left="167"/>
              <w:spacing w:after="0"/>
              <w:rPr>
                <w:sz w:val="20"/>
                <w:szCs w:val="20"/>
                <w:color w:val="auto"/>
              </w:rPr>
            </w:pPr>
            <w:r>
              <w:rPr>
                <w:rFonts w:ascii="Times New Roman" w:cs="Times New Roman" w:eastAsia="Times New Roman" w:hAnsi="Times New Roman"/>
                <w:sz w:val="10"/>
                <w:szCs w:val="10"/>
                <w:b w:val="1"/>
                <w:bCs w:val="1"/>
                <w:color w:val="auto"/>
                <w:w w:val="79"/>
              </w:rPr>
              <w:t>5</w:t>
            </w:r>
          </w:p>
        </w:tc>
        <w:tc>
          <w:tcPr>
            <w:tcW w:w="3000" w:type="dxa"/>
            <w:vAlign w:val="bottom"/>
            <w:tcBorders>
              <w:bottom w:val="single" w:sz="8" w:color="auto"/>
            </w:tcBorders>
          </w:tcPr>
          <w:p>
            <w:pPr>
              <w:spacing w:after="0"/>
              <w:rPr>
                <w:sz w:val="14"/>
                <w:szCs w:val="14"/>
                <w:color w:val="auto"/>
              </w:rPr>
            </w:pPr>
          </w:p>
        </w:tc>
      </w:tr>
      <w:tr>
        <w:trPr>
          <w:trHeight w:val="155"/>
        </w:trPr>
        <w:tc>
          <w:tcPr>
            <w:tcW w:w="1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GRAND TOTAL</w:t>
            </w:r>
          </w:p>
        </w:tc>
        <w:tc>
          <w:tcPr>
            <w:tcW w:w="1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center"/>
              <w:ind w:left="162"/>
              <w:spacing w:after="0"/>
              <w:rPr>
                <w:sz w:val="20"/>
                <w:szCs w:val="20"/>
                <w:color w:val="auto"/>
              </w:rPr>
            </w:pPr>
            <w:r>
              <w:rPr>
                <w:rFonts w:ascii="Times New Roman" w:cs="Times New Roman" w:eastAsia="Times New Roman" w:hAnsi="Times New Roman"/>
                <w:sz w:val="12"/>
                <w:szCs w:val="12"/>
                <w:b w:val="1"/>
                <w:bCs w:val="1"/>
                <w:color w:val="auto"/>
                <w:w w:val="99"/>
              </w:rPr>
              <w:t>59</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477</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82"/>
              </w:rPr>
              <w:t>47</w:t>
            </w:r>
          </w:p>
        </w:tc>
        <w:tc>
          <w:tcPr>
            <w:tcW w:w="900" w:type="dxa"/>
            <w:vAlign w:val="bottom"/>
            <w:tcBorders>
              <w:bottom w:val="single" w:sz="8" w:color="auto"/>
            </w:tcBorders>
            <w:shd w:val="clear" w:color="auto" w:fill="CCEEFF"/>
          </w:tcPr>
          <w:p>
            <w:pPr>
              <w:jc w:val="center"/>
              <w:ind w:left="167"/>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3000" w:type="dxa"/>
            <w:vAlign w:val="bottom"/>
            <w:tcBorders>
              <w:bottom w:val="single" w:sz="8" w:color="auto"/>
            </w:tcBorders>
            <w:shd w:val="clear" w:color="auto" w:fill="CCEEFF"/>
          </w:tcPr>
          <w:p>
            <w:pPr>
              <w:spacing w:after="0"/>
              <w:rPr>
                <w:sz w:val="13"/>
                <w:szCs w:val="13"/>
                <w:color w:val="auto"/>
              </w:rPr>
            </w:pPr>
          </w:p>
        </w:tc>
      </w:tr>
    </w:tbl>
    <w:p>
      <w:pPr>
        <w:spacing w:after="0" w:line="82" w:lineRule="exact"/>
        <w:rPr>
          <w:sz w:val="20"/>
          <w:szCs w:val="20"/>
          <w:color w:val="auto"/>
        </w:rPr>
      </w:pPr>
    </w:p>
    <w:p>
      <w:pPr>
        <w:ind w:left="260" w:hanging="122"/>
        <w:spacing w:after="0"/>
        <w:tabs>
          <w:tab w:leader="none" w:pos="26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i w:val="1"/>
          <w:iCs w:val="1"/>
          <w:color w:val="auto"/>
        </w:rPr>
        <w:t>The Company has a 33.3% unincorporated joint venture interest in a 16-screen cinema located in Mt. Gravatt, Queensland managed by Event Cinemas.</w:t>
      </w:r>
    </w:p>
    <w:p>
      <w:pPr>
        <w:spacing w:after="0" w:line="5" w:lineRule="exact"/>
        <w:rPr>
          <w:rFonts w:ascii="Times New Roman" w:cs="Times New Roman" w:eastAsia="Times New Roman" w:hAnsi="Times New Roman"/>
          <w:sz w:val="10"/>
          <w:szCs w:val="10"/>
          <w:color w:val="auto"/>
        </w:rPr>
      </w:pPr>
    </w:p>
    <w:p>
      <w:pPr>
        <w:ind w:left="260" w:hanging="122"/>
        <w:spacing w:after="0" w:line="226" w:lineRule="auto"/>
        <w:tabs>
          <w:tab w:leader="none" w:pos="26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i w:val="1"/>
          <w:iCs w:val="1"/>
          <w:color w:val="auto"/>
        </w:rPr>
        <w:t>The Company is a 50% joint venture partner in two (2) New Zealand Rialto cinemas. We are responsible for the booking of these cinemas and our joint venture partner, Event Cinemas, manages their day-to-day operations.</w:t>
      </w:r>
    </w:p>
    <w:p>
      <w:pPr>
        <w:ind w:left="260" w:hanging="122"/>
        <w:spacing w:after="0"/>
        <w:tabs>
          <w:tab w:leader="none" w:pos="26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i w:val="1"/>
          <w:iCs w:val="1"/>
          <w:color w:val="auto"/>
        </w:rPr>
        <w:t>Our New York statistics include one (1) managed cinema.</w:t>
      </w:r>
    </w:p>
    <w:p>
      <w:pPr>
        <w:spacing w:after="0" w:line="12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We continue to focus on upgrading our existing cinemas and developing new cinema opportunities to provide our customers with premium offerings, including luxury seating, state-of-the-art presentation including sound, lounges, cafés and bar service, and other amenities. In 2017, we increased the number of auditoriums featuring luxury recliner seating from 58 to 112. In addition, we added large format TITAN XC or LUXE screen offerings to 15 of our cinemas. Our circuit has been completely converted to digital projection and sound systems. In 2017, we upgraded 6 of our auditoriums to feature Dolby ATMOS sound (including our new Newmarket site), which we consider to be the best in the industry at this time.</w:t>
      </w:r>
    </w:p>
    <w:p>
      <w:pPr>
        <w:spacing w:after="0" w:line="282"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4"/>
          <w:szCs w:val="14"/>
          <w:color w:val="auto"/>
        </w:rPr>
        <w:t>While attendance and gross box office was somewhat down for the exhibition industry in the U.S., Australia and New Zealand for 2017, compared to 2016, we believe that the cinema exhibition business will continue to generate fairly consistent cash flows in the years ahead, even in recessionary or inflationary environments, because people will continue to spend a reasonable portion of their entertainment dollars on entertainment outside of the home. When compared to other forms of outside-the-home entertainment, movies continue to be a popular and competitively priced option.</w:t>
      </w:r>
    </w:p>
    <w:p>
      <w:pPr>
        <w:spacing w:after="0" w:line="11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Recognizing that the cinema exhibition business is considered a mature business, we continue to see growth opportunities in our cinema exhibition business principally from (i) the enhancement of our existing cinemas, (ii) the development in select markets of art and specialty cinemas, (iii) the development of new state-of-the-art cinemas on land that we already own or may in the future acquire, and (iv) the development of new cinemas in selected markets. While we continue to consider possible opportunities in third party developments, we prefer, where possible, to put our capital to work in properties that we own rather than take on potentially burdensome lease obligations with their built-in rent increases and pass-throughs.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266" w:right="739" w:bottom="1440" w:gutter="0" w:footer="0" w:header="0"/>
        </w:sectPr>
      </w:pPr>
    </w:p>
    <w:bookmarkStart w:id="7" w:name="page8"/>
    <w:bookmarkEnd w:id="7"/>
    <w:p>
      <w:pPr>
        <w:spacing w:after="0" w:line="263" w:lineRule="auto"/>
        <w:rPr>
          <w:sz w:val="20"/>
          <w:szCs w:val="20"/>
          <w:color w:val="auto"/>
        </w:rPr>
      </w:pPr>
      <w:r>
        <w:rPr>
          <w:rFonts w:ascii="Times New Roman" w:cs="Times New Roman" w:eastAsia="Times New Roman" w:hAnsi="Times New Roman"/>
          <w:sz w:val="14"/>
          <w:szCs w:val="14"/>
          <w:color w:val="auto"/>
        </w:rPr>
        <w:t xml:space="preserve">We continue to expand and upgrade our circuit on an opportunistic basis. Our philosophy is not one of growth at any cost and our goal is not to have more screens than anyone else. Rather, our goal is to have high quality, consistently grossing cinemas, and to grow on a steady and sustainable basis. In 2017, we opened a new 8 screen cinema at our Newmarket Shopping Center in Brisbane, Australia, and began the process of repositioning our Cal Oaks cinema, located in Murrieta, California which will feature our new “Spotlight” level of service in 6 out of the 17 auditoriums. “Spotlight” puts focus directly on our customers by providing an in-auditorium, waitered, enhanced F&amp;B experience for their enjoyment. We also upgraded 54 of our screens to luxury seating and extended our enhanced food offerings (featuring alcoholic beverages) to 26 of our cinemas. In 2016, we opened an eight-screen, state-of-the-art cinema, branded </w:t>
      </w:r>
      <w:r>
        <w:rPr>
          <w:rFonts w:ascii="Times New Roman" w:cs="Times New Roman" w:eastAsia="Times New Roman" w:hAnsi="Times New Roman"/>
          <w:sz w:val="14"/>
          <w:szCs w:val="14"/>
          <w:i w:val="1"/>
          <w:iCs w:val="1"/>
          <w:color w:val="auto"/>
        </w:rPr>
        <w:t>Olino by Consolidated Theatres</w:t>
      </w:r>
      <w:r>
        <w:rPr>
          <w:rFonts w:ascii="Times New Roman" w:cs="Times New Roman" w:eastAsia="Times New Roman" w:hAnsi="Times New Roman"/>
          <w:sz w:val="14"/>
          <w:szCs w:val="14"/>
          <w:color w:val="auto"/>
        </w:rPr>
        <w:t>, our ninth theatre and first to break ground since 2001 in the state of Hawaii. In 2015, we opened a new state-of-the-art cinema (eight screens) in Auckland, New Zealand, completed the renovation and rebranding as an “Angelika” luxury art cinema of our conventional cinema at the Carmel Mountain Plaza in San Diego, California, completely renovated our fourteen-screen Harbourtown cinema in Queensland, Australia, and added the first IMAX screen to our circuit. We currently have 3 new cinemas, representing 17 screens, in our pipeline for opening before the end of 2019, with 15 existing cinemas, representing 113 screens, scheduled for significant updating and refurbishment during that same period.</w:t>
      </w:r>
    </w:p>
    <w:p>
      <w:pPr>
        <w:spacing w:after="0" w:line="11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Since 2015, we have consistently executed our strategic priority of upgrading the food and beverage menu at a number of our U.S. cinemas. We are focused on the renovation and upgrading of our existing U.S. cinemas, along the lines of our Carmel Mountain cinema. Working with Bruce Seidel (veteran Food Network executive) of Hot Lemon Productions and chef Santos Loo, we are upgrading our food and beverage offerings. During 2017, we created our “Spotlight” service concept, which is being implemented at our Cal Oaks cinema. We have obtained beer and wine, and in some cases liquor, licenses for 12 of our venues in the U.S. and are in the application process for an additional 4 venues. As a result we are currently offering alcoholic beverages at 12 of our U.S. cinemas. In our international cinema operations, we offer beer and wine menu options for 10 of our cinema locations in Australia and four of our cinema locations in New Zealand.</w:t>
      </w:r>
    </w:p>
    <w:p>
      <w:pPr>
        <w:spacing w:after="0" w:line="11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On January 31, 2016, following our run of “Star Wars: The Force Awakens”, we surrendered our Gaslamp Cinema in San Diego. In 2015, we paid the landlord a $1.0 million negotiated termination fee, which was less expensive than continuing to operate an unprofitable theater at this location. This cinema was acquired in 2008 as a part of the acquisition of a package of 15 locations from Pacific Theatres. The cinema was, at that time, a substantial money-loser and the purchase price was calculated taking into account the losses generated by that cinema and the likelihood that such losses would continue into the future.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Operating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2017, our principal tangible assets included:</w:t>
      </w:r>
    </w:p>
    <w:p>
      <w:pPr>
        <w:spacing w:after="0" w:line="138" w:lineRule="exact"/>
        <w:rPr>
          <w:sz w:val="20"/>
          <w:szCs w:val="20"/>
          <w:color w:val="auto"/>
        </w:rPr>
      </w:pP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interests in 58 cinemas comprising some 473 screens;</w:t>
      </w:r>
    </w:p>
    <w:p>
      <w:pPr>
        <w:spacing w:after="0" w:line="27"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interests in three live theaters (the Orpheum and Minetta Lane in Manhattan and the Royal George in Chicago);</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interest in one cinema (the Cinemas 1,2,3), in New York City;</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interests in two cinemas in Australia (Bundaberg and Maitland) and four cinemas in New Zealand (Dunedin, Invercargill, Napier and Rotorua);</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interest in our Union Square property, previously used by us as a live theater venue and for rental to third parties and now being redeveloped for retail and office uses;</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ETCs in Sydney (Redyard Center), Brisbane (Newmarket Center), Townsville (Cannon Park), Perth (Belmont) and Wellington (Courtenay Central);</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interest in 70.4 acres of currently vacant land located between Auckland and the airport, zoned for light industrial and industrial purposes.</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interest in 202 acres of currently vacant land located in Coachella, California zoned for residential and mixed use purposes.</w:t>
      </w:r>
    </w:p>
    <w:p>
      <w:pPr>
        <w:spacing w:after="0" w:line="12" w:lineRule="exact"/>
        <w:rPr>
          <w:rFonts w:ascii="Times New Roman" w:cs="Times New Roman" w:eastAsia="Times New Roman" w:hAnsi="Times New Roman"/>
          <w:sz w:val="14"/>
          <w:szCs w:val="14"/>
          <w:color w:val="auto"/>
        </w:rPr>
      </w:pPr>
    </w:p>
    <w:p>
      <w:pPr>
        <w:ind w:left="520" w:right="440" w:hanging="252"/>
        <w:spacing w:after="0" w:line="258"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interest in 2 office buildings, our corporate office in Culver City, Los Angeles as well as an office in Melbourne, Australia. Both buildings are mixed use assets, housing our corporate staff with any surplus space rented, or available to rent to third parties.</w:t>
      </w:r>
    </w:p>
    <w:p>
      <w:pPr>
        <w:ind w:left="520" w:right="320" w:hanging="252"/>
        <w:spacing w:after="0" w:line="258"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fee interests described immediately above, fee ownership of approximately 20.7 million square feet of developed and undeveloped real estate in the United States, Australia and New Zealand; and,</w:t>
      </w:r>
    </w:p>
    <w:p>
      <w:pPr>
        <w:ind w:left="520" w:hanging="25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aggregating $13.7 million.</w:t>
      </w:r>
    </w:p>
    <w:p>
      <w:pPr>
        <w:spacing w:after="0" w:line="17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4"/>
          <w:szCs w:val="14"/>
          <w:color w:val="auto"/>
        </w:rPr>
        <w:t>Although we operate cinemas in three jurisdictions, the general nature of our operations and operating strategies does not vary materially from jurisdiction-to-jurisdiction. In each jurisdiction, our gross receipts are primarily from box office receipts, food and beverage sales, and screen advertising. Our ancillary revenue is created principally from theater rentals (for example, for film festivals and special events), and ancillary programming (such as concerts and sporting events).</w:t>
      </w:r>
    </w:p>
    <w:p>
      <w:pPr>
        <w:spacing w:after="0" w:line="111"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4"/>
          <w:szCs w:val="14"/>
          <w:color w:val="auto"/>
        </w:rPr>
        <w:t>Our cinemas generated approximately 63% of their 2017 revenue from box office receipts. Ticket prices vary by location, and in selected locations we offer reduced rates for senior citizens, children and, in certain markets, military and students.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8" w:name="page9"/>
    <w:bookmarkEnd w:id="8"/>
    <w:p>
      <w:pPr>
        <w:jc w:val="both"/>
        <w:ind w:right="280"/>
        <w:spacing w:after="0" w:line="279" w:lineRule="auto"/>
        <w:rPr>
          <w:sz w:val="20"/>
          <w:szCs w:val="20"/>
          <w:color w:val="auto"/>
        </w:rPr>
      </w:pPr>
      <w:r>
        <w:rPr>
          <w:rFonts w:ascii="Times New Roman" w:cs="Times New Roman" w:eastAsia="Times New Roman" w:hAnsi="Times New Roman"/>
          <w:sz w:val="14"/>
          <w:szCs w:val="14"/>
          <w:color w:val="auto"/>
        </w:rPr>
        <w:t>Show times and features are placed in advertisements on our various websites, on internet sites and, in some markets, in local newspapers. Film distributors may also advertise certain feature films in various print, radio and television media, as well as on the internet, and those costs are generally paid by distributors. We are increasing our presence in social media, thereby reducing our dependency on print advertising.</w:t>
      </w:r>
    </w:p>
    <w:p>
      <w:pPr>
        <w:spacing w:after="0" w:line="10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4"/>
          <w:szCs w:val="14"/>
          <w:color w:val="auto"/>
        </w:rPr>
        <w:t>F&amp;B sales accounted for approximately 30% of our total 2017 cinema revenue. Although certain cinemas have licenses for the sale and consumption of alcoholic beverages, historically F&amp;B products have been primarily popcorn, candy, and soda. This is changing, as more of our theaters are offering expanded food and beverage offerings. One of our strategic focuses is to upgrade our existing cinemas with expanded F&amp;B offerings.</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4"/>
          <w:szCs w:val="14"/>
          <w:color w:val="auto"/>
        </w:rPr>
        <w:t>Screen advertising and other revenue contribute approximately 7% of our total 2017 cinema revenue. With the exception of certain rights that we have retained to sell to local advertisers, generally speaking, we are not in the screen advertising business and nationally recognized screen-advertising companies contract with us for the right to show such advertising on our screens.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Management of Cinemas</w:t>
      </w:r>
    </w:p>
    <w:p>
      <w:pPr>
        <w:spacing w:after="0" w:line="15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With the exception of our three unconsolidated cinemas, we manage our cinemas with executives located in Los Angeles and Manhattan in the U.S.; Melbourne, Australia; and Wellington, New Zealand. Our two New Zealand Rialto cinemas are owned by a joint venture in which Reading New Zealand is a 50% joint venture partner. While we assist in the booking of these two cinemas, our joint venture partner, Event Cinemas, manages their day-to-day operations. In addition, we have a one-third interest in a 16-screen Brisbane cinema managed by Event Cinemas.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Licensing and Pricing</w:t>
      </w:r>
    </w:p>
    <w:p>
      <w:pPr>
        <w:spacing w:after="0" w:line="15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Film product is available from a variety of sources, ranging from the major film distributors, such as Paramount Pictures, Twentieth Century Fox, Warner Bros, Buena Vista Pictures (Disney), Sony Pictures Releasing, Universal Pictures and Lionsgate, to a variety of smaller independent film distributors. In Australia and New Zealand, some of those major distributors distribute through local unaffiliated distributors. Worldwide, the major film distributors dominate the market for mainstream conventional films. In the U.S., art and specialty film is distributed through the art and specialty divisions of these major distributors, such as Fox Searchlight and Sony Pictures Classics, and through independent distributors such as A24 and Annapurna Pictures. Generally speaking, film payment terms are based upon an agreed-upon percentage of box office receipts that will vary from film-to-film.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Competition</w:t>
      </w:r>
    </w:p>
    <w:p>
      <w:pPr>
        <w:spacing w:after="0" w:line="164"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4"/>
          <w:szCs w:val="14"/>
          <w:color w:val="auto"/>
        </w:rPr>
        <w:t>In certain of our U.S. markets, film may be allocated by the applicable distributor among competitive cinemas, commonly known as “clearance”, while in other such U.S. markets we have access to all film in the market. This is discussed in greater detail below. Accordingly, from time-to-time, we are unable to license every film that we may desire to play. In the Australian and New Zealand markets, we generally have access to all film product in the market.</w:t>
      </w:r>
    </w:p>
    <w:p>
      <w:pPr>
        <w:spacing w:after="0" w:line="10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We believe that the success of a cinema depends on its access to popular film product because film patrons tend to decide on a film they would like to see first and then a cinema where the film is available. If a particular film is only offered at one cinema in a given market, then customers wishing to see that film will, out of necessity, go to that cinema. If two or more cinemas in the same market offer the same film, then customers will typically take into account factors such as the relative convenience, quality and cost of tickets at the various cinemas. For example, most cinema patrons seem to prefer a modern stadium-design multiplex to an older sloped-floor cinema, and to prefer a cinema that either offers convenient access to free parking (or public transport) over a cinema that does not.</w:t>
      </w:r>
    </w:p>
    <w:p>
      <w:pPr>
        <w:spacing w:after="0" w:line="1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This view is being challenged by some exhibitors, who are now promoting a “dine-in” concept. These exhibitors believe that if offered the right environment, consumers will choose the venue first, and the movie second. We believe that the jury is out as to the economic viability of this concept given, among other things, the space and fit-out costs involved, the necessarily reduced seat count where food is served at the seat, the split between consumers who want and who oppose having in-auditorium dining (some people just want to see the movie, and find in-auditorium service and dining to be a distraction from the movie itself), and the pricing of such offerings. It also appears to us, that one still needs to at least offer top film product. So, even with these dine-in theaters, access to film remains a principal concern.</w:t>
      </w:r>
    </w:p>
    <w:p>
      <w:pPr>
        <w:spacing w:after="0" w:line="11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In certain markets in the U.S., distributors typically take the position that they are free to provide or not provide their films to particular exhibitors, at their complete and absolute discretion, even though the number of “digital prints” is theoretically unlimited and all advertising for conventional film is paid for by the distributors. Some competitors, like AMC, have in recent periods been increasingly aggressive in their efforts to prevent competitors’ access to film product in film zones where they have cinemas. Currently we still face clearance situations in several markets.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5" w:right="759" w:bottom="1440" w:gutter="0" w:footer="0" w:header="0"/>
        </w:sectPr>
      </w:pPr>
    </w:p>
    <w:bookmarkStart w:id="9" w:name="page10"/>
    <w:bookmarkEnd w:id="9"/>
    <w:p>
      <w:pPr>
        <w:spacing w:after="0" w:line="264" w:lineRule="auto"/>
        <w:rPr>
          <w:sz w:val="20"/>
          <w:szCs w:val="20"/>
          <w:color w:val="auto"/>
        </w:rPr>
      </w:pPr>
      <w:r>
        <w:rPr>
          <w:rFonts w:ascii="Times New Roman" w:cs="Times New Roman" w:eastAsia="Times New Roman" w:hAnsi="Times New Roman"/>
          <w:sz w:val="14"/>
          <w:szCs w:val="14"/>
          <w:color w:val="auto"/>
        </w:rPr>
        <w:t>However the use of clearances is currently being challenged. We believe that, as the two principal justifications for clearances (the cost of producing an additional print and the shared advertising cost) no longer exist, that ultimately clearances should (except in exceptional cases – for example where a distributor’s strategy is for a limited or staged release) go away. If this occurs, on balance, we believe that this will be a positive development for us, as it will generally increase our access to film in competitive markets. Pressure on the major chains to stop using “clearances” is increasing. An investigation by the United States Department of Justice, Antitrust Division, into the possible anticompetitive activities of major chains has been initiated. Also, there have been private lawsuits by small chains to stop the practice. For example, iPic Theaters has obtained a temporary injunction against clearance practices by one major chain in Harris County, Texas, and is seeking further injunctions against other major chains in Texas as well as in other jurisdictions, such as the District of Columbia. In 2016, several major distributors (including 20</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Century Fox and Universal Studios) announced that they would no longer grant clearances. We believe that this will increase our access to top film product.</w:t>
      </w:r>
    </w:p>
    <w:p>
      <w:pPr>
        <w:spacing w:after="0" w:line="11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For now, competition for films can be intense, depending upon the number of cinemas in a particular market. Our ability to obtain top grossing first run feature films may be adversely impacted by our comparatively small size, and the limited number of screens and markets that we can supply to distributors. Moreover, in the United States, because of the dramatic consolidation of screens into the hands of a few very large and powerful exhibitors such as Cineworld (the new owners of Regal), AMC (including the newly acquired Carmike) and Cinemark, these mega-exhibition companies are in a position to offer distributors access to many more screens in major markets than we can. Also, the majors have a significant number of markets where they operate without material competition, meaning that the distributors have no alternative exhibitor for their films in these</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markets. Accordingly, distributors may decide to give preference to these mega-exhibitors when it comes to licensing top-grossing films, rather than deal with independents such as ourselves. The situation is different in Australia and New Zealand, where typically every major multiplex cinema has access to all of the film currently in distribution, regardless of the ownership of that multiplex cinema. However, on the reverse side, we have suffered somewhat in these markets from competition from boutique operators, who are able to book top grossing commercial films for limited runs, thus increasing competition for customers wishing to view such top grossing films.</w:t>
      </w:r>
    </w:p>
    <w:p>
      <w:pPr>
        <w:spacing w:after="0" w:line="12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In general, our cinemas are modern multiplex cinemas with competitive parking. The availability of state-of-the-art technology and/or luxury seating can also be a factor in the preference of one cinema over another. In recent periods, a number of cinemas have been opened or re-opened featuring luxury seating and/or expanded food and beverage service, including the sale of alcoholic beverages and food served to the seat. We have, for a number of years, offered alcoholic beverages in certain of our Australia and New Zealand cinemas and at certain of our Angelika Film Centers in the U.S. We are currently working to upgrade the seating and food and beverage offerings (including the offering of alcoholic beverages) at a number of our existing cinemas.</w:t>
      </w:r>
    </w:p>
    <w:p>
      <w:pPr>
        <w:spacing w:after="0" w:line="10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The film exhibition markets in the United States, Australia, and New Zealand are to a certain extent dominated by a limited number of major exhibition companies. The principal exhibitors in the United States are AMC (with 11,247 screens in 1,027 cinemas, which includes the information of newly acquired Carmike), Regal (with 7,315 screens in 561 cinemas), recently acquired by Cineworld Group, the U.K.’s largest cinema operator, and Cinemark (with 4,561 screens in 339 cinemas). As of December 31, 2017, we were the 9th largest exhibitor with 1% of the box office in the United States with 245 screens in 27 cinemas under management.</w:t>
      </w:r>
    </w:p>
    <w:p>
      <w:pPr>
        <w:spacing w:after="0" w:line="10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principal exhibitors in Australia are Greater Union, which does business under the Event Cinemas name (a subsidiary of Amalgamated Holdings Limited) (“Event”), Hoyts Cinemas (“Hoyts”), and Village Cinemas (“Village”). The major exhibitors control approximately 76% of the total cinema box office: Event 41%, Hoyts 22%, and Village</w:t>
      </w:r>
    </w:p>
    <w:p>
      <w:pPr>
        <w:spacing w:after="0"/>
        <w:rPr>
          <w:sz w:val="20"/>
          <w:szCs w:val="20"/>
          <w:color w:val="auto"/>
        </w:rPr>
      </w:pPr>
      <w:r>
        <w:rPr>
          <w:rFonts w:ascii="Times New Roman" w:cs="Times New Roman" w:eastAsia="Times New Roman" w:hAnsi="Times New Roman"/>
          <w:sz w:val="14"/>
          <w:szCs w:val="14"/>
          <w:color w:val="auto"/>
        </w:rPr>
        <w:t>13%. Event has 566 screens nationally, Hoyts 354 screens, and Village 210 screens. By comparison, our 149 screens (excluding any partnership theaters) represent approximately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 of the total box office. In June 2015, Hoyts was acquired by Wanda, which also holds a controlling interest in AMC.</w:t>
      </w:r>
    </w:p>
    <w:p>
      <w:pPr>
        <w:spacing w:after="0" w:line="149"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4"/>
          <w:szCs w:val="14"/>
          <w:color w:val="auto"/>
        </w:rPr>
        <w:t>The principal exhibitors in New Zealand are Event Cinemas with 116 screens nationally and Hoyts with 63 screens. Reading has 54 screens (excluding its interest in unconsolidated joint ventures). The major exhibitors in New Zealand control approximately 53% of the total box office: Event 33% and Hoyts 20%. Reading has 15% of the market (Event and Reading market share figures exclude any partnership theaters).</w:t>
      </w:r>
    </w:p>
    <w:p>
      <w:pPr>
        <w:spacing w:after="0" w:line="10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 Australia and New Zealand, the industry is somewhat vertically integrated in that Roadshow Film Distributors, a subsidiary of Village, serves as a distributor of film in Australia and New Zealand for Warner Brothers. Films produced or distributed by the majority of the local international independent producers are also distributed by Roadshow Film Distributors.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Many of our competitors have substantial financial resources which could allow them to operate in a more competitive manner than us.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5" w:right="7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In-Home and Mobile Device Competition</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“in-home” and mobile device entertainment industry has experienced significant leaps in recent periods in both the quality and affordability of in-home and mobile device entertainment systems and in the accessibility to, and quality of, entertainment programming through cable, satellite, internet distribution channels, and Blu-ray/DVD. The success of these alternative distribution channels and the entrance of new sources of product (like NetFlix and Amazon) who are producing product competitive with films produced for theatrical release puts additional pressure on film distributors to reduce and/or eliminate the time period between theatrical and secondary release dates and the willingness of consumers to take the time and pay the admission price to go to the movie theater. To a certain extent, it appears that consumers are willing to choose convenience over presentation quality. We are responding to this challenge generally by increasing the comfort and service levels available at our cinemas and by, in our case, bringing in more specialized and alternative product to our audiences. We are focusing on the fact that going to the movies is a social experience, and we are working to make that experience the best that it can be. These are issues common to both our U.S. and international cinema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Competitive issues are discussed in greater detail under the caption,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Seasonality</w:t>
      </w:r>
    </w:p>
    <w:p>
      <w:pPr>
        <w:spacing w:after="0" w:line="15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However, the deferral of releases is becoming increasingly less common, given the need to address internet and other channels of distribution that operate on a worldwide basis.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REAL ESTATE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Overall</w:t>
      </w:r>
    </w:p>
    <w:p>
      <w:pPr>
        <w:spacing w:after="0" w:line="3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We engage in real estate development and the ownership and rental or licensing to third parties of retail, commercial and live theater assets. We own the fee interests in all of our live theaters, and in 12 of our cinemas (as presented in the preceding table within the “</w:t>
      </w:r>
      <w:r>
        <w:rPr>
          <w:rFonts w:ascii="Times New Roman" w:cs="Times New Roman" w:eastAsia="Times New Roman" w:hAnsi="Times New Roman"/>
          <w:sz w:val="14"/>
          <w:szCs w:val="14"/>
          <w:i w:val="1"/>
          <w:iCs w:val="1"/>
          <w:color w:val="auto"/>
        </w:rPr>
        <w:t>Cinema Exhibition</w:t>
      </w:r>
      <w:r>
        <w:rPr>
          <w:rFonts w:ascii="Times New Roman" w:cs="Times New Roman" w:eastAsia="Times New Roman" w:hAnsi="Times New Roman"/>
          <w:sz w:val="14"/>
          <w:szCs w:val="14"/>
          <w:color w:val="auto"/>
        </w:rPr>
        <w:t>” section). Our real estate business creates long-term value for our stockholders through the continuous improvement and development of our investment and operating properties, including our ETCs.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real estate activities have historically consisted principally of:</w:t>
      </w:r>
    </w:p>
    <w:p>
      <w:pPr>
        <w:spacing w:after="0" w:line="164" w:lineRule="exact"/>
        <w:rPr>
          <w:sz w:val="20"/>
          <w:szCs w:val="20"/>
          <w:color w:val="auto"/>
        </w:rPr>
      </w:pPr>
    </w:p>
    <w:p>
      <w:pPr>
        <w:ind w:left="520" w:right="280" w:hanging="252"/>
        <w:spacing w:after="0" w:line="270" w:lineRule="auto"/>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fee or long-term leasehold interests in properties used in our cinema exhibition activities or which were acquired for the development of cinemas or cinema-based real estate development projects;</w:t>
      </w:r>
    </w:p>
    <w:p>
      <w:pPr>
        <w:ind w:left="520" w:hanging="252"/>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fee interests in land for general real estate development;</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licensing to production companies of our live theaters; and</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redevelopment of our existing fee-owned cinema or live theater sites to their highest and best use.</w:t>
      </w:r>
    </w:p>
    <w:p>
      <w:pPr>
        <w:spacing w:after="0" w:line="171"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4"/>
          <w:szCs w:val="14"/>
          <w:color w:val="auto"/>
        </w:rPr>
        <w:t>Over 2016 and 2017, we added 25,635 square foot of newly constructed net rentable space to our existing ETCs (calculated exclusive of cinema space), of which 24,924 square foot has been rented.</w:t>
      </w:r>
    </w:p>
    <w:p>
      <w:pPr>
        <w:spacing w:after="0" w:line="8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In light of the geographic reach of our business, and the highly localized nature of the real estate business, we have historically made use of third party contractors to provide on-site management of our real estate development and management activities. We have begun, however, in recent periods to selectively build our internal resources in this regard, concentrating on Australia and New Zealand where we have increased our overall real estate team from 3 to 9 full time employees over the last 2 years.</w:t>
      </w:r>
    </w:p>
    <w:p>
      <w:pPr>
        <w:spacing w:after="0" w:line="100"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color w:val="auto"/>
        </w:rPr>
        <w:t>Given the substantial increase in Manhattan rents and commercial real estate values in recent periods, we closed our live theater at our Union Square property and commenced construction of a revitalized retail and office offering, known as 44 Union Square, at that location. Also, we continue to pursue the redevelopment of our Cinemas 1,2,3 property.</w:t>
      </w:r>
    </w:p>
    <w:p>
      <w:pPr>
        <w:spacing w:after="0" w:line="9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2016, we began the construction phase of the redevelopment of our Union Square property into approximately 73,322 square feet of net leasable area (inclusive of anticipated BOMA adjustments), comprised of retail and office space. A short video on this project can be seen at www.44unionsquare.com. The redeveloped building, designed by BKSK Architects, features an iconic glass dome, reviewed and approved by the City of New York Landmarks Preservation Commission. Edifice Real Estate Partners, LLC is our development manager; Newmark Grubb Knight Frank is our leasing agent; and, an affiliate of CNY Construction LLC is our construction manager. BKSK and Gensler have assisted with the internal layout and interior design of the building. Construction financing is being provided by the Bank of the Ozarks and an affiliate of Fisher Brothers, who will together provide approximately $57.5 million in financing. The total cost of the redevelopment is currently estimated at $74.5 million. Newmark advises us that retail tenant demand in our property continues to be strong. Construction of our redeveloped building is currently more than 50% complete, and we currently anticipate that, subject to the signing of acceptable leases, the building will be ready for the commencement of the construction of tenant improvements in the third quarter of 2018.</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360"/>
          </w:cols>
          <w:pgMar w:left="740" w:top="123" w:right="799" w:bottom="1440" w:gutter="0" w:footer="0" w:header="0"/>
        </w:sectPr>
      </w:pPr>
    </w:p>
    <w:bookmarkStart w:id="11" w:name="page12"/>
    <w:bookmarkEnd w:id="11"/>
    <w:p>
      <w:pPr>
        <w:ind w:right="60"/>
        <w:spacing w:after="0" w:line="264" w:lineRule="auto"/>
        <w:rPr>
          <w:sz w:val="20"/>
          <w:szCs w:val="20"/>
          <w:color w:val="auto"/>
        </w:rPr>
      </w:pPr>
      <w:r>
        <w:rPr>
          <w:rFonts w:ascii="Times New Roman" w:cs="Times New Roman" w:eastAsia="Times New Roman" w:hAnsi="Times New Roman"/>
          <w:sz w:val="14"/>
          <w:szCs w:val="14"/>
          <w:color w:val="auto"/>
        </w:rPr>
        <w:t>Regarding our Cinemas 1,2,3 property in Manhattan, we have received the consent of the 25% minority member of the ownership entity for the redevelopment of the property. We are evaluating the potential to redevelop the property as a mixed use retail and residential and/or hotel property. Further, we have completed a preliminary feasibility study and are currently in negotiations with the owner of the approximately 2,600 square foot corner parcel adjacent to our Cinemas 1,2,3 property on the corner of 60th Street and 3rd Avenue for the joint development of our properties. A combination of the properties would produce approximately 121,000 square foot of FAR and approximately 140,000 square feet of gross buildable area. While no assurances can be given that we will be able to come to terms with the adjacent owner, negotiations are progressing. On August 31, 2016, we secured a new three-year mortgage loan ($20.0 million) with Valley National Bank, the proceeds of which were used to repay the mortgage on the property with the Bank of Santander ($15.0 million), to repay Reading for its $2.9 million loan to Sutton Hill Properties, LLC (the owner of the property), and for working capital purposes. We own a 75% managing member interest in Sutton Hill Properties, LLC.</w:t>
      </w:r>
    </w:p>
    <w:p>
      <w:pPr>
        <w:spacing w:after="0" w:line="1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On April 11, 2016, we purchased for $11.2 million a 24,000 square foot office building with 72 parking spaces located at 5995 Sepulveda Boulevard in Culver City, California. We currently use approximately 50% of the leasable area for our headquarters offices and endeavor to lease the remainder to unaffiliated third parties. Culver City has in recent years developed as a center of entertainment and high-tech activity in Los Angeles County. We moved into the building in February, 2017, and have obtained $8.4 million in financing on the property pursuant to a 10-year, fixed rate mortgage loan at an interest rate of 4.64% per annum and in June 2017 we obtained an additional $1.5 million in financing due to a reappraisal of the property, at an interest rate of 4.44%. Currently, we own essentially all of the office space from which we conduct our executive and administrative operations. All of our leasehold interests are cinema operating properties.</w:t>
      </w:r>
    </w:p>
    <w:p>
      <w:pPr>
        <w:spacing w:after="0" w:line="119"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14"/>
          <w:szCs w:val="14"/>
          <w:color w:val="auto"/>
        </w:rPr>
        <w:t xml:space="preserve">Overseas, on December 23, 2015, we acquired two adjoining properties in Townsville, Queensland, Australia for a total of $24.1 million (AU$33.4 million) comprising approximately 5.6 acres. The total gross leasable area of the two properties, the Cannon Park City Centre and the Cannon Park Discount Centre, is 133,000 square feet. Our multiplex cinema at the Cannon Park City Centre is the anchor tenant of that center. This acquisition is consistent with our business plan to own, where practical, the land underlying our entertainment assets. We operate these two (2) properties as a single ETC. For additional information, see </w:t>
      </w:r>
      <w:r>
        <w:rPr>
          <w:rFonts w:ascii="Times New Roman" w:cs="Times New Roman" w:eastAsia="Times New Roman" w:hAnsi="Times New Roman"/>
          <w:sz w:val="14"/>
          <w:szCs w:val="14"/>
          <w:i w:val="1"/>
          <w:iCs w:val="1"/>
          <w:color w:val="auto"/>
        </w:rPr>
        <w:t>Note 4</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Real Estate Transactions</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4"/>
          <w:szCs w:val="14"/>
          <w:color w:val="auto"/>
        </w:rPr>
        <w:t>We continue to work on the expansion and upgrading of our Auburn ETC in Sydney, Australia, our Newmarket ETC in Brisbane, Australia, and our Courtenay Central ETC in Wellington, New Zealand.</w:t>
      </w:r>
    </w:p>
    <w:p>
      <w:pPr>
        <w:spacing w:after="0" w:line="8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4"/>
          <w:szCs w:val="14"/>
          <w:color w:val="auto"/>
        </w:rPr>
        <w:t>At Auburn, since the beginning of 2016, we have entered into leases representing approximately 15,000 square feet of additional retail space, which will increase the square footage of that center from approximately 117,000 to approximately 132,000 square feet. Of this 15,500 square feet, 9,600 square feet was completed in 2016, and the remaining 5,900 square feet was completed in Q4 2017. This expansion is being funded internally.</w:t>
      </w:r>
    </w:p>
    <w:p>
      <w:pPr>
        <w:spacing w:after="0" w:line="11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At Newmarket, we have added a state-of-the art eight-screen cinema, 10,165 square feet of additional retail space and 124 additional parking spaces. On November 30, 2015, we acquired an approximately 23,000 square foot parcel adjacent to our tenant Coles supermarket. This property is currently improved with an office building, which is now fully leased. These leases have early development provisions allowing us to terminate these arrangements in connection with a redevelopment of the property. We intend to ultimately demolish this office building and to integrate this parcel into our Newmarket development. This will increase our Newmarket footprint from approximately 204,000 square feet to approximately 227,000 square feet. Our Newmarket project is currently being funded internally.</w:t>
      </w:r>
    </w:p>
    <w:p>
      <w:pPr>
        <w:spacing w:after="0" w:line="10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In May 2015 we received town planning approval for an $11.8 million (NZ$17.0 million) supermarket and retail expansion at our Courtenay Central ETC, located in Wellington, New Zealand. The expansion was anticipated to consist of an approximately 36,000 square foot “Countdown” supermarket and approximately 4,000 square feet of general retail space. In connection with the expansion, we were contemplating an approximately NZ$6.0 million upgrade and re-tenanting of the remainder of Courtenay Central. However, the earthquake in late 2016 has added complexity to our development activities at Courtenay Central, both necessitating and permitting a complete review of our plans for that location.</w:t>
      </w:r>
    </w:p>
    <w:p>
      <w:pPr>
        <w:spacing w:after="0" w:line="282" w:lineRule="exact"/>
        <w:rPr>
          <w:sz w:val="20"/>
          <w:szCs w:val="20"/>
          <w:color w:val="auto"/>
        </w:rPr>
      </w:pPr>
    </w:p>
    <w:p>
      <w:pPr>
        <w:ind w:left="520" w:right="20" w:hanging="252"/>
        <w:spacing w:after="0" w:line="272"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of all, our supermarket tenant advised us that it desired to upgrade the quality of the offering at our Center, which caused initial design and construction delays. This was both good news and bad news, since while we believe that our Center would benefit from an upgraded grocery offering (the tenant being responsible for the increased costs resulting from such enhanced improvements), such upgrades would have delayed the opening date of the supermarket. However, in some ways, these delay concerns may have been mooted by the earthquake.</w:t>
      </w:r>
    </w:p>
    <w:p>
      <w:pPr>
        <w:spacing w:after="0" w:line="51" w:lineRule="exact"/>
        <w:rPr>
          <w:rFonts w:ascii="Times New Roman" w:cs="Times New Roman" w:eastAsia="Times New Roman" w:hAnsi="Times New Roman"/>
          <w:sz w:val="14"/>
          <w:szCs w:val="14"/>
          <w:color w:val="auto"/>
        </w:rPr>
      </w:pPr>
    </w:p>
    <w:p>
      <w:pPr>
        <w:ind w:left="520" w:right="40" w:hanging="252"/>
        <w:spacing w:after="0" w:line="268"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earthquake severely damaged our 9 story parking garage at the Center, necessitating its demolition for health and safety reasons. We have recovered insurance proceeds of $25 million with respect to this damage. However, the location and configuration of the historic parking garage were less than ideal from the point of view of the refurbishment and expansion of Courtenay Central. Accordingly, while we still intend to construct a supermarket at the site (but now upgraded to a “premium” supermarket), and while we do not contemplate the demolition of any of the remaining elements of Courtenay Central, we are reconsidering the layout of the property and the potential to increase the leasable square footage at the site by optimizing the location and configuration of the replacement parking garage. This re-evaluation process is ongoing.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2" w:name="page13"/>
    <w:bookmarkEnd w:id="12"/>
    <w:p>
      <w:pPr>
        <w:ind w:right="180"/>
        <w:spacing w:after="0" w:line="272" w:lineRule="auto"/>
        <w:rPr>
          <w:sz w:val="20"/>
          <w:szCs w:val="20"/>
          <w:color w:val="auto"/>
        </w:rPr>
      </w:pPr>
      <w:r>
        <w:rPr>
          <w:rFonts w:ascii="Times New Roman" w:cs="Times New Roman" w:eastAsia="Times New Roman" w:hAnsi="Times New Roman"/>
          <w:sz w:val="14"/>
          <w:szCs w:val="14"/>
          <w:color w:val="auto"/>
        </w:rPr>
        <w:t>In addition to certain historic railroad properties (such as our 6.8 acre Viaduct Property in downtown Philadelphia) and certain expansion space associated with our existing ETC operations, we have two unimproved properties that we acquired for, and are currently being held for, development: (i) our 202-acre parcel in Coachella, California (near Palm Springs), currently zoned for residential and mixed-use uses, and (ii) our 70.4–acre parcel in Manukau, a suburb of Auckland, New Zealand (located adjacent to the Auckland Airport).</w:t>
      </w:r>
    </w:p>
    <w:p>
      <w:pPr>
        <w:spacing w:after="0" w:line="10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In the second quarter of 2016, the Auckland City Council revised the zoning of the agricultural portion of our property in Manukau (approximately 64.0 acres) to light industrial uses. The remaining 6.4 acres of our Manukau property were already zoned for heavy industrial use. Light industrial uses include certain manufacturing, production, logistic, transportation, warehouse and wholesale distribution activities and, on an ancillary basis, certain office, retail and educational uses. That decision was subject to a public announcement process, and became final in September 2016. Now that our zoning enhancement goal has been achieved, we are working with the southern gateway consortium on the development of a master plan for the construction of needed infrastructure works, while we continue to develop our long range plans for the property.</w:t>
      </w:r>
    </w:p>
    <w:p>
      <w:pPr>
        <w:spacing w:after="0" w:line="11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We have culled our real estate holdings to focus on those projects which we believe offer more upside potential to us. As part of this process, we sold our land holdings in Moonee Ponds, Australia for $17.5 million (AU$23.0 million) and a Los Angeles condominium for $3.0 million in 2015 and our land holdings in Burwood, Australia, for $51.6 million (AU$64.9 million) in 2014, the balance of the sale price of this property of $45.7 million (AU$58.4 million) was received in two installments, a partial payment in June 2017 and the final settlement in December 2017. These sales were made based on our belief that the assets involved had reached the highest value that we could reasonably achieve without investing substantial additional sums for land use planning, construction, and marketing.</w:t>
      </w:r>
    </w:p>
    <w:p>
      <w:pPr>
        <w:spacing w:after="0" w:line="107"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4"/>
          <w:szCs w:val="14"/>
          <w:color w:val="auto"/>
        </w:rPr>
        <w:t>While we report our real estate as a separate segment, it has historically operated as an integral portion of our overall business and, historically, has principally been in support of that business. We have, however, acquired or developed certain properties that do not currently have any cinema or other entertainment component.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real estate activities, holdings and developments are described in greater detail in Item 2 – </w:t>
      </w:r>
      <w:r>
        <w:rPr>
          <w:rFonts w:ascii="Times New Roman" w:cs="Times New Roman" w:eastAsia="Times New Roman" w:hAnsi="Times New Roman"/>
          <w:sz w:val="14"/>
          <w:szCs w:val="14"/>
          <w:i w:val="1"/>
          <w:iCs w:val="1"/>
          <w:color w:val="auto"/>
        </w:rPr>
        <w:t>Properties</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56"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4"/>
          <w:szCs w:val="14"/>
          <w:color w:val="auto"/>
        </w:rPr>
        <w:t>As of December 31, 2017, we had 84 full-time executive and administrative employees, 69 live theatre employees, 9 Real Estate employees and 2,423 cinema employees. A small number of our cinema employees in New Zealand are union members, as are our projectionists in Hawaii. None of our Australian-based employees or other employees are subject to union contracts. Overall, we are of the view that the existence of these collective-bargaining agreements does not materially increase our costs of labor or our ability to compete. We believe our relations with our employees to be generally good.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OF THE REGISTRANT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key executive officers as of February 28,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80" w:type="dxa"/>
            <w:vAlign w:val="bottom"/>
            <w:gridSpan w:val="3"/>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rPr>
              <w:t>Age</w:t>
            </w:r>
          </w:p>
        </w:tc>
        <w:tc>
          <w:tcPr>
            <w:tcW w:w="52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26"/>
        </w:trPr>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60" w:type="dxa"/>
            <w:vAlign w:val="bottom"/>
          </w:tcPr>
          <w:p>
            <w:pPr>
              <w:spacing w:after="0"/>
              <w:rPr>
                <w:sz w:val="2"/>
                <w:szCs w:val="2"/>
                <w:color w:val="auto"/>
              </w:rPr>
            </w:pPr>
          </w:p>
        </w:tc>
      </w:tr>
      <w:tr>
        <w:trPr>
          <w:trHeight w:val="169"/>
        </w:trPr>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Ellen M. Cotter</w:t>
            </w:r>
          </w:p>
        </w:tc>
        <w:tc>
          <w:tcPr>
            <w:tcW w:w="44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3"/>
                <w:szCs w:val="13"/>
                <w:color w:val="auto"/>
              </w:rPr>
              <w:t>51</w:t>
            </w:r>
          </w:p>
        </w:tc>
        <w:tc>
          <w:tcPr>
            <w:tcW w:w="14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Chairperson of the Board, Chief Executive Officer and President</w:t>
            </w:r>
          </w:p>
        </w:tc>
      </w:tr>
      <w:tr>
        <w:trPr>
          <w:trHeight w:val="152"/>
        </w:trPr>
        <w:tc>
          <w:tcPr>
            <w:tcW w:w="100" w:type="dxa"/>
            <w:vAlign w:val="bottom"/>
          </w:tcPr>
          <w:p>
            <w:pPr>
              <w:spacing w:after="0"/>
              <w:rPr>
                <w:sz w:val="13"/>
                <w:szCs w:val="13"/>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Margaret Cotter</w:t>
            </w:r>
          </w:p>
        </w:tc>
        <w:tc>
          <w:tcPr>
            <w:tcW w:w="440" w:type="dxa"/>
            <w:vAlign w:val="bottom"/>
            <w:gridSpan w:val="2"/>
          </w:tcPr>
          <w:p>
            <w:pPr>
              <w:jc w:val="center"/>
              <w:ind w:left="155"/>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3"/>
                <w:szCs w:val="13"/>
                <w:color w:val="auto"/>
              </w:rPr>
            </w:pPr>
          </w:p>
        </w:tc>
        <w:tc>
          <w:tcPr>
            <w:tcW w:w="52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Vice Chairperson of the Board, Executive Vice President – Real Estate Management and</w:t>
            </w:r>
          </w:p>
        </w:tc>
      </w:tr>
      <w:tr>
        <w:trPr>
          <w:trHeight w:val="171"/>
        </w:trPr>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Development-NYC</w:t>
            </w:r>
          </w:p>
        </w:tc>
      </w:tr>
      <w:tr>
        <w:trPr>
          <w:trHeight w:val="165"/>
        </w:trPr>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Dev Ghose</w:t>
            </w:r>
          </w:p>
        </w:tc>
        <w:tc>
          <w:tcPr>
            <w:tcW w:w="44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Executive Vice President, Chief Financial Officer, Treasurer and Corporate Secretary</w:t>
            </w:r>
          </w:p>
        </w:tc>
      </w:tr>
      <w:tr>
        <w:trPr>
          <w:trHeight w:val="163"/>
        </w:trPr>
        <w:tc>
          <w:tcPr>
            <w:tcW w:w="1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Andrzej J. Matyczynski</w:t>
            </w:r>
          </w:p>
        </w:tc>
        <w:tc>
          <w:tcPr>
            <w:tcW w:w="440" w:type="dxa"/>
            <w:vAlign w:val="bottom"/>
            <w:gridSpan w:val="2"/>
          </w:tcPr>
          <w:p>
            <w:pPr>
              <w:jc w:val="center"/>
              <w:ind w:left="155"/>
              <w:spacing w:after="0"/>
              <w:rPr>
                <w:sz w:val="20"/>
                <w:szCs w:val="20"/>
                <w:color w:val="auto"/>
              </w:rPr>
            </w:pPr>
            <w:r>
              <w:rPr>
                <w:rFonts w:ascii="Times New Roman" w:cs="Times New Roman" w:eastAsia="Times New Roman" w:hAnsi="Times New Roman"/>
                <w:sz w:val="13"/>
                <w:szCs w:val="13"/>
                <w:color w:val="auto"/>
              </w:rPr>
              <w:t>65</w:t>
            </w:r>
          </w:p>
        </w:tc>
        <w:tc>
          <w:tcPr>
            <w:tcW w:w="140" w:type="dxa"/>
            <w:vAlign w:val="bottom"/>
          </w:tcPr>
          <w:p>
            <w:pPr>
              <w:spacing w:after="0"/>
              <w:rPr>
                <w:sz w:val="14"/>
                <w:szCs w:val="14"/>
                <w:color w:val="auto"/>
              </w:rPr>
            </w:pPr>
          </w:p>
        </w:tc>
        <w:tc>
          <w:tcPr>
            <w:tcW w:w="52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Executive Vice President – Global Operations</w:t>
            </w:r>
          </w:p>
        </w:tc>
      </w:tr>
      <w:tr>
        <w:trPr>
          <w:trHeight w:val="163"/>
        </w:trPr>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Robert F. Smerling</w:t>
            </w:r>
          </w:p>
        </w:tc>
        <w:tc>
          <w:tcPr>
            <w:tcW w:w="44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President – Domestic Cinemas</w:t>
            </w:r>
          </w:p>
        </w:tc>
      </w:tr>
      <w:tr>
        <w:trPr>
          <w:trHeight w:val="168"/>
        </w:trPr>
        <w:tc>
          <w:tcPr>
            <w:tcW w:w="1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Wayne D. Smith</w:t>
            </w:r>
          </w:p>
        </w:tc>
        <w:tc>
          <w:tcPr>
            <w:tcW w:w="440" w:type="dxa"/>
            <w:vAlign w:val="bottom"/>
            <w:gridSpan w:val="2"/>
          </w:tcPr>
          <w:p>
            <w:pPr>
              <w:jc w:val="center"/>
              <w:ind w:left="155"/>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tcPr>
          <w:p>
            <w:pPr>
              <w:spacing w:after="0"/>
              <w:rPr>
                <w:sz w:val="14"/>
                <w:szCs w:val="14"/>
                <w:color w:val="auto"/>
              </w:rPr>
            </w:pPr>
          </w:p>
        </w:tc>
        <w:tc>
          <w:tcPr>
            <w:tcW w:w="52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Managing Director – Australia and New Zealand</w:t>
            </w:r>
          </w:p>
        </w:tc>
      </w:tr>
    </w:tbl>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Ellen M. Cotter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Ellen M. Cotter has been a member of our Board of Directors since March 13, 2013, and currently serves as a member of our Executive Committee. Ms. Cotter was appointed Chairperson of our Board on August 7, 2014 and served as our interim President and Chief Executive Officer from June 12, 2015 until January 8, 2016, when she was appointed our permanent President and Chief Executive Officer. She joined the Company in March 1998. Ms. Cotter is also a director of Cecelia Packing Corporation (a Cotter family-owned citrus grower, packer and marketer). Ms. Cotter is a graduate of Smith College and holds a Juris Doctor from Georgetown University Law Center. Prior to joining the Company, Ms. Cotter spent four years in private practice as a corporate attorney with the law firm of White &amp; Case in New York City. Ms. Cotter is the sister of Margaret Cotter and James J. Cotter, Jr. Prior to being appointed as our President and Chief Executive Officer, Ms. Cotter served for more than ten years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Ms. Cotter is the Co-Executor of her father’s estate, which is the record owner of 297,070 shares of Class A Stock and 427,808 shares of our Class B Stock (representing 25.5% of such Class B Stock). Ms. Cotter is a Co-Trustee of the James J. Cotter Foundation (the “Cotter Foundation”), which is the record holder of 102,751 shares of Class A Stock and Co-Trustee of the James J. Cotter, Sr. Trust (the “Cotter Trust”), which is the record owner of 1,897,649 shares of Class A Stock and 696,080 shares of Class B Stock (representing an additional 41.4% of such Class B Stock). Ms. Cotter also holds various positions in her family’s agricultural enterprises.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3" w:name="page14"/>
    <w:bookmarkEnd w:id="13"/>
    <w:p>
      <w:pPr>
        <w:jc w:val="both"/>
        <w:spacing w:after="0" w:line="267" w:lineRule="auto"/>
        <w:rPr>
          <w:sz w:val="20"/>
          <w:szCs w:val="20"/>
          <w:color w:val="auto"/>
        </w:rPr>
      </w:pPr>
      <w:r>
        <w:rPr>
          <w:rFonts w:ascii="Times New Roman" w:cs="Times New Roman" w:eastAsia="Times New Roman" w:hAnsi="Times New Roman"/>
          <w:sz w:val="14"/>
          <w:szCs w:val="14"/>
          <w:color w:val="auto"/>
        </w:rPr>
        <w:t>Ms. Cotter brings to our Board her nineteen years of experience working in our Company’s cinema operations, both in the United States and Australia. She has also served as the Chief Executive Officer of Reading’s subsidiary, Consolidated Entertainment, LLC, which operates substantially all of our cinemas in Hawaii and California. In addition, with her direct ownership of 802,903 shares of Class A Stock and 50,000 shares of Class B Stock and her positions as Co-Executor of her father’s estate and Co-Trustee of the Cotter Trust and the Cotter Foundation, Ms. Cotter is a significant stakeholder in our Company. Ms. Cotter is well recognized in and a valuable liaison to the film industry. In recognition of her contributions to the independent film industry, Ms. Cotter was awarded the first Gotham Appreciation Award at the 2015 Gotham Independent Film Awards. She was also inducted that same year into the Show East Hall of Fame.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Margaret Cotter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Margaret Cotter has been a Director of our Company since September 27, 2002, and on August 7, 2014 was appointed Vice Chairperson of our Board and currently serves as a member of our Executive Committee. On March 10, 2016, our Board appointed Ms. Cotter as Executive Vice President-Real Estate Management and Development-NYC, and Ms. Cotter became a full time employee of our Company. In this position, Ms. Cotter is responsible for the management of our live theater properties and operations, including the oversight of the day to day development process of our Union Square and Cinemas 1, 2, 3 properties. Ms. Cotter is the owner and President of OBI, LLC (“OBI”), which, from 2002 until her appointment as Executive Vice President – Real Estate Management and Development- NYC, managed our live-theater operations under a management agreement and provided management and various services regarding the development of our New York theater and cinema properties. Pursuant to the OBI management agreement, Ms. Cotter also served as the President of Liberty Theaters, LLC, the subsidiary through which we own our live theaters. The OBI management agreement was terminated with Ms. Cotter’s appointment as Executive Vice President-Real Estate Management and Development-NYC. Ms. Cotter is also a theatrical producer who has produced shows in Chicago and New York and in May 2017 due to other commitments stepped down as a long time board member of the League of Off-Broadway Theaters and Producers. She is a director of Cecelia Packing Corporation. Ms. Cotter, a former Assistant District Attorney for King’s County in Brooklyn, New York, graduated from Georgetown University and Georgetown University Law Center. She is the sister of Ellen M. Cotter and James J. Cotter, Jr. Ms. Margaret Cotter is a Co-Executor of her father’s estate, which is the record owner of 297,070 shares of Class A Stock and 427,808 shares of our Class B Stock (representing 25.5% of such Class B Stock). Ms. Cotter is also a Co-Trustee of the Cotter Trust, which is the record owner of 1,897,649 shares of Class A Stock and 696,080 shares of Class B Voting Common Stock (representing an additional 41.4% of such Class B Stock). Ms. Cotter is also a Co-Trustee of the Cotter Foundation, which is the record holder of 102,751 shares of Class A Stock and of the James. J. Cotter Grandchildren’s Trust which is the record holder of 274,390 shares of Class A Stock. Ms. Cotter also holds various positions in her family’s agricultural enterprises.</w:t>
      </w:r>
    </w:p>
    <w:p>
      <w:pPr>
        <w:spacing w:after="0" w:line="1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Ms. Cotter brings to the Board her experience as a live theater producer, theater operator and an active member of the New York theatre community, which gives her insight into live theater business trends that affect our business in this sector, and in New York and Chicago real estate matters. Operating and the daily oversight of our theater properties for over 18 years, Ms. Cotter contributes to the strategic direction for our developments. In addition, with her direct ownership of 810,284 shares of Class A Stock and 35,100 shares of Class B Stock and her positions as Co-Executor of her father’s estate and Co-Trustee of the Cotter Trust, the Cotter Foundation, and the James J. Cotter Grandchildren’s Trust, Ms. Cotter is a significant stakeholder in our Company.</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Devasis (“Dev”) Ghose</w:t>
      </w:r>
      <w:r>
        <w:rPr>
          <w:rFonts w:ascii="Times New Roman" w:cs="Times New Roman" w:eastAsia="Times New Roman" w:hAnsi="Times New Roman"/>
          <w:sz w:val="14"/>
          <w:szCs w:val="14"/>
          <w:color w:val="auto"/>
        </w:rPr>
        <w:t>. Dev Ghose was appointed Chief Financial Officer and Treasurer on May 11, 2015, Executive Vice President on March 10, 2016 and was Corporate Secretary from April 28, 2016 until March 9, 2018. Over the past 25 years, Mr. Ghose served as Executive Vice President and Chief Financial Officer in a number of senior finance roles with three NYSE-listed companies: Skilled Healthcare Group (a health services company, now part of Genesis HealthCare) from 2008 to 2013, Shurgard Storage Centers, Inc. (an international company focused on the acquisition, development and operation of self-storage centers in the U.S. and Europe; now part of Public Storage) from 2004 to 2006, and HCP, Inc., (which invests primarily in real estate serving the healthcare industry) from 1986 to 2003, and as Managing Director-International for Green Street Advisors (an independent research and trading firm concentrating on publicly traded real estate corporate securities in the U.S. &amp; Europe) from 2006 to 2007. Prior thereto, Mr. Ghose worked for PricewaterhouseCoopers in the U.S. and KPMG in the UK from 1975 to 1985. He qualified as a Certified Public Accountant in the U.S. and a Chartered Accountant in the U.K., and holds an Honors Degree in Physics from the University of Delhi, India and an Executive M.B.A. from the University of California, Los Angeles.</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u w:val="single" w:color="auto"/>
          <w:color w:val="auto"/>
        </w:rPr>
        <w:t>Andrzej J. Matyczynski</w:t>
      </w:r>
      <w:r>
        <w:rPr>
          <w:rFonts w:ascii="Times New Roman" w:cs="Times New Roman" w:eastAsia="Times New Roman" w:hAnsi="Times New Roman"/>
          <w:sz w:val="14"/>
          <w:szCs w:val="14"/>
          <w:color w:val="auto"/>
        </w:rPr>
        <w:t>. On March 10, 2016, Mr. Matyczynski was appointed as our Executive Vice President—Global Operations. From May 11, 2015 until March 10, 2016, Mr. Matyczynski acted as the Strategic Corporate Advisor to the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Mr. Matyczynski earned a Master’s Degree in Business Administration from the University of Southern California.</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4"/>
          <w:szCs w:val="14"/>
          <w:u w:val="single" w:color="auto"/>
          <w:color w:val="auto"/>
        </w:rPr>
        <w:t>Robert F. Smerling</w:t>
      </w:r>
      <w:r>
        <w:rPr>
          <w:rFonts w:ascii="Times New Roman" w:cs="Times New Roman" w:eastAsia="Times New Roman" w:hAnsi="Times New Roman"/>
          <w:sz w:val="14"/>
          <w:szCs w:val="14"/>
          <w:color w:val="auto"/>
        </w:rPr>
        <w:t>. Robert F. Smerling has served as President of our domestic cinema operations since 1994. He has been involved in the acquisition and/or development of all of our existing cinemas. Prior to joining our Company, Mr. Smerling was the President of Loews Theaters,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five grossing cinemas in the United States. Prior to Mr. Smerling’s employment at Loews, he was Vice Chairman of USA Cinemas in Boston, and President of Cinema National Theatres. Mr. Smerling, a recognized leader in our industry, has been a director of the National Association of Theater Owners, the principal trade group representing the cinema exhibition industry.</w:t>
      </w:r>
    </w:p>
    <w:p>
      <w:pPr>
        <w:spacing w:after="0" w:line="2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u w:val="single" w:color="auto"/>
          <w:color w:val="auto"/>
        </w:rPr>
        <w:t>Wayne D. Smith</w:t>
      </w:r>
      <w:r>
        <w:rPr>
          <w:rFonts w:ascii="Times New Roman" w:cs="Times New Roman" w:eastAsia="Times New Roman" w:hAnsi="Times New Roman"/>
          <w:sz w:val="14"/>
          <w:szCs w:val="14"/>
          <w:color w:val="auto"/>
        </w:rPr>
        <w:t>. Wayne D. Smith joined our Company in April 2004 as our Managing Director - Australia and New Zealand, after 23 years with Hoyts Cinemas. During his time with Hoyts, he was a key driver, as Head of Property, in growing that company’s Australian and New Zealand operations via an AUD$250 million expansion to more than 50 sites and 400 screens. While at Hoyts, his career included heading up the group’s car parking company, cinema operations, representing Hoyts as a director on various joint venture interests, and coordinating many asset acquisitions and disposals the company made.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5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Our statements in this annual report, including the documents incorporated herein by reference,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forward-looking statements are neither historical facts nor assurances of future performance. Instead, they are based only on our current beliefs, expectations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assumptions regarding the future of our business, future plans and strategies after having considered a variety of risks and uncertainties. Forward-looking statements are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necessarily the product of internal discussion and do not necessarily completely reflect the views of individual members of our Board of Directors or of our management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team. Individual Board members and individual members of our management team may have a different view as to the risks and uncertainties involved, and may have different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views as to future events or our operating performance.</w:t>
      </w:r>
    </w:p>
    <w:p>
      <w:pPr>
        <w:spacing w:after="0" w:line="84"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4"/>
          <w:szCs w:val="14"/>
          <w:color w:val="auto"/>
        </w:rPr>
        <w:t>Among the factors that could cause actual results and our financial condition to differ materially from those expressed in or underlying our forward-looking statements are the following:</w:t>
      </w:r>
    </w:p>
    <w:p>
      <w:pPr>
        <w:spacing w:after="0" w:line="31" w:lineRule="exact"/>
        <w:rPr>
          <w:sz w:val="20"/>
          <w:szCs w:val="20"/>
          <w:color w:val="auto"/>
        </w:rPr>
      </w:pPr>
    </w:p>
    <w:p>
      <w:pPr>
        <w:ind w:left="520" w:hanging="252"/>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cinema operations:</w:t>
      </w:r>
    </w:p>
    <w:p>
      <w:pPr>
        <w:spacing w:after="0" w:line="26" w:lineRule="exact"/>
        <w:rPr>
          <w:sz w:val="20"/>
          <w:szCs w:val="20"/>
          <w:color w:val="auto"/>
        </w:rPr>
      </w:pP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number and attractiveness to movie goers of the films released in future periods;</w:t>
      </w:r>
    </w:p>
    <w:p>
      <w:pPr>
        <w:spacing w:after="0" w:line="3" w:lineRule="exact"/>
        <w:rPr>
          <w:rFonts w:ascii="Courier New" w:cs="Courier New" w:eastAsia="Courier New" w:hAnsi="Courier New"/>
          <w:sz w:val="14"/>
          <w:szCs w:val="14"/>
          <w:color w:val="auto"/>
        </w:rPr>
      </w:pP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amount of money spent by film distributors to promote their motion pictures;</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licensing fees and terms required by film distributors from motion picture exhibitors in order to exhibit their films;</w:t>
      </w:r>
    </w:p>
    <w:p>
      <w:pPr>
        <w:ind w:left="1040" w:right="720" w:hanging="252"/>
        <w:spacing w:after="0" w:line="249" w:lineRule="auto"/>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ind w:left="1040" w:right="160" w:hanging="252"/>
        <w:spacing w:after="0" w:line="252" w:lineRule="auto"/>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extent to which we encounter competition from other cinema exhibitors, from other sources of outside-the-home entertainment, and from inside-the-home entertainment options, such as “home theaters” and competitive film product distribution technology, such as, by way of example, cable, satellite broadcast and Blu-ray/DVD rentals and sales, and so called “movies on demand;”</w:t>
      </w:r>
    </w:p>
    <w:p>
      <w:pPr>
        <w:spacing w:after="0" w:line="1" w:lineRule="exact"/>
        <w:rPr>
          <w:rFonts w:ascii="Courier New" w:cs="Courier New" w:eastAsia="Courier New" w:hAnsi="Courier New"/>
          <w:sz w:val="14"/>
          <w:szCs w:val="14"/>
          <w:color w:val="auto"/>
        </w:rPr>
      </w:pP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cost and impact of improvements to our cinemas, such as improved seating, enhanced food and beverage offerings and other improvements;</w:t>
      </w:r>
    </w:p>
    <w:p>
      <w:pPr>
        <w:spacing w:after="0" w:line="1" w:lineRule="exact"/>
        <w:rPr>
          <w:rFonts w:ascii="Courier New" w:cs="Courier New" w:eastAsia="Courier New" w:hAnsi="Courier New"/>
          <w:sz w:val="14"/>
          <w:szCs w:val="14"/>
          <w:color w:val="auto"/>
        </w:rPr>
      </w:pP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service disruption during theater improvements; and</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extent to, and the efficiency with, which we are able to integrate acquisitions of cinema circuits with our existing operations.</w:t>
      </w:r>
    </w:p>
    <w:p>
      <w:pPr>
        <w:ind w:left="520" w:hanging="252"/>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real estate development and operation activities:</w:t>
      </w:r>
    </w:p>
    <w:p>
      <w:pPr>
        <w:spacing w:after="0" w:line="11" w:lineRule="exact"/>
        <w:rPr>
          <w:rFonts w:ascii="Times New Roman" w:cs="Times New Roman" w:eastAsia="Times New Roman" w:hAnsi="Times New Roman"/>
          <w:sz w:val="14"/>
          <w:szCs w:val="14"/>
          <w:color w:val="auto"/>
        </w:rPr>
      </w:pP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rental rates and capitalization rates applicable to the markets in which we operate and the quality of properties that we own;</w:t>
      </w:r>
    </w:p>
    <w:p>
      <w:pPr>
        <w:spacing w:after="0" w:line="1" w:lineRule="exact"/>
        <w:rPr>
          <w:rFonts w:ascii="Courier New" w:cs="Courier New" w:eastAsia="Courier New" w:hAnsi="Courier New"/>
          <w:sz w:val="14"/>
          <w:szCs w:val="14"/>
          <w:color w:val="auto"/>
        </w:rPr>
      </w:pP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extent to which we can obtain on a timely basis the various land use approvals and entitlements needed to develop our properties;</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risks and uncertainties associated with real estate development;</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availability and cost of labor and materials;</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ability to obtain all permits to construct improvements;</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ability to finance improvements;</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disruptions from construction;</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possibility of construction delays, work stoppage and material shortage;</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competition for development sites and tenants;</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environmental remediation issues;</w:t>
      </w:r>
    </w:p>
    <w:p>
      <w:pPr>
        <w:ind w:left="1040" w:right="380" w:hanging="252"/>
        <w:spacing w:after="0" w:line="249" w:lineRule="auto"/>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extent to which our cinemas can continue to serve as an anchor tenant that will, in turn, be influenced by the same factors as will influence generally the results of our cinema operations;</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ability to negotiate and execute joint venture opportunities and relationships; and</w:t>
      </w:r>
    </w:p>
    <w:p>
      <w:pPr>
        <w:spacing w:after="0" w:line="1" w:lineRule="exact"/>
        <w:rPr>
          <w:rFonts w:ascii="Courier New" w:cs="Courier New" w:eastAsia="Courier New" w:hAnsi="Courier New"/>
          <w:sz w:val="14"/>
          <w:szCs w:val="14"/>
          <w:color w:val="auto"/>
        </w:rPr>
      </w:pP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certain of our activities are in geologically active areas, creating a risk of damage and/or disruption of real estate and/or cinema businesses from earthquakes.</w:t>
      </w:r>
    </w:p>
    <w:p>
      <w:pPr>
        <w:ind w:left="520" w:right="240" w:hanging="252"/>
        <w:spacing w:after="0" w:line="258"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our ongoing access to borrowed funds and capital and the interest that must be paid on that debt and the returns that must be paid on such capital;</w:t>
      </w:r>
    </w:p>
    <w:p>
      <w:pPr>
        <w:spacing w:after="0" w:line="1" w:lineRule="exact"/>
        <w:rPr>
          <w:rFonts w:ascii="Courier New" w:cs="Courier New" w:eastAsia="Courier New" w:hAnsi="Courier New"/>
          <w:sz w:val="14"/>
          <w:szCs w:val="14"/>
          <w:color w:val="auto"/>
        </w:rPr>
      </w:pPr>
    </w:p>
    <w:p>
      <w:pPr>
        <w:ind w:left="1040" w:hanging="252"/>
        <w:spacing w:after="0" w:line="249" w:lineRule="auto"/>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expenses, management and Board distraction and other effects of the litigation efforts mounted by James Cotter, Jr. against the Company, including his efforts to cause a sale of voting control of the Company;</w:t>
      </w: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the relative values of the currency used in the countries in which we operate;</w:t>
      </w:r>
    </w:p>
    <w:p>
      <w:pPr>
        <w:spacing w:after="0" w:line="1" w:lineRule="exact"/>
        <w:rPr>
          <w:rFonts w:ascii="Courier New" w:cs="Courier New" w:eastAsia="Courier New" w:hAnsi="Courier New"/>
          <w:sz w:val="14"/>
          <w:szCs w:val="14"/>
          <w:color w:val="auto"/>
        </w:rPr>
      </w:pPr>
    </w:p>
    <w:p>
      <w:pPr>
        <w:ind w:left="1040" w:hanging="252"/>
        <w:spacing w:after="0"/>
        <w:tabs>
          <w:tab w:leader="none" w:pos="1040" w:val="left"/>
        </w:tabs>
        <w:numPr>
          <w:ilvl w:val="1"/>
          <w:numId w:val="11"/>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changes in government regulation, including by way of example, the costs resulting from the implementation of the requirements of Sarbanes-Oxley;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3" w:right="739" w:bottom="1440" w:gutter="0" w:footer="0" w:header="0"/>
        </w:sectPr>
      </w:pPr>
    </w:p>
    <w:bookmarkStart w:id="16" w:name="page17"/>
    <w:bookmarkEnd w:id="16"/>
    <w:p>
      <w:pPr>
        <w:ind w:left="1040" w:right="120" w:hanging="252"/>
        <w:spacing w:after="0" w:line="260" w:lineRule="auto"/>
        <w:tabs>
          <w:tab w:leader="none" w:pos="1040" w:val="left"/>
        </w:tabs>
        <w:numPr>
          <w:ilvl w:val="0"/>
          <w:numId w:val="12"/>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our labor relations and costs of labor (including future government requirements with respect to pension liabilities, disability insurance and health coverage, and vacations and leave);</w:t>
      </w:r>
    </w:p>
    <w:p>
      <w:pPr>
        <w:ind w:left="1040" w:right="320" w:hanging="252"/>
        <w:spacing w:after="0" w:line="252" w:lineRule="auto"/>
        <w:tabs>
          <w:tab w:leader="none" w:pos="1040" w:val="left"/>
        </w:tabs>
        <w:numPr>
          <w:ilvl w:val="0"/>
          <w:numId w:val="12"/>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our exposure from time-to-time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w:t>
      </w:r>
    </w:p>
    <w:p>
      <w:pPr>
        <w:spacing w:after="0" w:line="1" w:lineRule="exact"/>
        <w:rPr>
          <w:rFonts w:ascii="Courier New" w:cs="Courier New" w:eastAsia="Courier New" w:hAnsi="Courier New"/>
          <w:sz w:val="14"/>
          <w:szCs w:val="14"/>
          <w:color w:val="auto"/>
        </w:rPr>
      </w:pPr>
    </w:p>
    <w:p>
      <w:pPr>
        <w:ind w:left="1040" w:hanging="252"/>
        <w:spacing w:after="0"/>
        <w:tabs>
          <w:tab w:leader="none" w:pos="1040" w:val="left"/>
        </w:tabs>
        <w:numPr>
          <w:ilvl w:val="0"/>
          <w:numId w:val="12"/>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our exposure to cyber-security risks, including misappropriation of customer information or other breaches of information security;</w:t>
      </w:r>
    </w:p>
    <w:p>
      <w:pPr>
        <w:spacing w:after="0" w:line="1" w:lineRule="exact"/>
        <w:rPr>
          <w:rFonts w:ascii="Courier New" w:cs="Courier New" w:eastAsia="Courier New" w:hAnsi="Courier New"/>
          <w:sz w:val="14"/>
          <w:szCs w:val="14"/>
          <w:color w:val="auto"/>
        </w:rPr>
      </w:pPr>
    </w:p>
    <w:p>
      <w:pPr>
        <w:ind w:left="1040" w:right="340" w:hanging="252"/>
        <w:spacing w:after="0" w:line="249" w:lineRule="auto"/>
        <w:tabs>
          <w:tab w:leader="none" w:pos="1040" w:val="left"/>
        </w:tabs>
        <w:numPr>
          <w:ilvl w:val="0"/>
          <w:numId w:val="12"/>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changes in future effective tax rates and the results of currently ongoing and future potential audits by taxing authorities having jurisdiction over our various companies; and</w:t>
      </w:r>
    </w:p>
    <w:p>
      <w:pPr>
        <w:ind w:left="1040" w:hanging="252"/>
        <w:spacing w:after="0"/>
        <w:tabs>
          <w:tab w:leader="none" w:pos="1040" w:val="left"/>
        </w:tabs>
        <w:numPr>
          <w:ilvl w:val="0"/>
          <w:numId w:val="12"/>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changes in applicable accounting policies and practices.</w:t>
      </w:r>
    </w:p>
    <w:p>
      <w:pPr>
        <w:spacing w:after="0" w:line="213"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4"/>
          <w:szCs w:val="14"/>
          <w:color w:val="auto"/>
        </w:rPr>
        <w:t xml:space="preserve">The above list is not necessarily exhaustive, as business is by definition unpredictable and risky, and it is subject to influence by numerous factors outside of our control, such as changes in government regulation or policy, competition, interest rates, supply, technological innovation, changes in consumer taste, the weather, and the extent to which consumers in our markets have the economic wherewithal to spend money on beyond-the-home entertainment. Refer to </w:t>
      </w:r>
      <w:r>
        <w:rPr>
          <w:rFonts w:ascii="Times New Roman" w:cs="Times New Roman" w:eastAsia="Times New Roman" w:hAnsi="Times New Roman"/>
          <w:sz w:val="14"/>
          <w:szCs w:val="14"/>
          <w:i w:val="1"/>
          <w:iCs w:val="1"/>
          <w:color w:val="auto"/>
        </w:rPr>
        <w:t>Item 1A Risk factors</w:t>
      </w:r>
      <w:r>
        <w:rPr>
          <w:rFonts w:ascii="Times New Roman" w:cs="Times New Roman" w:eastAsia="Times New Roman" w:hAnsi="Times New Roman"/>
          <w:sz w:val="14"/>
          <w:szCs w:val="14"/>
          <w:color w:val="auto"/>
        </w:rPr>
        <w:t xml:space="preserve"> for more information.</w:t>
      </w:r>
    </w:p>
    <w:p>
      <w:pPr>
        <w:spacing w:after="0" w:line="1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4"/>
          <w:szCs w:val="14"/>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4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color w:val="auto"/>
        </w:rPr>
        <w:t>Finally,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31"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color w:val="auto"/>
        </w:rPr>
        <w:t>Additionally, certain of the presentations included in this annual report may contain “non-US GAAP financial measures.” In such case, a reconciliation of this information to our US GAAP financial statements will be made available in connection with such statements.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1A – Risk Factors</w:t>
      </w:r>
    </w:p>
    <w:p>
      <w:pPr>
        <w:spacing w:after="0" w:line="15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4"/>
          <w:szCs w:val="14"/>
          <w:color w:val="auto"/>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and our plans to address or mitigate the risks involved, are discussed in significantly greater detail in the context of specific discussions of our business plan, our operating results, and the various competitive forces that we face.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RISK FACTORS</w:t>
      </w:r>
    </w:p>
    <w:p>
      <w:pPr>
        <w:spacing w:after="0" w:line="15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4"/>
          <w:szCs w:val="14"/>
          <w:color w:val="auto"/>
        </w:rPr>
        <w:t>We are currently engaged principally in the cinema exhibition and real estate businesses. Because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because we are principally in the business of renting space to producers rather than in producing plays ourselves – the cinema exhibition and live theater businesses share certain risk factors and are, accordingly, discussed together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Cinema Exhibition and Live Theater Business Risk Factors</w:t>
      </w:r>
    </w:p>
    <w:p>
      <w:pPr>
        <w:spacing w:after="0" w:line="1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operate in a highly competitive environment with many competitors who are significantly larger and may have significantly better access to funds than we do. </w:t>
      </w:r>
      <w:r>
        <w:rPr>
          <w:rFonts w:ascii="Times New Roman" w:cs="Times New Roman" w:eastAsia="Times New Roman" w:hAnsi="Times New Roman"/>
          <w:sz w:val="14"/>
          <w:szCs w:val="14"/>
          <w:color w:val="auto"/>
        </w:rPr>
        <w:t>We are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comparatively small cinema operator and face competition from much larger cinema exhibitors. These larger exhibitors are able to offer distributors more screens in more markets</w:t>
      </w:r>
    </w:p>
    <w:p>
      <w:pPr>
        <w:ind w:right="20"/>
        <w:spacing w:after="0" w:line="261" w:lineRule="auto"/>
        <w:rPr>
          <w:sz w:val="20"/>
          <w:szCs w:val="20"/>
          <w:color w:val="auto"/>
        </w:rPr>
      </w:pPr>
      <w:r>
        <w:rPr>
          <w:rFonts w:ascii="Times New Roman" w:cs="Times New Roman" w:eastAsia="Times New Roman" w:hAnsi="Times New Roman"/>
          <w:sz w:val="14"/>
          <w:szCs w:val="14"/>
          <w:color w:val="auto"/>
        </w:rPr>
        <w:t>– including markets where they may be the exclusive exhibitor – than can we. Faced with such competition, we may not be able to get access to all of the films we want, which may adversely affect our revenue and profitability. While we are concerned about the use of larger competitors of national and international booking power to limit our access to film, there is little we can do to mitigate this risk as antitrust litigation is very expensive and typically long lived. While several private lawsuits are currently pending challenging the practice of certain competitors to prevent or limit their access to film product, these are private lawsuits. We have no control over the prosecution of such lawsuits or the terms on which they may be privately resolved or settled. While several distributors have announced that they will generally provide access of film to all who desire it, this practice is not universal. Also, for major films, like the most recent installment of Star Wars, the terms of exhibition as a practical matter limited the competitors who could exhibit the film. This competitive disadvantage has been, in our view, exacerbated in recent periods with the further concentration of the cinema exhibition industry, for example, Cineworld Group Plc’s acquisition of Regal Entertainment Group and Dalian Wanda’s acquisition of AMC Entertainment, which, had previously acquired Carmike Cinemas, Odeon &amp; UCI Cinemas Group and Nordic Cinema Group.</w:t>
      </w:r>
    </w:p>
    <w:p>
      <w:pPr>
        <w:spacing w:after="0" w:line="112"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4"/>
          <w:szCs w:val="14"/>
          <w:color w:val="auto"/>
        </w:rPr>
        <w:t>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and (iv) better economies of scale than us.</w:t>
      </w:r>
    </w:p>
    <w:p>
      <w:pPr>
        <w:spacing w:after="0" w:line="86"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 In 2016, we closed our principal live theater in New York, the Union Square.</w:t>
      </w:r>
    </w:p>
    <w:p>
      <w:pPr>
        <w:spacing w:after="0" w:line="11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face competition from other sources of entertainment and other entertainment delivery systems. </w:t>
      </w:r>
      <w:r>
        <w:rPr>
          <w:rFonts w:ascii="Times New Roman" w:cs="Times New Roman" w:eastAsia="Times New Roman" w:hAnsi="Times New Roman"/>
          <w:sz w:val="14"/>
          <w:szCs w:val="14"/>
          <w:color w:val="auto"/>
        </w:rPr>
        <w:t>Both our cinema and live theater operations face competition from “in-home” and mobile device sources of entertainment. These include competition from network, cable and satellite television, internet streaming video services, Video on Demand, Blu-ray/DVD, the internet, video games and other sources of entertainment. The quality of “in-home” and mobile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 oriented experience offered by our cinemas and live theaters. Film distributors have been responding to these developments by, in some cases, decreasing or eliminating the period of time between cinema release and the date such product is made available to “in-home” or mobile forms of distribution.</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There is the risk that, over time, distributors may move towards simultaneous release of motion picture product in multiple channels of distribution. Also, some traditional in-home and mobile distributors have begun the production of full-length movies, specifically for the purpose of direct or simultaneous release to the in-home and mobile markets. These factors may adversely affect the competitive advantage enjoyed by cinemas over “in-home” and mobile forms of entertainment, as it may be that the cinema market and the “in-home” and mobile markets will have simultaneous access to the same motion picture product. In recent times, a number of movies were released on a simultaneous basis to movie exhibitors and to in-home and mobile markets. It is likely that this trend will continue, making it, in our view, increasingly important for exhibitors to enhance the convenience and quality of the theater-going experience. This can require substantial capital outlays and increased labor expense, which exhibitors may not be able to fully pass on to their customers. Also, the amount of programming (including without limitation, the live streaming of sporting, theatrical and political events) available on an “in-home” and mobile basis continues to increase.</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380"/>
          </w:cols>
          <w:pgMar w:left="740" w:top="114" w:right="779" w:bottom="1440" w:gutter="0" w:footer="0" w:header="0"/>
        </w:sectPr>
      </w:pPr>
    </w:p>
    <w:bookmarkStart w:id="18" w:name="page19"/>
    <w:bookmarkEnd w:id="18"/>
    <w:p>
      <w:pPr>
        <w:ind w:right="200"/>
        <w:spacing w:after="0" w:line="279" w:lineRule="auto"/>
        <w:rPr>
          <w:sz w:val="20"/>
          <w:szCs w:val="20"/>
          <w:color w:val="auto"/>
        </w:rPr>
      </w:pPr>
      <w:r>
        <w:rPr>
          <w:rFonts w:ascii="Times New Roman" w:cs="Times New Roman" w:eastAsia="Times New Roman" w:hAnsi="Times New Roman"/>
          <w:sz w:val="14"/>
          <w:szCs w:val="14"/>
          <w:color w:val="auto"/>
        </w:rPr>
        <w:t>The narrowing and/or elimination of this so-called “window” for cinema exhibition may be problematic for the cinema exhibition industry. However, to date, attempts by the major film distributors to continue to narrow or eliminate the window have been strenuously resisted by the cinema exhibition industry, and we view the total elimination of the cinema exhibition window by major film distributors, while theoretically possible, to be unlikely.</w:t>
      </w:r>
    </w:p>
    <w:p>
      <w:pPr>
        <w:spacing w:after="0" w:line="100"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4"/>
          <w:szCs w:val="14"/>
          <w:color w:val="auto"/>
        </w:rPr>
        <w:t>We also face competition from various other forms of “beyond-the-home” entertainment, including sporting events, concerts, restaurants, casinos, video game arcades, and nightclubs. Our cinemas also face competition from live theaters and vice versa. Also, social media offerings – such as Facebook, Instagram and Snapchat – appear to be commanding increasing portions of the recreational time of our potential audience.</w:t>
      </w:r>
    </w:p>
    <w:p>
      <w:pPr>
        <w:spacing w:after="0" w:line="10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cinema and live theater businesses may be vulnerable to fears of terrorism and random shooter incidents which could cause customers to avoid public assembly seating, and natural disasters</w:t>
      </w:r>
      <w:r>
        <w:rPr>
          <w:rFonts w:ascii="Times New Roman" w:cs="Times New Roman" w:eastAsia="Times New Roman" w:hAnsi="Times New Roman"/>
          <w:sz w:val="14"/>
          <w:szCs w:val="14"/>
          <w:color w:val="auto"/>
        </w:rPr>
        <w:t>. Political events, such as terrorist attacks, random shooter incidents and health-related epidemics, such as flu outbreaks, could cause patrons to avoid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cinemas or other public places where large crowds are in attendance. In addition, a natural disaster, such as a typhoon or an earthquake, could impact our ability to operate certain of our cinemas, which could adversely affect our results of operations.</w:t>
      </w:r>
    </w:p>
    <w:p>
      <w:pPr>
        <w:spacing w:after="0" w:line="1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cinema operations depend upon access to film and alternative entertainment product that is attractive to our patrons, and our live theater operations depend upon the continued attractiveness of our theaters to producers. </w:t>
      </w:r>
      <w:r>
        <w:rPr>
          <w:rFonts w:ascii="Times New Roman" w:cs="Times New Roman" w:eastAsia="Times New Roman" w:hAnsi="Times New Roman"/>
          <w:sz w:val="14"/>
          <w:szCs w:val="14"/>
          <w:color w:val="auto"/>
        </w:rPr>
        <w:t>Our ability to generate revenue and profits is largely dependent on factors outside of our control, specifically, the continued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ability of motion picture, alternative entertainment and live theater producers to produce films, alternative entertainment and plays that are attractive to audiences, the amount of money spent by film and alternative entertainment distributors and theatrical producers to promote their motion pictures, alternative entertainment and plays, and the willingness of these distributors and producers to license their films and alternative entertainment on terms that are financially viable to our cinemas and to rent our theaters for the presentation of their plays. To the extent that popular movies, alternative entertainment and plays are produced, our cinema and live theater activities are ultimately dependent upon our ability, in the face of competition from other cinema and live theater operators to book such movies, alternative entertainment and plays into our facilities, and to provide a superior customer offering.</w:t>
      </w:r>
    </w:p>
    <w:p>
      <w:pPr>
        <w:spacing w:after="0" w:line="28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We rely on film distributors to supply the films shown in our theatres. In North America, the film distribution business is highly concentrated, with seven major film distributors accounting for approximately 87.9% of box office revenues. Numerous antitrust cases and the consent decree resulting from these antitrust cases affect the distribution of films. Consequently, we cannot guarantee a supply of films by entering into long-term arrangements with major distributors. We are therefore required to negotiate licenses for each film and for each theatre. A deterioration of our relationship with any of the seven major film distributors could adversely affect our ability to obtain commercially successful films and to negotiate favorable licensing terms for such films, both of which could adversely affect our business and operating results.</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 the U.S., at least until recently, distributors have had broad discretion not to show the same film at competitive cinemas. This has, in many situations, given the larger exhibitors (as a result of their market power) power to influence distributors to exercise their discretion in this regard in favor of the larger exhibitors. In this industry, this is called “clearance.” Recent judicial decisions, however, have thrown doubt on the extent to which this practice will continue to be permitted under applicable antitrust laws. Several major distributors have advised the market that they will no longer clear their films.</w:t>
      </w:r>
    </w:p>
    <w:p>
      <w:pPr>
        <w:spacing w:after="0" w:line="10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Adverse economic conditions could materially affect our business by reducing discretionary income and by limiting or reducing sources of film and live theater funding. </w:t>
      </w:r>
      <w:r>
        <w:rPr>
          <w:rFonts w:ascii="Times New Roman" w:cs="Times New Roman" w:eastAsia="Times New Roman" w:hAnsi="Times New Roman"/>
          <w:sz w:val="14"/>
          <w:szCs w:val="14"/>
          <w:color w:val="auto"/>
        </w:rPr>
        <w:t>Cinema and live theater attendance is a luxury, not a necessity. Furthermore, consumer demand for better and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that are very risky due to the absence of any ability to recoup investment in secondary markets like Blu-ray/DVD, cable, satellite or internet distribution.</w:t>
      </w:r>
    </w:p>
    <w:p>
      <w:pPr>
        <w:spacing w:after="0" w:line="1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screen advertising or auditorium leasing revenue may decline. </w:t>
      </w:r>
      <w:r>
        <w:rPr>
          <w:rFonts w:ascii="Times New Roman" w:cs="Times New Roman" w:eastAsia="Times New Roman" w:hAnsi="Times New Roman"/>
          <w:sz w:val="14"/>
          <w:szCs w:val="14"/>
          <w:color w:val="auto"/>
        </w:rPr>
        <w:t>Over the past several years, cinema exhibitors have been looking increasingly to screen advertising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auditorium leasing as a way to improve income. No assurances can be given that this source of income will be continuing, or that the use of screen advertising will not ultimately prove to be counterproductive, by giving consumers a disincentive to choose going to the movies over “in-home” or mobile entertainment alternatives.</w:t>
      </w:r>
    </w:p>
    <w:p>
      <w:pPr>
        <w:spacing w:after="0" w:line="10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face uncertainty as to the timing and direction of technological innovations in the cinema exhibition business and as to our access to those technologies. </w:t>
      </w:r>
      <w:r>
        <w:rPr>
          <w:rFonts w:ascii="Times New Roman" w:cs="Times New Roman" w:eastAsia="Times New Roman" w:hAnsi="Times New Roman"/>
          <w:sz w:val="14"/>
          <w:szCs w:val="14"/>
          <w:color w:val="auto"/>
        </w:rPr>
        <w:t>We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converted all of our cinema auditoriums to digital projection. However, no assurances can be given that other technological advances will not require us to make further material investments in our cinemas or face loss of business. Also, equipment is currently being developed for holographic or laser projection. The future of these technologies in the cinema exhibition industry is uncertain.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19" w:name="page20"/>
    <w:bookmarkEnd w:id="19"/>
    <w:p>
      <w:pPr>
        <w:ind w:right="20"/>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face competition from competitors offering food and beverage and luxury seating as an integral part of their cinema offerings. </w:t>
      </w:r>
      <w:r>
        <w:rPr>
          <w:rFonts w:ascii="Times New Roman" w:cs="Times New Roman" w:eastAsia="Times New Roman" w:hAnsi="Times New Roman"/>
          <w:sz w:val="14"/>
          <w:szCs w:val="14"/>
          <w:color w:val="auto"/>
        </w:rPr>
        <w:t>A number of our competitors offering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expanded food and beverage menu (including the sale of alcoholic beverages) and luxury seating, have emerged in recent periods. In addition, some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the Company has begun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w:t>
      </w:r>
    </w:p>
    <w:p>
      <w:pPr>
        <w:spacing w:after="0" w:line="10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may be subject to increased labor and benefits costs generally. </w:t>
      </w:r>
      <w:r>
        <w:rPr>
          <w:rFonts w:ascii="Times New Roman" w:cs="Times New Roman" w:eastAsia="Times New Roman" w:hAnsi="Times New Roman"/>
          <w:sz w:val="14"/>
          <w:szCs w:val="14"/>
          <w:color w:val="auto"/>
        </w:rPr>
        <w:t>We are subject to laws governing such matters as minimum wages, working conditions and overtime.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minimum wage rates increase, we may need to increase not only the wages of our minimum wage employees, but also the wages paid to employees at wage rates that are above minimum wage. Labor shortages, increased employee turnover and health care mandates could also increase our labor costs. This in turn could lead us to increase prices which could impact our sales. Conversely, if competitive pressures or other factors prevent us from offsetting increased labor costs by increases in prices, our results of operations may be adversely impacted.</w:t>
      </w:r>
    </w:p>
    <w:p>
      <w:pPr>
        <w:spacing w:after="0" w:line="29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Cyber security threats and our failure to protect our electronically stored data could adversely affect our business. </w:t>
      </w:r>
      <w:r>
        <w:rPr>
          <w:rFonts w:ascii="Times New Roman" w:cs="Times New Roman" w:eastAsia="Times New Roman" w:hAnsi="Times New Roman"/>
          <w:sz w:val="14"/>
          <w:szCs w:val="14"/>
          <w:color w:val="auto"/>
        </w:rPr>
        <w:t>We store and maintain electronic information and data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necessary to conduct our business. Data maintained in electronic form is subject to the risk of intrusion, tampering and theft. While we have adopted industry-accepted security measures and technology to protect the confidential and proprietary information, the development and maintenance of these systems is costly and require ongoing monitoring and updating as technologies change and efforts to overcome security measures become more sophisticated. As such, we may be unable to anticipate and implement adequate preventive measures in time. This may adversely affect our business, including exposure to government enforcement actions and private litigation, and our reputation with our customers and employees may be injured. In addition to Company-specific cyber threats or attacks, our business and results of operations could also be impacted by breaches affecting our peers and partners within the entertainment industry, as well as other retail companies.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Real Estate Development and Ownership Business Risks</w:t>
      </w:r>
    </w:p>
    <w:p>
      <w:pPr>
        <w:spacing w:after="0" w:line="15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operate in a highly competitive environment in which we must compete against companies with much greater financial and human resources than we have. </w:t>
      </w:r>
      <w:r>
        <w:rPr>
          <w:rFonts w:ascii="Times New Roman" w:cs="Times New Roman" w:eastAsia="Times New Roman" w:hAnsi="Times New Roman"/>
          <w:sz w:val="14"/>
          <w:szCs w:val="14"/>
          <w:color w:val="auto"/>
        </w:rPr>
        <w:t>We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limited financial and human resources, compared to our principal real estate competitors. In recent periods, we have relied heavily on 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Real Estate Industry Generally</w:t>
      </w:r>
    </w:p>
    <w:p>
      <w:pPr>
        <w:spacing w:after="0" w:line="15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financial performance will be affected by risks associated with the real estate industry generally. </w:t>
      </w:r>
      <w:r>
        <w:rPr>
          <w:rFonts w:ascii="Times New Roman" w:cs="Times New Roman" w:eastAsia="Times New Roman" w:hAnsi="Times New Roman"/>
          <w:sz w:val="14"/>
          <w:szCs w:val="14"/>
          <w:color w:val="auto"/>
        </w:rPr>
        <w:t>Events and conditions generally applicable to developers, owners,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government regulations,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may decline, and due to the increasing popularity of tele-commuting demand for traditional office space may decline), or the public perception that any of these events may occur, could result in declining rents or increased lease defaults. Increasing cap rates can result in lower property values. Also, we have holdings in areas that are subject to earthquake, storm and flooding risk.</w:t>
      </w:r>
    </w:p>
    <w:p>
      <w:pPr>
        <w:spacing w:after="0" w:line="10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may incur costs complying with the Americans with Disabilities Act and similar laws. </w:t>
      </w:r>
      <w:r>
        <w:rPr>
          <w:rFonts w:ascii="Times New Roman" w:cs="Times New Roman" w:eastAsia="Times New Roman" w:hAnsi="Times New Roman"/>
          <w:sz w:val="14"/>
          <w:szCs w:val="14"/>
          <w:color w:val="auto"/>
        </w:rPr>
        <w:t>Under the Americans with Disabilities Act and similar statutory regimes in Australia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New Zealand or under applicable state or local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1" w:right="759" w:bottom="1440" w:gutter="0" w:footer="0" w:header="0"/>
        </w:sectPr>
      </w:pPr>
    </w:p>
    <w:bookmarkStart w:id="20" w:name="page21"/>
    <w:bookmarkEnd w:id="20"/>
    <w:p>
      <w:pPr>
        <w:ind w:right="6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Illiquidity of real estate investments could impede our ability to respond to adverse changes in the performance of our properties. </w:t>
      </w:r>
      <w:r>
        <w:rPr>
          <w:rFonts w:ascii="Times New Roman" w:cs="Times New Roman" w:eastAsia="Times New Roman" w:hAnsi="Times New Roman"/>
          <w:sz w:val="14"/>
          <w:szCs w:val="14"/>
          <w:color w:val="auto"/>
        </w:rPr>
        <w:t>Real estate investments are relatively illiquid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estate development involves a variety of risks.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Real estate development involves a variety of risks, including the following:</w:t>
      </w:r>
    </w:p>
    <w:p>
      <w:pPr>
        <w:spacing w:after="0" w:line="147" w:lineRule="exact"/>
        <w:rPr>
          <w:sz w:val="20"/>
          <w:szCs w:val="20"/>
          <w:color w:val="auto"/>
        </w:rPr>
      </w:pPr>
    </w:p>
    <w:p>
      <w:pPr>
        <w:ind w:left="320" w:right="140" w:hanging="128"/>
        <w:spacing w:after="0" w:line="267"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identification and acquisition of suitable development properties</w:t>
      </w:r>
      <w:r>
        <w:rPr>
          <w:rFonts w:ascii="Times New Roman" w:cs="Times New Roman" w:eastAsia="Times New Roman" w:hAnsi="Times New Roman"/>
          <w:sz w:val="14"/>
          <w:szCs w:val="14"/>
          <w:color w:val="auto"/>
        </w:rPr>
        <w:t>. Competition for suitable development properties is intense. Our ability to identify and acquire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ind w:left="320" w:right="20" w:hanging="128"/>
        <w:spacing w:after="0" w:line="258"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procurement of necessary land use entitlements for the project</w:t>
      </w:r>
      <w:r>
        <w:rPr>
          <w:rFonts w:ascii="Times New Roman" w:cs="Times New Roman" w:eastAsia="Times New Roman" w:hAnsi="Times New Roman"/>
          <w:sz w:val="14"/>
          <w:szCs w:val="14"/>
          <w:color w:val="auto"/>
        </w:rPr>
        <w:t>. This process can take many years, particularly if opposed by competing interests. Competitors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1" w:lineRule="exact"/>
        <w:rPr>
          <w:rFonts w:ascii="Times New Roman" w:cs="Times New Roman" w:eastAsia="Times New Roman" w:hAnsi="Times New Roman"/>
          <w:sz w:val="14"/>
          <w:szCs w:val="14"/>
          <w:color w:val="auto"/>
        </w:rPr>
      </w:pPr>
    </w:p>
    <w:p>
      <w:pPr>
        <w:ind w:left="320" w:right="180" w:hanging="128"/>
        <w:spacing w:after="0" w:line="258"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construction of the project on time and on budget</w:t>
      </w:r>
      <w:r>
        <w:rPr>
          <w:rFonts w:ascii="Times New Roman" w:cs="Times New Roman" w:eastAsia="Times New Roman" w:hAnsi="Times New Roman"/>
          <w:sz w:val="14"/>
          <w:szCs w:val="14"/>
          <w:color w:val="auto"/>
        </w:rPr>
        <w:t>. Construction risks include the availability and cost of financing; the availability and costs of material and labor;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of dealing with unknown site conditions (including addressing pollution or environmental wastes deposited upon the property by prior owners); inclement weather conditions; and the ever-present potential for labor-related disruptions.</w:t>
      </w:r>
    </w:p>
    <w:p>
      <w:pPr>
        <w:spacing w:after="0" w:line="1" w:lineRule="exact"/>
        <w:rPr>
          <w:rFonts w:ascii="Times New Roman" w:cs="Times New Roman" w:eastAsia="Times New Roman" w:hAnsi="Times New Roman"/>
          <w:sz w:val="14"/>
          <w:szCs w:val="14"/>
          <w:color w:val="auto"/>
        </w:rPr>
      </w:pPr>
    </w:p>
    <w:p>
      <w:pPr>
        <w:ind w:left="320" w:right="140" w:hanging="128"/>
        <w:spacing w:after="0" w:line="258"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leasing or sell-out of the project</w:t>
      </w:r>
      <w:r>
        <w:rPr>
          <w:rFonts w:ascii="Times New Roman" w:cs="Times New Roman" w:eastAsia="Times New Roman" w:hAnsi="Times New Roman"/>
          <w:sz w:val="14"/>
          <w:szCs w:val="14"/>
          <w:color w:val="auto"/>
        </w:rPr>
        <w:t>. Ultimately, there are risks involved in the leasing of a rental property or the sale of a condominium or built-for-sale property. For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ETCs,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1" w:lineRule="exact"/>
        <w:rPr>
          <w:rFonts w:ascii="Times New Roman" w:cs="Times New Roman" w:eastAsia="Times New Roman" w:hAnsi="Times New Roman"/>
          <w:sz w:val="14"/>
          <w:szCs w:val="14"/>
          <w:color w:val="auto"/>
        </w:rPr>
      </w:pPr>
    </w:p>
    <w:p>
      <w:pPr>
        <w:ind w:left="320" w:hanging="128"/>
        <w:spacing w:after="0" w:line="268"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refinancing of completed properties</w:t>
      </w:r>
      <w:r>
        <w:rPr>
          <w:rFonts w:ascii="Times New Roman" w:cs="Times New Roman" w:eastAsia="Times New Roman" w:hAnsi="Times New Roman"/>
          <w:sz w:val="14"/>
          <w:szCs w:val="14"/>
          <w:color w:val="auto"/>
        </w:rPr>
        <w:t>. Properties are often developed using relatively short-term loans. Upon completion of the project, it may be necessary to find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replacement financing for these loans. This process involves risk as to the availability of such permanent or other take-out financing, the interest rates, and the payment terms applicable to such financing, which may be adversely influenced by local, national, or international factors.</w:t>
      </w:r>
    </w:p>
    <w:p>
      <w:pPr>
        <w:spacing w:after="0" w:line="1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ownership of properties involves risk. </w:t>
      </w:r>
      <w:r>
        <w:rPr>
          <w:rFonts w:ascii="Times New Roman" w:cs="Times New Roman" w:eastAsia="Times New Roman" w:hAnsi="Times New Roman"/>
          <w:sz w:val="14"/>
          <w:szCs w:val="14"/>
          <w:color w:val="auto"/>
        </w:rPr>
        <w:t>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w:t>
      </w:r>
    </w:p>
    <w:p>
      <w:pPr>
        <w:spacing w:after="0" w:line="107"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 number of our assets are in geologically active areas, presenting risk of earthquake and land movement. </w:t>
      </w:r>
      <w:r>
        <w:rPr>
          <w:rFonts w:ascii="Times New Roman" w:cs="Times New Roman" w:eastAsia="Times New Roman" w:hAnsi="Times New Roman"/>
          <w:sz w:val="14"/>
          <w:szCs w:val="14"/>
          <w:color w:val="auto"/>
        </w:rPr>
        <w:t>We have properties in California and New Zealand, areas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present a greater risk of earthquake and/or land movement than other locations. New Zealand has in recent periods had several major earthquakes damaging our facilities in Christchurch and Wellington. The ability to insure for such casualties is limited and may become more difficult and/or more expensive in future periods.</w:t>
      </w:r>
    </w:p>
    <w:p>
      <w:pPr>
        <w:spacing w:after="0" w:line="1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may be subject to liability under environmental laws and regulations. </w:t>
      </w:r>
      <w:r>
        <w:rPr>
          <w:rFonts w:ascii="Times New Roman" w:cs="Times New Roman" w:eastAsia="Times New Roman" w:hAnsi="Times New Roman"/>
          <w:sz w:val="14"/>
          <w:szCs w:val="14"/>
          <w:color w:val="auto"/>
        </w:rPr>
        <w:t>We own and operate a large number of cinemas and other properties within the U.S. and internationally,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1" w:right="759" w:bottom="1440" w:gutter="0" w:footer="0" w:header="0"/>
        </w:sectPr>
      </w:pPr>
    </w:p>
    <w:bookmarkStart w:id="21" w:name="page22"/>
    <w:bookmarkEnd w:id="21"/>
    <w:p>
      <w:pPr>
        <w:ind w:right="40"/>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Legislative or regulatory initiatives related to global warming/climate change concerns may negatively impact our business. </w:t>
      </w:r>
      <w:r>
        <w:rPr>
          <w:rFonts w:ascii="Times New Roman" w:cs="Times New Roman" w:eastAsia="Times New Roman" w:hAnsi="Times New Roman"/>
          <w:sz w:val="14"/>
          <w:szCs w:val="14"/>
          <w:color w:val="auto"/>
        </w:rPr>
        <w:t>Recently, there has been an increasing focus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 Business Risks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international operations are subject to a variety of risks, including the following:</w:t>
      </w:r>
    </w:p>
    <w:p>
      <w:pPr>
        <w:spacing w:after="0" w:line="150" w:lineRule="exact"/>
        <w:rPr>
          <w:sz w:val="20"/>
          <w:szCs w:val="20"/>
          <w:color w:val="auto"/>
        </w:rPr>
      </w:pPr>
    </w:p>
    <w:p>
      <w:pPr>
        <w:ind w:left="520" w:hanging="252"/>
        <w:spacing w:after="0" w:line="26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Currency Risk</w:t>
      </w:r>
      <w:r>
        <w:rPr>
          <w:rFonts w:ascii="Times New Roman" w:cs="Times New Roman" w:eastAsia="Times New Roman" w:hAnsi="Times New Roman"/>
          <w:sz w:val="14"/>
          <w:szCs w:val="14"/>
          <w:color w:val="auto"/>
        </w:rPr>
        <w:t>: while we report our earnings and net assets in U.S. dollars, substantial portions of our revenue and of our obligations are denominated in either Australian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 compared to the U.S. dollar. Also, our use of local borrowings to mitigate the business risk of currency fluctuations has reduced our flexibility to move cash between jurisdictions. Set forth below is a chart of the exchange ratios between these three currencies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190500</wp:posOffset>
            </wp:positionV>
            <wp:extent cx="3595370" cy="2789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95370" cy="278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 recent periods, we have repaid intercompany debt and used the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will effectively raise the overall cost of our borrowing and capital and make it more expensive to return funds from the United States to Australia and New Zealand.</w:t>
      </w:r>
    </w:p>
    <w:p>
      <w:pPr>
        <w:spacing w:after="0" w:line="134" w:lineRule="exact"/>
        <w:rPr>
          <w:sz w:val="20"/>
          <w:szCs w:val="20"/>
          <w:color w:val="auto"/>
        </w:rPr>
      </w:pPr>
    </w:p>
    <w:p>
      <w:pPr>
        <w:jc w:val="both"/>
        <w:ind w:left="520" w:hanging="252"/>
        <w:spacing w:after="0" w:line="282"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Risk of adverse government regulation</w:t>
      </w:r>
      <w:r>
        <w:rPr>
          <w:rFonts w:ascii="Times New Roman" w:cs="Times New Roman" w:eastAsia="Times New Roman" w:hAnsi="Times New Roman"/>
          <w:sz w:val="14"/>
          <w:szCs w:val="14"/>
          <w:color w:val="auto"/>
        </w:rPr>
        <w:t>: currently, we believe that relations between the United States, Australia, and New Zealand are good. However, no assurances can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 given that these relationships will continue and that Australia and New Zealand will not in the future seek to regulate more highly the business done by U.S. companies in their countries.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1" w:right="739" w:bottom="1440" w:gutter="0" w:footer="0" w:header="0"/>
        </w:sectPr>
      </w:pPr>
    </w:p>
    <w:bookmarkStart w:id="22" w:name="page23"/>
    <w:bookmarkEnd w:id="22"/>
    <w:p>
      <w:pPr>
        <w:ind w:left="520" w:hanging="252"/>
        <w:spacing w:after="0" w:line="306"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Risk of adverse labor relations</w:t>
      </w:r>
      <w:r>
        <w:rPr>
          <w:rFonts w:ascii="Times New Roman" w:cs="Times New Roman" w:eastAsia="Times New Roman" w:hAnsi="Times New Roman"/>
          <w:sz w:val="14"/>
          <w:szCs w:val="14"/>
          <w:color w:val="auto"/>
        </w:rPr>
        <w:t>: deterioration in labor relations could lead to an increased cost of labor (including future government requirements with respect to pension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liabilities, disability insurance and health coverage, and vacations and leave).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Associated with Certain Discontinued Operations</w:t>
      </w:r>
    </w:p>
    <w:p>
      <w:pPr>
        <w:spacing w:after="0" w:line="16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Financial Structure and Borrowing Risk</w:t>
      </w:r>
    </w:p>
    <w:p>
      <w:pPr>
        <w:spacing w:after="0" w:line="8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From time to time, we may have negative working capital. </w:t>
      </w:r>
      <w:r>
        <w:rPr>
          <w:rFonts w:ascii="Times New Roman" w:cs="Times New Roman" w:eastAsia="Times New Roman" w:hAnsi="Times New Roman"/>
          <w:sz w:val="14"/>
          <w:szCs w:val="14"/>
          <w:color w:val="auto"/>
        </w:rPr>
        <w:t>In recent years, as we have invested our cash in new acquisitions and the development of our existing properties,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have had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w:t>
      </w:r>
    </w:p>
    <w:p>
      <w:pPr>
        <w:spacing w:after="0" w:line="12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are subject to complex taxation, changes in tax rates, adoption of new U.S. or international tax legislation and disagreements with tax authorities that could adversely affect our business, financial condition or results of operations </w:t>
      </w:r>
      <w:r>
        <w:rPr>
          <w:rFonts w:ascii="Times New Roman" w:cs="Times New Roman" w:eastAsia="Times New Roman" w:hAnsi="Times New Roman"/>
          <w:sz w:val="14"/>
          <w:szCs w:val="14"/>
          <w:color w:val="auto"/>
        </w:rPr>
        <w:t>We are subject to many different forms of taxation in both the U.S. and in foreign jurisdictions where we operate,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such as the U.S. Tax Cuts and Jobs Act signed into law in December 2017. The new laws are still evolving and require we interpret the provisions of the law as we try to comply with them. The costs of compliance with these laws and regulations are high and are likely to increase in the future. Any failure on our part to comply with these laws and regulations can result in negative publicity and diversion of management time and effort and may subject us to significant liabilities and other penalties.</w:t>
      </w:r>
    </w:p>
    <w:p>
      <w:pPr>
        <w:spacing w:after="0" w:line="1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have substantial short to medium term debt. </w:t>
      </w:r>
      <w:r>
        <w:rPr>
          <w:rFonts w:ascii="Times New Roman" w:cs="Times New Roman" w:eastAsia="Times New Roman" w:hAnsi="Times New Roman"/>
          <w:sz w:val="14"/>
          <w:szCs w:val="14"/>
          <w:color w:val="auto"/>
        </w:rPr>
        <w:t>Generally speaking, we have historically financed our operations through relatively short-term debt. No assurances can be given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we will be able to refinance this debt, or if we can, that the terms will be reasonable. However, as a counterbalance to this debt, we have certain unencumbered real property assets, which could be sold to pay debt or encumbered to assist in the refinancing of existing debt, if necessary.</w:t>
      </w:r>
    </w:p>
    <w:p>
      <w:pPr>
        <w:spacing w:after="0" w:line="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have substantial lease liabilities. </w:t>
      </w:r>
      <w:r>
        <w:rPr>
          <w:rFonts w:ascii="Times New Roman" w:cs="Times New Roman" w:eastAsia="Times New Roman" w:hAnsi="Times New Roman"/>
          <w:sz w:val="14"/>
          <w:szCs w:val="14"/>
          <w:color w:val="auto"/>
        </w:rPr>
        <w:t>Most of our cinemas operate in leased facilities. These leases typically have “cost of living” or other rent adjustment features and require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operate the properties as cinemas. A downturn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 Unlike property rental leases, our newly added digital equipment leases do not have “cost of living” or other lease adjustment features.</w:t>
      </w:r>
    </w:p>
    <w:p>
      <w:pPr>
        <w:spacing w:after="0" w:line="38"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Our stock is thinly traded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stock is thinly traded, with an average daily volume in 2017 of only approximately 41,000 Class A Stock. Our Class B Stock is very thinly traded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even less volume. This can result in significant volatility, as demand by buyers and sellers can easily get out of balance.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Ownership and Management Structure, Corporate Governance, and Change of Control Risks</w:t>
      </w:r>
    </w:p>
    <w:p>
      <w:pPr>
        <w:spacing w:after="0" w:line="16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Pending disputes among the heirs of James J. Cotter, Sr., have over the past two years caused, and may continue to cause, uncertainty regarding the ongoing control of the Company by the Cotter family and have distracted and may continue to distract the time and attention of our officers and directors from our business and operations and may ultimately interfere with the effective management of the Company. </w:t>
      </w:r>
      <w:r>
        <w:rPr>
          <w:rFonts w:ascii="Times New Roman" w:cs="Times New Roman" w:eastAsia="Times New Roman" w:hAnsi="Times New Roman"/>
          <w:sz w:val="14"/>
          <w:szCs w:val="14"/>
          <w:color w:val="auto"/>
        </w:rPr>
        <w:t>Up until his death on September 13, 2014, James J. Cotter, Sr., the father of Ellen Cotter, James J. Cotter, Jr.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Margaret Cotter, was our controlling stockholder, having the sole power to vote approximately 66.9% of the outstanding voting stock of the Company. Under applicable Nevada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380"/>
          </w:cols>
          <w:pgMar w:left="740" w:top="121" w:right="779" w:bottom="1440" w:gutter="0" w:footer="0" w:header="0"/>
        </w:sectPr>
      </w:pPr>
    </w:p>
    <w:bookmarkStart w:id="23" w:name="page24"/>
    <w:bookmarkEnd w:id="23"/>
    <w:p>
      <w:pPr>
        <w:ind w:right="20"/>
        <w:spacing w:after="0" w:line="267" w:lineRule="auto"/>
        <w:rPr>
          <w:sz w:val="20"/>
          <w:szCs w:val="20"/>
          <w:color w:val="auto"/>
        </w:rPr>
      </w:pPr>
      <w:r>
        <w:rPr>
          <w:rFonts w:ascii="Times New Roman" w:cs="Times New Roman" w:eastAsia="Times New Roman" w:hAnsi="Times New Roman"/>
          <w:sz w:val="14"/>
          <w:szCs w:val="14"/>
          <w:color w:val="auto"/>
        </w:rPr>
        <w:t>Since his death, disputes have arisen among Ellen Cotter, James J. Cotter, Jr. and Margaret Cotter concerning the voting control of those shares and regarding the exercise by the Estate of James J. Cotter, Sr. Deceased (the “Cotter Estate”) of options to acquire an additional 100,000 shares of Class B Stock. At the present time, Ellen Cotter is the Chair, President and Chief Executive Officer of our Company. James J. Cotter, Jr. is a director and from June 2013 until June 12, 2015 was the President and from August 7, 2014 until June 12, 2015 was the Chief Executive Officer of our Company, having been removed from those positions by Board action on June 12, 2015. Margaret Cotter is the Vice-Chair of our Company, Executive Vice-President – Real Estate Management and Development, NYC and the President of Liberty Theaters, LLC, the company through which we own and operate our live theaters. She heads up the management and redevelopment of our New York properties.</w:t>
      </w:r>
    </w:p>
    <w:p>
      <w:pPr>
        <w:spacing w:after="0" w:line="14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As of December 31, 2017, according to the books of the Company, the Living Trust established by the Declaration of Trust dated June 5, 2013, by James J. Cotter, Sr. (the “Cotter Trust”), held of record 696,080 shares of our Class B Stock constituting approximately 41.4% of the voting power of our outstanding capital stock. According to the books of the Company, the Cotter Estate as of that date held of record an additional 427,808 shares of Class B Stock, constituting approximately 25.5% of the voting power of our outstanding capital stock. We are advised, based upon public filings made by one or more of Ellen Cotter, Margaret Cotter and James J. Cotter, Jr. (the “Cotter Filings”) that the Class B Stock currently held of record by the Cotter Estate will eventually pour over into the Cotter Trust. We are further advised from the Cotter Filings that the Cotter Trust also provides for the establishment of a voting trust (the “Cotter Voting Trust”) which will eventually hold the Class B Stock currently held by the Cotter Estate and the Cotter Trust. At the present time, however, such Class B Stock is held of record by the Cotter Trust and the Cotter Estate, respectively.</w:t>
      </w:r>
    </w:p>
    <w:p>
      <w:pPr>
        <w:spacing w:after="0" w:line="14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 xml:space="preserve">On December 22, 2014, the District Court of Clark County, Nevada, (the “Nevada District Court”) appointed Ellen Cotter and Margaret Cotter as co-executors of the Cotter Estate. While no final ruling has been entered, the Superior Court of the State of California, County of Los Angeles (the “California Superior Court”), in the case captioned </w:t>
      </w:r>
      <w:r>
        <w:rPr>
          <w:rFonts w:ascii="Times New Roman" w:cs="Times New Roman" w:eastAsia="Times New Roman" w:hAnsi="Times New Roman"/>
          <w:sz w:val="14"/>
          <w:szCs w:val="14"/>
          <w:i w:val="1"/>
          <w:iCs w:val="1"/>
          <w:color w:val="auto"/>
        </w:rPr>
        <w:t>In 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James J. Cotter Living Trust dated August 1, 2000 </w:t>
      </w:r>
      <w:r>
        <w:rPr>
          <w:rFonts w:ascii="Times New Roman" w:cs="Times New Roman" w:eastAsia="Times New Roman" w:hAnsi="Times New Roman"/>
          <w:sz w:val="14"/>
          <w:szCs w:val="14"/>
          <w:color w:val="auto"/>
        </w:rPr>
        <w:t>(Case No. BP159755) (the “Trust Case”), has issued its Statement of Decision to the effect that (subject to appeal) Ellen Cotter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Margaret Cotter are the Co-Trustees of the Cotter Trust and that Margaret Cotter is the sole Trustee of the Voting Trust. Accordingly, in the view of the Company, Ellen Cotter and Margaret Cotter have voting control over the shares held by the Cotter Trust and the Cotter Estate, collectively representing 66.9% of our Company’s Class B Stock. Taking into account Ellen Cotter and Margaret Cotter’s personal holdings of voting stock, Ellen Cotter and Margaret Cotter have the power to vote 71.9% of our Company’s voting stock. However, there is no assurance that James Cotter, Jr., upon the issuance of a final ruling, will not appeal this decision by the California Superior Court.</w:t>
      </w:r>
    </w:p>
    <w:p>
      <w:pPr>
        <w:spacing w:after="0" w:line="144"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4"/>
          <w:szCs w:val="14"/>
          <w:color w:val="auto"/>
        </w:rPr>
        <w:t>We understand from public filings made by Ellen Cotter and Margaret Cotter and public filings made by James J. Cotter, that James J. Cotter, Jr. is the first alternate trustee of the Voting Trust, in the event that Margaret Cotter is unable or unwilling to serve as trustee.</w:t>
      </w:r>
    </w:p>
    <w:p>
      <w:pPr>
        <w:spacing w:after="0" w:line="118"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4"/>
          <w:szCs w:val="14"/>
          <w:color w:val="auto"/>
        </w:rPr>
        <w:t>While our Company is not a party to the Trust Case, our Company has appeared to protect (a) the business plan adopted by our Board of Directors and its determination that stockholder interests are best achieved by continuing with that business plan rather than selling the Company at this time and (b) in the event that the California Court were to disregard the advice of our Board and order that a controlling interest in our Company be marketed or sold, that the interests of our Company and stockholders generally are protected. Our Company’s participation in the Trust Case since August 2017 has been overseen by a Special Independent Committee of the Board of Directors chaired by our Lead Independent Director, Mr. William Gould, and comprised, in addition to Mr. Gould, of directors Doug McEachern and Judy Codding.</w:t>
      </w:r>
    </w:p>
    <w:p>
      <w:pPr>
        <w:spacing w:after="0" w:line="13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On February 8, 2017, James Cotter, Jr. filed in the Trust Case an Ex Parte Petition for Appointment of a trustee ad litem and of a guardian ad litem for the benefit of Cotter, Sr.’s, minor grandchildren (two of whom are the children of Margaret Cotter and three of whom are the children of James Cotter, Jr., and who are referred to herein as the “Cotter Grandchildren”). Mr. Cotter, Jr., sought the appointment of a trustee ad litem, to evaluate the non-binding indication of interest sent by Patton Vision, LLC (“Patton Vision”), to the Trustees of the Cotter Trust to acquire the RDI shares held by the Cotter Trust at $18.50 per share (referred to in Mr. Cotter, Jr’s pleadings as the “Offer”) and to take reasonable steps to act on the Offer in the trustee’s sole discretion. Specifically, Mr. Cotter Jr. sought an order “granting the trustee ad litem with full power, authority, and protections under the Cotter Trust and California trust law, as any other named trustee would have, to evaluate the Offer, conduct due diligence, negotiate with Patton Vision or any other potential offerors, and take all actions necessary or appropriate to consummate the sale of the Cotter Trust’s RDI shares, including but not limited to:</w:t>
      </w:r>
    </w:p>
    <w:p>
      <w:pPr>
        <w:spacing w:after="0" w:line="144" w:lineRule="exact"/>
        <w:rPr>
          <w:sz w:val="20"/>
          <w:szCs w:val="20"/>
          <w:color w:val="auto"/>
        </w:rPr>
      </w:pPr>
    </w:p>
    <w:p>
      <w:pPr>
        <w:ind w:left="200" w:hanging="193"/>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communicate solely with Patton Vision regarding their Offer to purchase the Cotter Trust’s RDI shares;</w:t>
      </w:r>
    </w:p>
    <w:p>
      <w:pPr>
        <w:spacing w:after="0" w:line="27"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solely and exclusively all offers for the purchase of the Cotter Trust’s RDI shares;</w:t>
      </w:r>
    </w:p>
    <w:p>
      <w:pPr>
        <w:spacing w:after="0" w:line="12"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purchase and sale agreements with respect to the Cotter Trust’s RDI shares;</w:t>
      </w:r>
    </w:p>
    <w:p>
      <w:pPr>
        <w:spacing w:after="0" w:line="12" w:lineRule="exact"/>
        <w:rPr>
          <w:rFonts w:ascii="Times New Roman" w:cs="Times New Roman" w:eastAsia="Times New Roman" w:hAnsi="Times New Roman"/>
          <w:sz w:val="14"/>
          <w:szCs w:val="14"/>
          <w:color w:val="auto"/>
        </w:rPr>
      </w:pPr>
    </w:p>
    <w:p>
      <w:pPr>
        <w:ind w:left="200" w:right="520" w:hanging="193"/>
        <w:spacing w:after="0" w:line="258" w:lineRule="auto"/>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all actions necessary to carry out the terms, conditions, and obligations of any purchase and sale agreement with respect to the Cotter Trust’s RDI shares, including negotiating any modifications thereto;</w:t>
      </w:r>
    </w:p>
    <w:p>
      <w:pPr>
        <w:ind w:left="200" w:hanging="193"/>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all proceeds of sale from the Cotter Trust’s RDI shares;</w:t>
      </w:r>
    </w:p>
    <w:p>
      <w:pPr>
        <w:spacing w:after="0" w:line="12" w:lineRule="exact"/>
        <w:rPr>
          <w:rFonts w:ascii="Times New Roman" w:cs="Times New Roman" w:eastAsia="Times New Roman" w:hAnsi="Times New Roman"/>
          <w:sz w:val="14"/>
          <w:szCs w:val="14"/>
          <w:color w:val="auto"/>
        </w:rPr>
      </w:pPr>
    </w:p>
    <w:p>
      <w:pPr>
        <w:ind w:left="200" w:right="500" w:hanging="193"/>
        <w:spacing w:after="0" w:line="258" w:lineRule="auto"/>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to the co-trustees of the Cotter Trust, namely Margaret Cotter, Ellen Cotter, and James J. Cotter, Jr., net proceeds of the sale of the Cotter Trust’s RDI shares to be invested, managed and distributed in accordance with the terms of the Cotter Trust;</w:t>
      </w:r>
    </w:p>
    <w:p>
      <w:pPr>
        <w:ind w:left="200" w:right="200" w:hanging="193"/>
        <w:spacing w:after="0" w:line="277" w:lineRule="auto"/>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investment advisors, tax advisors, accountants, attorneys, or any other advisors the trustee ad litem deems necessary and reasonable, in his or her sole discretion, to carry out his powers; and,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h. temporarily suspending James J. Cotter, Jr., Margaret and Ellen’s powers with respect to all of the foregoing matters until further order of this Court.”</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On February 14, 2018, the California Superior Court issued its “Statement of Decision” to appoint a temporary trustee ad litem (the “TTAL”) “with the narrow and specific authority to obtain offers to purchase the RDI stock in the voting trust, but not to exercise any other powers without court approval, specifically the sale of the company or any other powers possessed by the trustees.” We are informed that the Statement of Decision does not become effective until the Superior Court’s order is issued and filed, which, as of the date of this filing, has not occurred. No TTAL has been appointed. The California Superior Court has directed the parties to either agree upon a TTAL, or in the alternative to submit to the court three acceptable names. No timeline is specified in the Statement of Decision for the appointment of a TTAL or for the execution of such person’s charge to “obtain offers to purchase RDI stock in the voting trust.” In so far as we are aware, based upon public filings and our internal records, at the present time the Voting Trust does not own any shares of RDI stock. The shares which are anticipated to flow into the Voting Trust are, insofar as our Company is aware, currently owned by the Cotter Estate and the Cotter Trust.</w:t>
      </w:r>
    </w:p>
    <w:p>
      <w:pPr>
        <w:spacing w:after="0" w:line="31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We continue to believe that, whether or not a final determination is made to sell the voting shares, the appointment of a TTAL poses risks to our Company and our stockholders for a variety of reasons, including the resultant potential for: (i) distraction of management and key employees from focusing on the conduct of our business, including the implementation of our three year business strategy, (ii) incurrence of additional general and administrative costs due to the need to implement employee retention programs and to incur legal expenses of the type and at levels not typically required in the ordinary conduct of our Company’s business, (iii) interference with contractual relationships, negotiations and potential negotiations with third parties important to our Company’s business, including, without limitation, current and future lenders, tenants, landlords, suppliers and co-developers, (iv) increased difficulty in hiring and retaining high quality employees and (v) exposure of our Company to potential litigation claims of the type which often accompany any extraordinary corporate transactions together with the expense, distraction and time loss that typically results from any such litigation. If a decision to sell a controlling interest is made by the California Superior Court, then there would be the additional risk that control might be sold to an unqualified purchaser who might exploit such control position in a manner not consistent with the best interests of our Company or stockholders generally.</w:t>
      </w:r>
    </w:p>
    <w:p>
      <w:pPr>
        <w:spacing w:after="0" w:line="14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Since May 2016, Patton Vision has sent four different indications of interest to us to purchase all of our Company’s outstanding shares. In each case our Board of Directors has determination that our Company and our stockholders would be best served by our continued independence and by our pursuit of our business strategy. We were informed that on January 23, 2017, Patton Vision separately sent a similar indication of interest to the co-trustees of the Cotter Trust to purchase the Cotter Trust’s shares and to the Co-Executors of the Cotter Estate to purchase the Cotter Estate’s shares.</w:t>
      </w:r>
    </w:p>
    <w:p>
      <w:pPr>
        <w:spacing w:after="0" w:line="13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On March 2, 2017, our Board of Directors, following consideration and adoption of our three year business strategy, confirmed its determination that our Company and our stockholders would be best served by our continued independence and by our pursuit of our business strategy. Our Board of Directors instructed our management to inform Patton Vision that our Board had no interest in engaging in discussions regarding our possible sale. Our Board of Directors took this action in fulfilling its fiduciary duty on behalf of all stockholders, and in this matter, James J. Cotter, Jr., in his capacity as a director of Reading, abstained.</w:t>
      </w:r>
    </w:p>
    <w:p>
      <w:pPr>
        <w:spacing w:after="0" w:line="1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In mid-September, 2017, Director William Gould (our Lead Independent Director and Chair of the Special Independent Committee) received a letter from Patton Vision once again expressing its desire to meet to discuss a potential acquisition of our Company. The letter referenced the California Superior Court’s tentative statement of decision regarding the appointment of a TTAL, stated no specific price or other terms and was, in our view, simply a request to do due diligence on our Company.</w:t>
      </w:r>
    </w:p>
    <w:p>
      <w:pPr>
        <w:spacing w:after="0" w:line="10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In response to the September Patton Vision Letter, the Board reviewed with management the progress being made on the strategic plan previously adopted by the Board, and determined (with Director Cotter, Jr., voting no) that there was no reason to deviate from that strategic plan or to reconsider the Board’s prior determination that the best interests of the Company and its stockholders would best be served by continuing to pursue the Company’s strategic plan as an independent company. Our Board of Directors instructed management to communicate the Board’s determination to Patton Vision. Our Board of Directors will be reviewing our management’s updated three year business strategy in late March 2018.</w:t>
      </w:r>
    </w:p>
    <w:p>
      <w:pPr>
        <w:spacing w:after="0" w:line="29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California Superior Court, in the Trust Case, has jurisdiction over a potentially controlling block of our voting power. The Cotter Trust, which as described in more detail above, currently owns 41.4% of our Class B Stock, and, at such time as the Cotter Estate is probated, may receive up to an additional 25.5% of our Class B Stock, should the California Superior Court order the sale of the Trusts’ Class B Stock and such sale be completed, then there may be a change of control of our Company (depending on, among other things, who the ultimate purchaser(s) of such shares might be, the number of shares of Voting Stock distributed by the Cotter Estate to the Cotter Trust, and whether the California Superior Court orders a sale of all or only some portion to the Class B Stock held by the Cotter Trust). We cannot predict what reactions, including appeals or other steps, might be taken by Ellen Cotter and Margaret Cotter in their respective capacities as Trustees under the Cotter Trust, or in other capacities (for example, as Co-Executors of the Cotter Estate, should the California Superior Court make such an order. We also cannot predict what action our Board of Directors would take in response, if any. However, our Board of Directors has an obligation to act in the best interest of our Company, and in the event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25" w:name="page26"/>
    <w:bookmarkEnd w:id="25"/>
    <w:p>
      <w:pPr>
        <w:ind w:right="20"/>
        <w:spacing w:after="0" w:line="300" w:lineRule="auto"/>
        <w:rPr>
          <w:sz w:val="20"/>
          <w:szCs w:val="20"/>
          <w:color w:val="auto"/>
        </w:rPr>
      </w:pPr>
      <w:r>
        <w:rPr>
          <w:rFonts w:ascii="Times New Roman" w:cs="Times New Roman" w:eastAsia="Times New Roman" w:hAnsi="Times New Roman"/>
          <w:sz w:val="14"/>
          <w:szCs w:val="14"/>
          <w:color w:val="auto"/>
        </w:rPr>
        <w:t>the California Superior Court were to order a sale of the Class B Stock held by the Cotter Trust, our Board of Directors would be obligated to consider the interests of the Company and to act accordingly.</w:t>
      </w:r>
    </w:p>
    <w:p>
      <w:pPr>
        <w:spacing w:after="0" w:line="11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 xml:space="preserve">In addition, James J. Cotter, Jr., has filed a derivative action (discussed in greater detail below) against Ellen Cotter and Margaret Cotter and certain of our Directors, alleging a variety of misconduct on their part and, among other things, seeking the reinstatement of James J. Cotter, Jr. as president and chief executive officer of our Company, and challenging the voting by Ellen Cotter and Margaret Cotter of the shares held by the Cotter Estate. The Nevada District Court dismissed all of Mr. Cotter, Jr.’s derivative claims against Directors Judy Codding, William Gould, Edward L. Kane, Doug McEachern and Michael Wrotniak in December 2017. See </w:t>
      </w:r>
      <w:r>
        <w:rPr>
          <w:rFonts w:ascii="Times New Roman" w:cs="Times New Roman" w:eastAsia="Times New Roman" w:hAnsi="Times New Roman"/>
          <w:sz w:val="14"/>
          <w:szCs w:val="14"/>
          <w:i w:val="1"/>
          <w:iCs w:val="1"/>
          <w:color w:val="auto"/>
        </w:rPr>
        <w:t>Notes to Consolidated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Note 12—Commitments and Contingencies—Cotter Jr. Related Litigation Matters (including legal costs coverage)</w:t>
      </w:r>
      <w:r>
        <w:rPr>
          <w:rFonts w:ascii="Times New Roman" w:cs="Times New Roman" w:eastAsia="Times New Roman" w:hAnsi="Times New Roman"/>
          <w:sz w:val="14"/>
          <w:szCs w:val="14"/>
          <w:color w:val="auto"/>
        </w:rPr>
        <w:t>. The Nevada District Court also dismissed all of the Defendant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Mr. Cotter, Jr.’s claims against them relating to their handling of the Patton Vision indication of interest.</w:t>
      </w:r>
    </w:p>
    <w:p>
      <w:pPr>
        <w:spacing w:after="0" w:line="140"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4"/>
          <w:szCs w:val="14"/>
          <w:color w:val="auto"/>
        </w:rPr>
        <w:t>The Nevada derivative litigation and related matters has for multiple years, required the time and attention of Ellen Cotter, Margaret Cotter, our directors and members of our management team and could, in the future, potentially further distract the time and attention of these key persons from the business and operations of our Company.</w:t>
      </w:r>
    </w:p>
    <w:p>
      <w:pPr>
        <w:spacing w:after="0" w:line="11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Furthermore, the uncertainty as to the future management and control of our Company could potentially adversely impact, among other things (i) our ability to develop and maintain favorable business relationships, (ii) our ability to attract and retain talented and experienced directors, executives and employees, (iii) the compensation and other terms needed to attract and retain such individuals (including, without limitation, the potential need for retentions agreements and other incentive arrangements typically put into place when control of a public company is uncertain), (iv) our ability to borrow money on favorable long-term terms, and (v) our ability to pursue and complete long-term business objectives.</w:t>
      </w:r>
    </w:p>
    <w:p>
      <w:pPr>
        <w:spacing w:after="0" w:line="3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interests of our controlling stockholder may conflict with your interests. </w:t>
      </w:r>
      <w:r>
        <w:rPr>
          <w:rFonts w:ascii="Times New Roman" w:cs="Times New Roman" w:eastAsia="Times New Roman" w:hAnsi="Times New Roman"/>
          <w:sz w:val="14"/>
          <w:szCs w:val="14"/>
          <w:color w:val="auto"/>
        </w:rPr>
        <w:t>As of December 31, 2017, the Cotter Estate and the Cotter Trust beneficially own 66.9%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outstanding Class B Stock. At the present time, according to the books of the Company, Ellen Cotter and Margaret Cotter vote (including their direct holdings of 50,000 shares and 35,100 shares respectively of the Class B Stock), Class B Stock representing 71.9% of our outstanding Class B Stock. Our Class A Stock is non-voting, while our Class B Stock represents all of the voting power of our Company. For as long as the Cotter Estate, the Cotter Trust and/or the Cotter Voting Trust (referred to herein collectively as the “Cotter Entities”) continue to own shares of Class B Stock representing more than 50% of the voting power of our common stock, the Cotter Entities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The Cotter Entities will also have the power to prevent or cause a change in control, and could take other actions that might be desirable to the Cotter Entities but not to other stockholders. To the extent that the Cotter Entities hold more than 2/3rds of our outstanding Class B Stock, the Cotter Entities will have the power at any time, with or without cause, to remove any one or more Directors (up to and including the entire board of directors) by written consent taken without a meeting of the stockholders.</w:t>
      </w:r>
    </w:p>
    <w:p>
      <w:pPr>
        <w:spacing w:after="0" w:line="290"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color w:val="auto"/>
        </w:rPr>
        <w:t xml:space="preserve">In addition, the Cotter Estate or the Cotter Trust and/or their respective affiliates have controlling interests in companies in related and unrelated industries. In the future, we may participate in transactions with these companies (see </w:t>
      </w:r>
      <w:r>
        <w:rPr>
          <w:rFonts w:ascii="Times New Roman" w:cs="Times New Roman" w:eastAsia="Times New Roman" w:hAnsi="Times New Roman"/>
          <w:sz w:val="14"/>
          <w:szCs w:val="14"/>
          <w:i w:val="1"/>
          <w:iCs w:val="1"/>
          <w:color w:val="auto"/>
        </w:rPr>
        <w:t>Note 18</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Related Parties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4"/>
          <w:szCs w:val="14"/>
          <w:color w:val="auto"/>
        </w:rPr>
        <w:t>While controlling stockholders may owe certain fiduciary duties to our Company and/or minority stockholders, these duties are limited. No assurances can be given that the Cotter Entities will not take action that, while beneficial to them and legally enforceable, would not necessarily be in the best interests of our Company and/or our stockholders generally.</w:t>
      </w:r>
    </w:p>
    <w:p>
      <w:pPr>
        <w:spacing w:after="0" w:line="27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are a “Controlled Company” under applicable NASDAQ Regulations. As permitted by those Regulations, our Board has elected to opt-out of certain corporate governance rules applicable to non-controlled companies. </w:t>
      </w:r>
      <w:r>
        <w:rPr>
          <w:rFonts w:ascii="Times New Roman" w:cs="Times New Roman" w:eastAsia="Times New Roman" w:hAnsi="Times New Roman"/>
          <w:sz w:val="14"/>
          <w:szCs w:val="14"/>
          <w:color w:val="auto"/>
        </w:rPr>
        <w:t>Generally speaking, the NASDAQ requires listed companies to meet certain minimum corporate governance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 Directors is nevertheless currently comprised of independent Directors. In this regard, our Board takes note of the fact that notwithstanding the allegations of Mr. Cotter, Jr., in the Derivative Case, the Nevada District Court has determined that, after more than 30 months of litigation, Mr. Cotter, Jr., has failed to demonstrate any issue of fact as to the independence of five our current nine directors: Directors Judy Codding, William Gould, Edward L. Kane, Doug McEachern and Michael Wrotniak. Nominations are considered by the Board, acting as a whole. While as a Controlled Company, we are not subject to the requirement that the compensation of our Chief Executive Officer be determined or recommended to our Board of Directors by a compensation committee comprised entirely of independent Directors or by a majority of our Company’s independent Directors, the current charter of our Compensation and Stock Options Committee nevertheless requires that this committee be comprised entirely of independent Directors.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26" w:name="page27"/>
    <w:bookmarkEnd w:id="26"/>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depend on key personnel for our current and future performance. </w:t>
      </w:r>
      <w:r>
        <w:rPr>
          <w:rFonts w:ascii="Times New Roman" w:cs="Times New Roman" w:eastAsia="Times New Roman" w:hAnsi="Times New Roman"/>
          <w:sz w:val="14"/>
          <w:szCs w:val="14"/>
          <w:color w:val="auto"/>
        </w:rPr>
        <w:t>Our current and future performance depends to a significant degree upon the continued contributions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w:t>
      </w:r>
    </w:p>
    <w:p>
      <w:pPr>
        <w:spacing w:after="0" w:line="100"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If our company suffers cyber-security attacks, data security challenges or privacy incidents that result in security breaches, we could suffer a loss of sales, additional liability, reputational harm or other adverse consequences</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effective operation of our international businesses depends on our network infrastructure, computer systems, physical, virtual and/or cloud based, and software. Our information technology systems collect and process information provided by customers, employees and vendors. In addition, third 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in spite of our best efforts, our information systems may fail to operate for a variety of technological or human reasons. An interruption or failure of our information technology systems and of those maintained by our third party providers could adversely affect our business, liquidity or results of operations and result in increases in reputational risk, litigation or penalties. Furthermore, any such occurrence, if significant could require us to expend resources to remediate and upgrade information technology systems. Since 2015, we have annually procured cybersecurity insurance to protect against cyber-security risks; however, such we cannot provide any assurance regarding the adequacy of such insurance coverage.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1B – Unresolved Staff Comments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1" w:right="7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 Properties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AND ADMINISTRATIVE OFFICES</w:t>
      </w:r>
    </w:p>
    <w:p>
      <w:pPr>
        <w:spacing w:after="0" w:line="16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As discussed previously, in February 2017, we moved our executive headquarters in the U.S. from an 11,700 square foot leased office space located at 6100 Center Drive, Suite 900, Los Angeles, California 90045 to a 24,000 square foot Class B office building with 72 parking spaces located at 5995 Sepulveda Boulevard, Suite 300, Culver City, California 90230, which we purchased on April 11, 2016. We are currently using approximately 50% of the leasable area for our headquarters’ offices and intend to lease, over time, the remainder to unaffiliated third parties.</w:t>
      </w:r>
    </w:p>
    <w:p>
      <w:pPr>
        <w:spacing w:after="0" w:line="13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We own an 8,300 square foot office building in Melbourne, Australia, approximately 5,200 square feet of which serve as the headquarters for our Australian and New Zealand operations (the remainder being leased to an unrelated third party). We maintain our accounting personnel and certain IT and operational personnel in approximately 5,900 square foot of offices located in our Wellington Courtenay Central ETC. We also occupy approximately 3,500 square feet at our Village East leasehold property in New York for administrative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ENTERTAINMENT PROPERTIES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Entertainment Use Leasehold Interests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2017, we lease approximately 1,800,000 square feet of completed cinema space in the United States, Australia, and New Zealand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80" w:type="dxa"/>
            <w:vAlign w:val="bottom"/>
          </w:tcPr>
          <w:p>
            <w:pPr>
              <w:spacing w:after="0"/>
              <w:rPr>
                <w:sz w:val="12"/>
                <w:szCs w:val="12"/>
                <w:color w:val="auto"/>
              </w:rPr>
            </w:pPr>
          </w:p>
        </w:tc>
        <w:tc>
          <w:tcPr>
            <w:tcW w:w="1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Aggregate Square Footage</w:t>
            </w: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Approximate Range of Remaining Lease Terms</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(including renewals)</w:t>
            </w:r>
          </w:p>
        </w:tc>
        <w:tc>
          <w:tcPr>
            <w:tcW w:w="0" w:type="dxa"/>
            <w:vAlign w:val="bottom"/>
          </w:tcPr>
          <w:p>
            <w:pPr>
              <w:spacing w:after="0"/>
              <w:rPr>
                <w:sz w:val="1"/>
                <w:szCs w:val="1"/>
                <w:color w:val="auto"/>
              </w:rPr>
            </w:pPr>
          </w:p>
        </w:tc>
      </w:tr>
      <w:tr>
        <w:trPr>
          <w:trHeight w:val="163"/>
        </w:trPr>
        <w:tc>
          <w:tcPr>
            <w:tcW w:w="1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2"/>
              </w:rPr>
              <w:t>962,000</w:t>
            </w:r>
          </w:p>
        </w:tc>
        <w:tc>
          <w:tcPr>
            <w:tcW w:w="28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2018 – 2052</w:t>
            </w:r>
          </w:p>
        </w:tc>
        <w:tc>
          <w:tcPr>
            <w:tcW w:w="0" w:type="dxa"/>
            <w:vAlign w:val="bottom"/>
          </w:tcPr>
          <w:p>
            <w:pPr>
              <w:spacing w:after="0"/>
              <w:rPr>
                <w:sz w:val="1"/>
                <w:szCs w:val="1"/>
                <w:color w:val="auto"/>
              </w:rPr>
            </w:pPr>
          </w:p>
        </w:tc>
      </w:tr>
      <w:tr>
        <w:trPr>
          <w:trHeight w:val="174"/>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auto"/>
              </w:rPr>
              <w:t>Australia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659,000</w:t>
            </w:r>
          </w:p>
        </w:tc>
        <w:tc>
          <w:tcPr>
            <w:tcW w:w="28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2019 – 2039</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Zealand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2"/>
              </w:rPr>
              <w:t>191,000</w:t>
            </w:r>
          </w:p>
        </w:tc>
        <w:tc>
          <w:tcPr>
            <w:tcW w:w="280" w:type="dxa"/>
            <w:vAlign w:val="bottom"/>
            <w:shd w:val="clear" w:color="auto" w:fill="CCEEFF"/>
          </w:tcPr>
          <w:p>
            <w:pPr>
              <w:spacing w:after="0"/>
              <w:rPr>
                <w:sz w:val="15"/>
                <w:szCs w:val="15"/>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2019 – 2050</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4"/>
          <w:szCs w:val="14"/>
          <w:color w:val="auto"/>
        </w:rPr>
        <w:t>In December 2014, we entered into (i) a lease for a new luxury cinema, Olino by Consolidated Theatres, which opened on October 21, 2016 at the new Ka Makana Ali'i Shopping Center developed in Kapolei, Hawaii by an affiliate of DeBartolo Development and (ii) finalized terms for a new eight-screen cinema complex in New Lynn Auckland, New Zealand, which opened in November 2015.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REAL ESTATE INTERESTS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 Interests</w:t>
      </w:r>
    </w:p>
    <w:p>
      <w:pPr>
        <w:spacing w:after="0" w:line="156"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4"/>
          <w:szCs w:val="14"/>
          <w:color w:val="auto"/>
        </w:rPr>
        <w:t>In Australia, as of December 31, 2017, we owned approximately 1,200,000 square feet of land at nine locations. Most of this land is located in the greater metropolitan areas of Brisbane, Perth, and Sydney. Of these fee interests, approximately 208,000 square feet are currently improved with cinemas. We also own an approximately 23,000 square foot parcel currently improved with an approximately 22,000 square foot office building that we intend to integrate with and into our Newmarket ETC and that, accordingly, is not included in the above table.</w:t>
      </w:r>
    </w:p>
    <w:p>
      <w:pPr>
        <w:spacing w:after="0" w:line="116"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4"/>
          <w:szCs w:val="14"/>
          <w:color w:val="auto"/>
        </w:rPr>
        <w:t>In New Zealand, as of December 31, 2017, we owned approximately 3,300,000 square feet of land at six locations. The foregoing includes the Courtenay Central ETC in Wellington, the development land adjacent to our Courtenay Central ETC, the 70.4-acre Manukau site, and the fee interests underlying four cinemas in New Zealand, which properties include approximately 20,000 square feet of ancillary retail space.</w:t>
      </w:r>
    </w:p>
    <w:p>
      <w:pPr>
        <w:spacing w:after="0" w:line="100"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4"/>
          <w:szCs w:val="14"/>
          <w:color w:val="auto"/>
        </w:rPr>
        <w:t>In the United States, as of December 31, 2017, we owned approximately 134,000 square feet of improved real estate comprised of three live theater buildings, which include approximately 37,000 square feet of leasable space, the fee interest in the Union Square property (currently being redeveloped), and the fee interest in our Cinemas 1,2,3 in Manhattan (held through a limited liability company in which we have a 75% managing member interest). We also own various properties relating to our historic railroad 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Live Theaters</w:t>
      </w:r>
    </w:p>
    <w:p>
      <w:pPr>
        <w:spacing w:after="0" w:line="166"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4"/>
          <w:szCs w:val="14"/>
          <w:color w:val="auto"/>
        </w:rPr>
        <w:t>Included among our real estate holdings are three Off-Broadway style live theaters, operated through our Liberty Theaters subsidiary. We license theater auditoriums to the producers of Off-Broadway theatrical productions and provide various box office and food &amp; beverage services. The terms of our licenses are, naturally, principally dependent upon the commercial success of our tenants. While we attempt to choose productions that we believe will be successful, we have no control over the production itself. At the current time, we have two single-auditorium theaters in Manhattan:</w:t>
      </w:r>
    </w:p>
    <w:p>
      <w:pPr>
        <w:spacing w:after="0" w:line="105" w:lineRule="exact"/>
        <w:rPr>
          <w:sz w:val="20"/>
          <w:szCs w:val="20"/>
          <w:color w:val="auto"/>
        </w:rPr>
      </w:pPr>
    </w:p>
    <w:p>
      <w:pPr>
        <w:ind w:left="520" w:hanging="252"/>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Minetta Lane (399 seats); and,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14" w:right="759" w:bottom="1440" w:gutter="0" w:footer="0" w:header="0"/>
        </w:sectPr>
      </w:pPr>
    </w:p>
    <w:bookmarkStart w:id="28" w:name="page29"/>
    <w:bookmarkEnd w:id="28"/>
    <w:p>
      <w:pPr>
        <w:ind w:left="520" w:hanging="252"/>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Orpheum (347 seats).</w:t>
      </w:r>
    </w:p>
    <w:p>
      <w:pPr>
        <w:spacing w:after="0" w:line="15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color w:val="auto"/>
        </w:rPr>
        <w:t>We also own a four-auditorium theater complex, the Royal George Theatre in Chicago (main stage 452 seats, cabaret 199 seats, great room 100 seats and gallery 60 seats), which has ancillary retail and office space.</w:t>
      </w:r>
    </w:p>
    <w:p>
      <w:pPr>
        <w:spacing w:after="0" w:line="96" w:lineRule="exact"/>
        <w:rPr>
          <w:sz w:val="20"/>
          <w:szCs w:val="20"/>
          <w:color w:val="auto"/>
        </w:rPr>
      </w:pPr>
    </w:p>
    <w:p>
      <w:pPr>
        <w:ind w:right="440"/>
        <w:spacing w:after="0" w:line="300" w:lineRule="auto"/>
        <w:rPr>
          <w:sz w:val="20"/>
          <w:szCs w:val="20"/>
          <w:color w:val="auto"/>
        </w:rPr>
      </w:pPr>
      <w:r>
        <w:rPr>
          <w:rFonts w:ascii="Times New Roman" w:cs="Times New Roman" w:eastAsia="Times New Roman" w:hAnsi="Times New Roman"/>
          <w:sz w:val="14"/>
          <w:szCs w:val="14"/>
          <w:color w:val="auto"/>
        </w:rPr>
        <w:t>At the end of 2015, we closed our Union Square Theatre as a part of our redevelopment of that property. As discussed previously, we began the construction phase of the redevelopment during 2016.</w:t>
      </w:r>
    </w:p>
    <w:p>
      <w:pPr>
        <w:spacing w:after="0" w:line="8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4"/>
          <w:szCs w:val="14"/>
          <w:color w:val="auto"/>
        </w:rPr>
        <w:t>Liberty Theaters is primarily in the business of renting theater space. However, we may from time-to-time participate as an investor in a play, which can help facilitate the exhibition of the play at one of our facilities, and do from time-to-time rent space on a basis that allows us to share in a production’s revenue or profits. Revenue, expense, and profits are reported as a part of the real estate segment of our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Joint Venture Interests</w:t>
      </w:r>
    </w:p>
    <w:p>
      <w:pPr>
        <w:spacing w:after="0" w:line="166"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4"/>
          <w:szCs w:val="14"/>
          <w:color w:val="auto"/>
        </w:rPr>
        <w:t>Real estate joint ventures comprise of a 75% managing member interest in the limited liability company that owns our Cinemas 1,2,3 property and a 50% managing member interest in Shadow View Land &amp; Farming, LLC, which owns an approximately 202-acre property in Coachella, California that is currently zoned for residential and mixed use.</w:t>
      </w:r>
    </w:p>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260"/>
          </w:cols>
          <w:pgMar w:left="740" w:top="125" w:right="8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OPERATING PROPERTY</w:t>
      </w:r>
    </w:p>
    <w:p>
      <w:pPr>
        <w:spacing w:after="0" w:line="156"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4"/>
          <w:szCs w:val="14"/>
          <w:color w:val="auto"/>
        </w:rPr>
        <w:t>As of December 31, 2017, we own fee interests on approximately 842,000 square feet of income-producing properties (including certain properties principally occupied by our cinemas)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40" w:type="dxa"/>
            <w:vAlign w:val="bottom"/>
            <w:gridSpan w:val="2"/>
            <w:vMerge w:val="restart"/>
          </w:tcPr>
          <w:p>
            <w:pPr>
              <w:jc w:val="center"/>
              <w:ind w:left="62"/>
              <w:spacing w:after="0"/>
              <w:rPr>
                <w:sz w:val="20"/>
                <w:szCs w:val="20"/>
                <w:color w:val="auto"/>
              </w:rPr>
            </w:pPr>
            <w:r>
              <w:rPr>
                <w:rFonts w:ascii="Times New Roman" w:cs="Times New Roman" w:eastAsia="Times New Roman" w:hAnsi="Times New Roman"/>
                <w:sz w:val="12"/>
                <w:szCs w:val="12"/>
                <w:b w:val="1"/>
                <w:bCs w:val="1"/>
                <w:color w:val="auto"/>
                <w:w w:val="98"/>
              </w:rPr>
              <w:t>Square Feet of Improvements</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Net Book Value</w:t>
            </w:r>
            <w:r>
              <w:rPr>
                <w:rFonts w:ascii="Times New Roman" w:cs="Times New Roman" w:eastAsia="Times New Roman" w:hAnsi="Times New Roman"/>
                <w:sz w:val="5"/>
                <w:szCs w:val="5"/>
                <w:b w:val="1"/>
                <w:bCs w:val="1"/>
                <w:color w:val="auto"/>
                <w:w w:val="97"/>
              </w:rPr>
              <w:t>(3)</w:t>
            </w:r>
          </w:p>
        </w:tc>
        <w:tc>
          <w:tcPr>
            <w:tcW w:w="1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Property</w:t>
            </w:r>
          </w:p>
        </w:tc>
        <w:tc>
          <w:tcPr>
            <w:tcW w:w="19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jc w:val="right"/>
              <w:ind w:right="124"/>
              <w:spacing w:after="0" w:line="88" w:lineRule="exact"/>
              <w:rPr>
                <w:sz w:val="20"/>
                <w:szCs w:val="20"/>
                <w:color w:val="auto"/>
              </w:rPr>
            </w:pPr>
            <w:r>
              <w:rPr>
                <w:rFonts w:ascii="Times New Roman" w:cs="Times New Roman" w:eastAsia="Times New Roman" w:hAnsi="Times New Roman"/>
                <w:sz w:val="9"/>
                <w:szCs w:val="9"/>
                <w:i w:val="1"/>
                <w:iCs w:val="1"/>
                <w:color w:val="auto"/>
              </w:rPr>
              <w:t>(US Dollars in</w:t>
            </w:r>
          </w:p>
        </w:tc>
        <w:tc>
          <w:tcPr>
            <w:tcW w:w="1700" w:type="dxa"/>
            <w:vAlign w:val="bottom"/>
            <w:vMerge w:val="restart"/>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4"/>
              </w:rPr>
              <w:t>Reporting Segment</w:t>
            </w:r>
          </w:p>
        </w:tc>
        <w:tc>
          <w:tcPr>
            <w:tcW w:w="2800" w:type="dxa"/>
            <w:vAlign w:val="bottom"/>
            <w:vMerge w:val="restart"/>
          </w:tcPr>
          <w:p>
            <w:pPr>
              <w:ind w:left="1240"/>
              <w:spacing w:after="0"/>
              <w:rPr>
                <w:sz w:val="20"/>
                <w:szCs w:val="20"/>
                <w:color w:val="auto"/>
              </w:rPr>
            </w:pPr>
            <w:r>
              <w:rPr>
                <w:rFonts w:ascii="Times New Roman" w:cs="Times New Roman" w:eastAsia="Times New Roman" w:hAnsi="Times New Roman"/>
                <w:sz w:val="12"/>
                <w:szCs w:val="12"/>
                <w:b w:val="1"/>
                <w:bCs w:val="1"/>
                <w:color w:val="auto"/>
              </w:rPr>
              <w:t>Address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vMerge w:val="continue"/>
          </w:tcPr>
          <w:p>
            <w:pPr>
              <w:spacing w:after="0"/>
              <w:rPr>
                <w:sz w:val="10"/>
                <w:szCs w:val="10"/>
                <w:color w:val="auto"/>
              </w:rPr>
            </w:pPr>
          </w:p>
        </w:tc>
        <w:tc>
          <w:tcPr>
            <w:tcW w:w="1940" w:type="dxa"/>
            <w:vAlign w:val="bottom"/>
            <w:tcBorders>
              <w:bottom w:val="single" w:sz="8" w:color="auto"/>
            </w:tcBorders>
            <w:gridSpan w:val="2"/>
          </w:tcPr>
          <w:p>
            <w:pPr>
              <w:jc w:val="center"/>
              <w:ind w:left="62"/>
              <w:spacing w:after="0" w:line="120" w:lineRule="exact"/>
              <w:rPr>
                <w:sz w:val="20"/>
                <w:szCs w:val="20"/>
                <w:color w:val="auto"/>
              </w:rPr>
            </w:pPr>
            <w:r>
              <w:rPr>
                <w:rFonts w:ascii="Times New Roman" w:cs="Times New Roman" w:eastAsia="Times New Roman" w:hAnsi="Times New Roman"/>
                <w:sz w:val="12"/>
                <w:szCs w:val="12"/>
                <w:b w:val="1"/>
                <w:bCs w:val="1"/>
                <w:color w:val="auto"/>
                <w:w w:val="97"/>
              </w:rPr>
              <w:t>(rental/entertainment)</w:t>
            </w:r>
            <w:r>
              <w:rPr>
                <w:rFonts w:ascii="Times New Roman" w:cs="Times New Roman" w:eastAsia="Times New Roman" w:hAnsi="Times New Roman"/>
                <w:sz w:val="5"/>
                <w:szCs w:val="5"/>
                <w:b w:val="1"/>
                <w:bCs w:val="1"/>
                <w:color w:val="auto"/>
                <w:w w:val="97"/>
              </w:rPr>
              <w:t>(1)</w:t>
            </w:r>
          </w:p>
        </w:tc>
        <w:tc>
          <w:tcPr>
            <w:tcW w:w="820" w:type="dxa"/>
            <w:vAlign w:val="bottom"/>
            <w:tcBorders>
              <w:bottom w:val="single" w:sz="8" w:color="auto"/>
            </w:tcBorders>
          </w:tcPr>
          <w:p>
            <w:pPr>
              <w:ind w:left="220"/>
              <w:spacing w:after="0" w:line="120" w:lineRule="exact"/>
              <w:rPr>
                <w:sz w:val="20"/>
                <w:szCs w:val="20"/>
                <w:color w:val="auto"/>
              </w:rPr>
            </w:pPr>
            <w:r>
              <w:rPr>
                <w:rFonts w:ascii="Times New Roman" w:cs="Times New Roman" w:eastAsia="Times New Roman" w:hAnsi="Times New Roman"/>
                <w:sz w:val="12"/>
                <w:szCs w:val="12"/>
                <w:b w:val="1"/>
                <w:bCs w:val="1"/>
                <w:color w:val="auto"/>
              </w:rPr>
              <w:t>Leased</w:t>
            </w:r>
            <w:r>
              <w:rPr>
                <w:rFonts w:ascii="Times New Roman" w:cs="Times New Roman" w:eastAsia="Times New Roman" w:hAnsi="Times New Roman"/>
                <w:sz w:val="5"/>
                <w:szCs w:val="5"/>
                <w:b w:val="1"/>
                <w:bCs w:val="1"/>
                <w:color w:val="auto"/>
              </w:rPr>
              <w:t>(2)</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9"/>
                <w:szCs w:val="9"/>
                <w:i w:val="1"/>
                <w:iCs w:val="1"/>
                <w:color w:val="auto"/>
              </w:rPr>
              <w:t>thousands)</w:t>
            </w:r>
          </w:p>
        </w:tc>
        <w:tc>
          <w:tcPr>
            <w:tcW w:w="170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3"/>
            <w:shd w:val="clear" w:color="auto" w:fill="CCEEFF"/>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United States</w:t>
            </w:r>
          </w:p>
        </w:tc>
        <w:tc>
          <w:tcPr>
            <w:tcW w:w="1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Cinemas 1, 2, 3</w:t>
            </w:r>
            <w:r>
              <w:rPr>
                <w:rFonts w:ascii="Times New Roman" w:cs="Times New Roman" w:eastAsia="Times New Roman" w:hAnsi="Times New Roman"/>
                <w:sz w:val="5"/>
                <w:szCs w:val="5"/>
                <w:color w:val="auto"/>
              </w:rPr>
              <w:t>(4)</w:t>
            </w:r>
          </w:p>
        </w:tc>
        <w:tc>
          <w:tcPr>
            <w:tcW w:w="1940" w:type="dxa"/>
            <w:vAlign w:val="bottom"/>
            <w:tcBorders>
              <w:top w:val="single" w:sz="8" w:color="CCEEFF"/>
            </w:tcBorders>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5"/>
              </w:rPr>
              <w:t>0 / 21,000</w:t>
            </w:r>
          </w:p>
        </w:tc>
        <w:tc>
          <w:tcPr>
            <w:tcW w:w="820" w:type="dxa"/>
            <w:vAlign w:val="bottom"/>
            <w:tcBorders>
              <w:top w:val="single" w:sz="8" w:color="CCEEFF"/>
            </w:tcBorders>
          </w:tcPr>
          <w:p>
            <w:pPr>
              <w:ind w:left="400"/>
              <w:spacing w:after="0"/>
              <w:rPr>
                <w:sz w:val="20"/>
                <w:szCs w:val="20"/>
                <w:color w:val="auto"/>
              </w:rPr>
            </w:pPr>
            <w:r>
              <w:rPr>
                <w:rFonts w:ascii="Times New Roman" w:cs="Times New Roman" w:eastAsia="Times New Roman" w:hAnsi="Times New Roman"/>
                <w:sz w:val="12"/>
                <w:szCs w:val="12"/>
                <w:i w:val="1"/>
                <w:iCs w:val="1"/>
                <w:color w:val="auto"/>
              </w:rPr>
              <w:t>n/a</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24,293</w:t>
            </w:r>
          </w:p>
        </w:tc>
        <w:tc>
          <w:tcPr>
            <w:tcW w:w="1700" w:type="dxa"/>
            <w:vAlign w:val="bottom"/>
            <w:tcBorders>
              <w:top w:val="single" w:sz="8" w:color="CCEEFF"/>
            </w:tcBorders>
          </w:tcPr>
          <w:p>
            <w:pPr>
              <w:jc w:val="center"/>
              <w:ind w:left="22"/>
              <w:spacing w:after="0"/>
              <w:rPr>
                <w:sz w:val="20"/>
                <w:szCs w:val="20"/>
                <w:color w:val="auto"/>
              </w:rPr>
            </w:pPr>
            <w:r>
              <w:rPr>
                <w:rFonts w:ascii="Times New Roman" w:cs="Times New Roman" w:eastAsia="Times New Roman" w:hAnsi="Times New Roman"/>
                <w:sz w:val="12"/>
                <w:szCs w:val="12"/>
                <w:color w:val="auto"/>
                <w:w w:val="94"/>
              </w:rPr>
              <w:t>Cinema Exhibition</w:t>
            </w:r>
          </w:p>
        </w:tc>
        <w:tc>
          <w:tcPr>
            <w:tcW w:w="280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1003 Third Avenue, Manhattan, 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 Office Building, Culver City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14,000</w:t>
            </w:r>
          </w:p>
        </w:tc>
        <w:tc>
          <w:tcPr>
            <w:tcW w:w="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i w:val="1"/>
                <w:iCs w:val="1"/>
                <w:color w:val="auto"/>
                <w:w w:val="99"/>
              </w:rPr>
              <w:t>0%</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13,513</w:t>
            </w:r>
          </w:p>
        </w:tc>
        <w:tc>
          <w:tcPr>
            <w:tcW w:w="170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Real Estate</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5995 Sepulveda Blvd, Culver City, CA</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13"/>
                <w:szCs w:val="13"/>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Minetta Lane Theatre</w:t>
            </w:r>
          </w:p>
        </w:tc>
        <w:tc>
          <w:tcPr>
            <w:tcW w:w="194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9"/>
              </w:rPr>
              <w:t>0 / 9,000</w:t>
            </w:r>
          </w:p>
        </w:tc>
        <w:tc>
          <w:tcPr>
            <w:tcW w:w="820" w:type="dxa"/>
            <w:vAlign w:val="bottom"/>
          </w:tcPr>
          <w:p>
            <w:pPr>
              <w:ind w:left="400"/>
              <w:spacing w:after="0"/>
              <w:rPr>
                <w:sz w:val="20"/>
                <w:szCs w:val="20"/>
                <w:color w:val="auto"/>
              </w:rPr>
            </w:pPr>
            <w:r>
              <w:rPr>
                <w:rFonts w:ascii="Times New Roman" w:cs="Times New Roman" w:eastAsia="Times New Roman" w:hAnsi="Times New Roman"/>
                <w:sz w:val="12"/>
                <w:szCs w:val="12"/>
                <w:i w:val="1"/>
                <w:iCs w:val="1"/>
                <w:color w:val="auto"/>
              </w:rPr>
              <w:t>n/a</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2,515</w:t>
            </w:r>
          </w:p>
        </w:tc>
        <w:tc>
          <w:tcPr>
            <w:tcW w:w="17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9"/>
              </w:rPr>
              <w:t>Real Estate</w:t>
            </w:r>
          </w:p>
        </w:tc>
        <w:tc>
          <w:tcPr>
            <w:tcW w:w="2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18-22 Minetta Lane, Manhattan, 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Orpheum Theatre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5,000</w:t>
            </w:r>
          </w:p>
        </w:tc>
        <w:tc>
          <w:tcPr>
            <w:tcW w:w="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w:t>
            </w:r>
          </w:p>
        </w:tc>
        <w:tc>
          <w:tcPr>
            <w:tcW w:w="170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Real Estate</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126 2nd Street, Manhattan, NY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Royal George</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37,000</w:t>
            </w:r>
          </w:p>
        </w:tc>
        <w:tc>
          <w:tcPr>
            <w:tcW w:w="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23,000</w:t>
            </w:r>
          </w:p>
        </w:tc>
        <w:tc>
          <w:tcPr>
            <w:tcW w:w="820" w:type="dxa"/>
            <w:vAlign w:val="bottom"/>
          </w:tcPr>
          <w:p>
            <w:pPr>
              <w:jc w:val="center"/>
              <w:ind w:left="82"/>
              <w:spacing w:after="0"/>
              <w:rPr>
                <w:sz w:val="20"/>
                <w:szCs w:val="20"/>
                <w:color w:val="auto"/>
              </w:rPr>
            </w:pPr>
            <w:r>
              <w:rPr>
                <w:rFonts w:ascii="Times New Roman" w:cs="Times New Roman" w:eastAsia="Times New Roman" w:hAnsi="Times New Roman"/>
                <w:sz w:val="12"/>
                <w:szCs w:val="12"/>
                <w:color w:val="auto"/>
                <w:w w:val="90"/>
              </w:rPr>
              <w:t>91%</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2,300</w:t>
            </w:r>
          </w:p>
        </w:tc>
        <w:tc>
          <w:tcPr>
            <w:tcW w:w="17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9"/>
              </w:rPr>
              <w:t>Real Estate</w:t>
            </w:r>
          </w:p>
        </w:tc>
        <w:tc>
          <w:tcPr>
            <w:tcW w:w="2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1633 N. Halsted Street, Chicago, IL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plus a 55-space parking structure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Australia</w:t>
            </w:r>
          </w:p>
        </w:tc>
        <w:tc>
          <w:tcPr>
            <w:tcW w:w="1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top w:val="single" w:sz="8" w:color="CCEEFF"/>
            </w:tcBorders>
          </w:tcPr>
          <w:p>
            <w:pPr>
              <w:spacing w:after="0"/>
              <w:rPr>
                <w:sz w:val="12"/>
                <w:szCs w:val="12"/>
                <w:color w:val="auto"/>
              </w:rPr>
            </w:pPr>
          </w:p>
        </w:tc>
        <w:tc>
          <w:tcPr>
            <w:tcW w:w="1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Newmarket</w:t>
            </w:r>
            <w:r>
              <w:rPr>
                <w:rFonts w:ascii="Times New Roman" w:cs="Times New Roman" w:eastAsia="Times New Roman" w:hAnsi="Times New Roman"/>
                <w:sz w:val="5"/>
                <w:szCs w:val="5"/>
                <w:color w:val="auto"/>
              </w:rPr>
              <w:t>(5)</w:t>
            </w:r>
          </w:p>
        </w:tc>
        <w:tc>
          <w:tcPr>
            <w:tcW w:w="1940" w:type="dxa"/>
            <w:vAlign w:val="bottom"/>
            <w:tcBorders>
              <w:top w:val="single" w:sz="8" w:color="CCEEFF"/>
            </w:tcBorders>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5"/>
              </w:rPr>
              <w:t>102,000 / 42,000</w:t>
            </w:r>
          </w:p>
        </w:tc>
        <w:tc>
          <w:tcPr>
            <w:tcW w:w="820" w:type="dxa"/>
            <w:vAlign w:val="bottom"/>
            <w:tcBorders>
              <w:top w:val="single" w:sz="8" w:color="CCEEFF"/>
            </w:tcBorders>
          </w:tcPr>
          <w:p>
            <w:pPr>
              <w:jc w:val="center"/>
              <w:ind w:left="82"/>
              <w:spacing w:after="0"/>
              <w:rPr>
                <w:sz w:val="20"/>
                <w:szCs w:val="20"/>
                <w:color w:val="auto"/>
              </w:rPr>
            </w:pPr>
            <w:r>
              <w:rPr>
                <w:rFonts w:ascii="Times New Roman" w:cs="Times New Roman" w:eastAsia="Times New Roman" w:hAnsi="Times New Roman"/>
                <w:sz w:val="12"/>
                <w:szCs w:val="12"/>
                <w:color w:val="auto"/>
                <w:w w:val="90"/>
              </w:rPr>
              <w:t>74%</w:t>
            </w: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31,804</w:t>
            </w:r>
          </w:p>
        </w:tc>
        <w:tc>
          <w:tcPr>
            <w:tcW w:w="1700" w:type="dxa"/>
            <w:vAlign w:val="bottom"/>
            <w:tcBorders>
              <w:top w:val="single" w:sz="8" w:color="CCEEFF"/>
            </w:tcBorders>
          </w:tcPr>
          <w:p>
            <w:pPr>
              <w:jc w:val="center"/>
              <w:ind w:left="22"/>
              <w:spacing w:after="0"/>
              <w:rPr>
                <w:sz w:val="20"/>
                <w:szCs w:val="20"/>
                <w:color w:val="auto"/>
              </w:rPr>
            </w:pPr>
            <w:r>
              <w:rPr>
                <w:rFonts w:ascii="Times New Roman" w:cs="Times New Roman" w:eastAsia="Times New Roman" w:hAnsi="Times New Roman"/>
                <w:sz w:val="12"/>
                <w:szCs w:val="12"/>
                <w:color w:val="auto"/>
                <w:w w:val="99"/>
              </w:rPr>
              <w:t>Real Estate</w:t>
            </w:r>
          </w:p>
        </w:tc>
        <w:tc>
          <w:tcPr>
            <w:tcW w:w="280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400 Newmarket Road, Newmarket, QLD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40" w:type="dxa"/>
            <w:vAlign w:val="bottom"/>
            <w:gridSpan w:val="2"/>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plus a 574-space parking structure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Auburn</w:t>
            </w:r>
            <w:r>
              <w:rPr>
                <w:rFonts w:ascii="Times New Roman" w:cs="Times New Roman" w:eastAsia="Times New Roman" w:hAnsi="Times New Roman"/>
                <w:sz w:val="5"/>
                <w:szCs w:val="5"/>
                <w:color w:val="auto"/>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57,000</w:t>
            </w:r>
          </w:p>
        </w:tc>
        <w:tc>
          <w:tcPr>
            <w:tcW w:w="820" w:type="dxa"/>
            <w:vAlign w:val="bottom"/>
          </w:tcPr>
          <w:p>
            <w:pPr>
              <w:jc w:val="center"/>
              <w:ind w:left="82"/>
              <w:spacing w:after="0"/>
              <w:rPr>
                <w:sz w:val="20"/>
                <w:szCs w:val="20"/>
                <w:color w:val="auto"/>
              </w:rPr>
            </w:pPr>
            <w:r>
              <w:rPr>
                <w:rFonts w:ascii="Times New Roman" w:cs="Times New Roman" w:eastAsia="Times New Roman" w:hAnsi="Times New Roman"/>
                <w:sz w:val="12"/>
                <w:szCs w:val="12"/>
                <w:color w:val="auto"/>
                <w:w w:val="90"/>
              </w:rPr>
              <w:t>79%</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24,621</w:t>
            </w:r>
          </w:p>
        </w:tc>
        <w:tc>
          <w:tcPr>
            <w:tcW w:w="17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6"/>
              </w:rPr>
              <w:t>Cinema Exhibition /</w:t>
            </w:r>
          </w:p>
        </w:tc>
        <w:tc>
          <w:tcPr>
            <w:tcW w:w="2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100 Parramatta Road, Auburn, NSW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plus a 757-space parking structure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9"/>
              </w:rPr>
              <w:t>Real Estate</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Cannon Park</w:t>
            </w:r>
            <w:r>
              <w:rPr>
                <w:rFonts w:ascii="Times New Roman" w:cs="Times New Roman" w:eastAsia="Times New Roman" w:hAnsi="Times New Roman"/>
                <w:sz w:val="5"/>
                <w:szCs w:val="5"/>
                <w:color w:val="auto"/>
              </w:rPr>
              <w:t>(6)</w:t>
            </w:r>
          </w:p>
        </w:tc>
        <w:tc>
          <w:tcPr>
            <w:tcW w:w="194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5"/>
              </w:rPr>
              <w:t>105,000 / 28,000</w:t>
            </w:r>
          </w:p>
        </w:tc>
        <w:tc>
          <w:tcPr>
            <w:tcW w:w="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0"/>
              </w:rPr>
              <w:t>94%</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24,593</w:t>
            </w:r>
          </w:p>
        </w:tc>
        <w:tc>
          <w:tcPr>
            <w:tcW w:w="170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6"/>
              </w:rPr>
              <w:t>Cinema Exhibition / Real Estate</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High Range Drive, Thuringowa, QLD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Belmont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45,000</w:t>
            </w:r>
          </w:p>
        </w:tc>
        <w:tc>
          <w:tcPr>
            <w:tcW w:w="820" w:type="dxa"/>
            <w:vAlign w:val="bottom"/>
          </w:tcPr>
          <w:p>
            <w:pPr>
              <w:jc w:val="center"/>
              <w:ind w:left="82"/>
              <w:spacing w:after="0"/>
              <w:rPr>
                <w:sz w:val="20"/>
                <w:szCs w:val="20"/>
                <w:color w:val="auto"/>
              </w:rPr>
            </w:pPr>
            <w:r>
              <w:rPr>
                <w:rFonts w:ascii="Times New Roman" w:cs="Times New Roman" w:eastAsia="Times New Roman" w:hAnsi="Times New Roman"/>
                <w:sz w:val="12"/>
                <w:szCs w:val="12"/>
                <w:color w:val="auto"/>
                <w:w w:val="90"/>
              </w:rPr>
              <w:t>71%</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6,459</w:t>
            </w:r>
          </w:p>
        </w:tc>
        <w:tc>
          <w:tcPr>
            <w:tcW w:w="17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4"/>
              </w:rPr>
              <w:t>Cinema Exhibition</w:t>
            </w:r>
          </w:p>
        </w:tc>
        <w:tc>
          <w:tcPr>
            <w:tcW w:w="2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Knutsford Avenue and Fulham Street, Belmont, WA</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York Street Office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5,000</w:t>
            </w:r>
          </w:p>
        </w:tc>
        <w:tc>
          <w:tcPr>
            <w:tcW w:w="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1,985</w:t>
            </w:r>
          </w:p>
        </w:tc>
        <w:tc>
          <w:tcPr>
            <w:tcW w:w="170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9"/>
              </w:rPr>
              <w:t>Real Estate</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98 York Street, South Melbourne, VIC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tcPr>
          <w:p>
            <w:pPr>
              <w:spacing w:after="0"/>
              <w:rPr>
                <w:sz w:val="13"/>
                <w:szCs w:val="13"/>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Maitland Cinema</w:t>
            </w:r>
          </w:p>
        </w:tc>
        <w:tc>
          <w:tcPr>
            <w:tcW w:w="194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5"/>
              </w:rPr>
              <w:t>0 / 22,000</w:t>
            </w:r>
          </w:p>
        </w:tc>
        <w:tc>
          <w:tcPr>
            <w:tcW w:w="820" w:type="dxa"/>
            <w:vAlign w:val="bottom"/>
          </w:tcPr>
          <w:p>
            <w:pPr>
              <w:ind w:left="400"/>
              <w:spacing w:after="0"/>
              <w:rPr>
                <w:sz w:val="20"/>
                <w:szCs w:val="20"/>
                <w:color w:val="auto"/>
              </w:rPr>
            </w:pPr>
            <w:r>
              <w:rPr>
                <w:rFonts w:ascii="Times New Roman" w:cs="Times New Roman" w:eastAsia="Times New Roman" w:hAnsi="Times New Roman"/>
                <w:sz w:val="12"/>
                <w:szCs w:val="12"/>
                <w:i w:val="1"/>
                <w:iCs w:val="1"/>
                <w:color w:val="auto"/>
              </w:rPr>
              <w:t>n/a</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17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4"/>
              </w:rPr>
              <w:t>Cinema Exhibition</w:t>
            </w:r>
          </w:p>
        </w:tc>
        <w:tc>
          <w:tcPr>
            <w:tcW w:w="2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Ken Tubman Drive, Maitland, NSW</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Bundaberg</w:t>
            </w:r>
          </w:p>
        </w:tc>
        <w:tc>
          <w:tcPr>
            <w:tcW w:w="194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5"/>
              </w:rPr>
              <w:t>0 / 14,000</w:t>
            </w: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i w:val="1"/>
                <w:iCs w:val="1"/>
                <w:color w:val="auto"/>
              </w:rPr>
              <w:t>n/a</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1,267</w:t>
            </w:r>
          </w:p>
        </w:tc>
        <w:tc>
          <w:tcPr>
            <w:tcW w:w="170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4"/>
              </w:rPr>
              <w:t>Cinema Exhibition</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 Johanna Boulevard, Bundaberg, QLD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w w:val="91"/>
              </w:rPr>
              <w:t>New Zealand</w:t>
            </w:r>
          </w:p>
        </w:tc>
        <w:tc>
          <w:tcPr>
            <w:tcW w:w="1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Courtenay Central</w:t>
            </w:r>
            <w:r>
              <w:rPr>
                <w:rFonts w:ascii="Times New Roman" w:cs="Times New Roman" w:eastAsia="Times New Roman" w:hAnsi="Times New Roman"/>
                <w:sz w:val="5"/>
                <w:szCs w:val="5"/>
                <w:color w:val="auto"/>
              </w:rPr>
              <w:t>(5)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29,000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76,000</w:t>
            </w:r>
          </w:p>
        </w:tc>
        <w:tc>
          <w:tcPr>
            <w:tcW w:w="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0"/>
              </w:rPr>
              <w:t>42%</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13,295</w:t>
            </w:r>
          </w:p>
        </w:tc>
        <w:tc>
          <w:tcPr>
            <w:tcW w:w="170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6"/>
              </w:rPr>
              <w:t>Cinema Exhibition /</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100 Courtenay Place, Wellington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0" w:type="dxa"/>
            <w:vAlign w:val="bottom"/>
            <w:gridSpan w:val="4"/>
          </w:tcPr>
          <w:p>
            <w:pPr>
              <w:spacing w:after="0" w:line="102" w:lineRule="exact"/>
              <w:rPr>
                <w:sz w:val="20"/>
                <w:szCs w:val="20"/>
                <w:color w:val="auto"/>
              </w:rPr>
            </w:pPr>
            <w:r>
              <w:rPr>
                <w:rFonts w:ascii="Times New Roman" w:cs="Times New Roman" w:eastAsia="Times New Roman" w:hAnsi="Times New Roman"/>
                <w:sz w:val="10"/>
                <w:szCs w:val="10"/>
                <w:color w:val="auto"/>
              </w:rPr>
              <w:t>Plus an additional 37,000 feet of land currently used as car parking where our car parking</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00" w:type="dxa"/>
            <w:vAlign w:val="bottom"/>
          </w:tcPr>
          <w:p>
            <w:pPr>
              <w:jc w:val="center"/>
              <w:ind w:left="22"/>
              <w:spacing w:after="0" w:line="102" w:lineRule="exact"/>
              <w:rPr>
                <w:sz w:val="20"/>
                <w:szCs w:val="20"/>
                <w:color w:val="auto"/>
              </w:rPr>
            </w:pPr>
            <w:r>
              <w:rPr>
                <w:rFonts w:ascii="Times New Roman" w:cs="Times New Roman" w:eastAsia="Times New Roman" w:hAnsi="Times New Roman"/>
                <w:sz w:val="10"/>
                <w:szCs w:val="10"/>
                <w:color w:val="auto"/>
              </w:rPr>
              <w:t>Real Estate</w:t>
            </w:r>
          </w:p>
        </w:tc>
        <w:tc>
          <w:tcPr>
            <w:tcW w:w="2800" w:type="dxa"/>
            <w:vAlign w:val="bottom"/>
          </w:tcPr>
          <w:p>
            <w:pPr>
              <w:ind w:left="80"/>
              <w:spacing w:after="0" w:line="102" w:lineRule="exact"/>
              <w:rPr>
                <w:sz w:val="20"/>
                <w:szCs w:val="20"/>
                <w:color w:val="auto"/>
              </w:rPr>
            </w:pPr>
            <w:r>
              <w:rPr>
                <w:rFonts w:ascii="Times New Roman" w:cs="Times New Roman" w:eastAsia="Times New Roman" w:hAnsi="Times New Roman"/>
                <w:sz w:val="10"/>
                <w:szCs w:val="10"/>
                <w:color w:val="auto"/>
              </w:rPr>
              <w:t>24 Tory Street, Wellington (Parking)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structure once was.</w:t>
            </w: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4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Dunedin Cinema</w:t>
            </w:r>
          </w:p>
        </w:tc>
        <w:tc>
          <w:tcPr>
            <w:tcW w:w="194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5"/>
              </w:rPr>
              <w:t>0 / 25,000</w:t>
            </w: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i w:val="1"/>
                <w:iCs w:val="1"/>
                <w:color w:val="auto"/>
              </w:rPr>
              <w:t>n/a</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6,486</w:t>
            </w:r>
          </w:p>
        </w:tc>
        <w:tc>
          <w:tcPr>
            <w:tcW w:w="170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4"/>
              </w:rPr>
              <w:t>Cinema Exhibition</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33 The Octagon, Dunedin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Napier Cinema</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18,000</w:t>
            </w:r>
          </w:p>
        </w:tc>
        <w:tc>
          <w:tcPr>
            <w:tcW w:w="820" w:type="dxa"/>
            <w:vAlign w:val="bottom"/>
          </w:tcPr>
          <w:p>
            <w:pPr>
              <w:jc w:val="center"/>
              <w:ind w:left="82"/>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2,046</w:t>
            </w:r>
          </w:p>
        </w:tc>
        <w:tc>
          <w:tcPr>
            <w:tcW w:w="17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auto"/>
                <w:w w:val="94"/>
              </w:rPr>
              <w:t>Cinema Exhibition</w:t>
            </w:r>
          </w:p>
        </w:tc>
        <w:tc>
          <w:tcPr>
            <w:tcW w:w="2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154 Station Street, Napier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Invercargill Cinema</w:t>
            </w:r>
          </w:p>
        </w:tc>
        <w:tc>
          <w:tcPr>
            <w:tcW w:w="194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5"/>
              </w:rPr>
              <w:t>8,000 / 24,000</w:t>
            </w:r>
          </w:p>
        </w:tc>
        <w:tc>
          <w:tcPr>
            <w:tcW w:w="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0"/>
              </w:rPr>
              <w:t>61%</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170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4"/>
              </w:rPr>
              <w:t>Cinema Exhibition</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29 Dee Street, Invercargill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40" w:type="dxa"/>
            <w:vAlign w:val="bottom"/>
            <w:tcBorders>
              <w:bottom w:val="single" w:sz="8" w:color="CCEEFF"/>
            </w:tcBorders>
          </w:tcPr>
          <w:p>
            <w:pPr>
              <w:jc w:val="right"/>
              <w:ind w:right="62"/>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Rotorua Cinema</w:t>
            </w:r>
          </w:p>
        </w:tc>
        <w:tc>
          <w:tcPr>
            <w:tcW w:w="1940" w:type="dxa"/>
            <w:vAlign w:val="bottom"/>
            <w:tcBorders>
              <w:bottom w:val="single" w:sz="8" w:color="CCEEFF"/>
            </w:tcBorders>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5"/>
              </w:rPr>
              <w:t>0 / 19,000</w:t>
            </w:r>
          </w:p>
        </w:tc>
        <w:tc>
          <w:tcPr>
            <w:tcW w:w="8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2"/>
                <w:szCs w:val="12"/>
                <w:i w:val="1"/>
                <w:iCs w:val="1"/>
                <w:color w:val="auto"/>
              </w:rPr>
              <w:t>n/a</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1700" w:type="dxa"/>
            <w:vAlign w:val="bottom"/>
            <w:tcBorders>
              <w:bottom w:val="single" w:sz="8" w:color="CCEEFF"/>
            </w:tcBorders>
          </w:tcPr>
          <w:p>
            <w:pPr>
              <w:jc w:val="center"/>
              <w:ind w:left="22"/>
              <w:spacing w:after="0"/>
              <w:rPr>
                <w:sz w:val="20"/>
                <w:szCs w:val="20"/>
                <w:color w:val="auto"/>
              </w:rPr>
            </w:pPr>
            <w:r>
              <w:rPr>
                <w:rFonts w:ascii="Times New Roman" w:cs="Times New Roman" w:eastAsia="Times New Roman" w:hAnsi="Times New Roman"/>
                <w:sz w:val="12"/>
                <w:szCs w:val="12"/>
                <w:color w:val="auto"/>
                <w:w w:val="94"/>
              </w:rPr>
              <w:t>Cinema Exhibition</w:t>
            </w:r>
          </w:p>
        </w:tc>
        <w:tc>
          <w:tcPr>
            <w:tcW w:w="28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1281 Eruera Street, Rotorua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r>
              <w:rPr>
                <w:rFonts w:ascii="Times New Roman" w:cs="Times New Roman" w:eastAsia="Times New Roman" w:hAnsi="Times New Roman"/>
                <w:sz w:val="5"/>
                <w:szCs w:val="5"/>
                <w:b w:val="1"/>
                <w:bCs w:val="1"/>
                <w:color w:val="auto"/>
              </w:rPr>
              <w:t>(7)</w:t>
            </w:r>
          </w:p>
        </w:tc>
        <w:tc>
          <w:tcPr>
            <w:tcW w:w="16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161,111</w:t>
            </w:r>
          </w:p>
        </w:tc>
        <w:tc>
          <w:tcPr>
            <w:tcW w:w="170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right="440" w:hanging="133"/>
        <w:spacing w:after="0" w:line="225" w:lineRule="auto"/>
        <w:tabs>
          <w:tab w:leader="none" w:pos="102"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100" w:hanging="93"/>
        <w:spacing w:after="0"/>
        <w:tabs>
          <w:tab w:leader="none" w:pos="100" w:val="left"/>
        </w:tabs>
        <w:numPr>
          <w:ilvl w:val="0"/>
          <w:numId w:val="21"/>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Represents the percentage of rental square footage currently leased to third parties.</w:t>
      </w:r>
    </w:p>
    <w:p>
      <w:pPr>
        <w:spacing w:after="0" w:line="4" w:lineRule="exact"/>
        <w:rPr>
          <w:rFonts w:ascii="Times New Roman" w:cs="Times New Roman" w:eastAsia="Times New Roman" w:hAnsi="Times New Roman"/>
          <w:sz w:val="10"/>
          <w:szCs w:val="10"/>
          <w:color w:val="auto"/>
          <w:vertAlign w:val="superscript"/>
        </w:rPr>
      </w:pPr>
    </w:p>
    <w:p>
      <w:pPr>
        <w:ind w:left="100" w:hanging="93"/>
        <w:spacing w:after="0"/>
        <w:tabs>
          <w:tab w:leader="none" w:pos="100" w:val="left"/>
        </w:tabs>
        <w:numPr>
          <w:ilvl w:val="0"/>
          <w:numId w:val="21"/>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Refers to the net carrying value of the land and buildings of the property presented as “Operating Property” in our Consolidated Balance Sheet as of December 31, 2017 (net of any impairments recorded).</w:t>
      </w:r>
    </w:p>
    <w:p>
      <w:pPr>
        <w:spacing w:after="0" w:line="4" w:lineRule="exact"/>
        <w:rPr>
          <w:rFonts w:ascii="Times New Roman" w:cs="Times New Roman" w:eastAsia="Times New Roman" w:hAnsi="Times New Roman"/>
          <w:sz w:val="10"/>
          <w:szCs w:val="10"/>
          <w:color w:val="auto"/>
          <w:vertAlign w:val="superscript"/>
        </w:rPr>
      </w:pPr>
    </w:p>
    <w:p>
      <w:pPr>
        <w:ind w:left="100" w:hanging="93"/>
        <w:spacing w:after="0"/>
        <w:tabs>
          <w:tab w:leader="none" w:pos="100" w:val="left"/>
        </w:tabs>
        <w:numPr>
          <w:ilvl w:val="0"/>
          <w:numId w:val="21"/>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Owned by a limited liability company in which we hold a 75% managing member interest. The remaining 25% is owned by Sutton Hill Capital, LLC (“SHC”), a company owned in equal parts by the Cotter Estate or the Cotter Trust and a third party.</w:t>
      </w:r>
    </w:p>
    <w:p>
      <w:pPr>
        <w:spacing w:after="0" w:line="4" w:lineRule="exact"/>
        <w:rPr>
          <w:rFonts w:ascii="Times New Roman" w:cs="Times New Roman" w:eastAsia="Times New Roman" w:hAnsi="Times New Roman"/>
          <w:sz w:val="10"/>
          <w:szCs w:val="10"/>
          <w:color w:val="auto"/>
          <w:vertAlign w:val="superscript"/>
        </w:rPr>
      </w:pPr>
    </w:p>
    <w:p>
      <w:pPr>
        <w:ind w:left="140" w:right="260" w:hanging="133"/>
        <w:spacing w:after="0" w:line="216" w:lineRule="auto"/>
        <w:tabs>
          <w:tab w:leader="none" w:pos="102"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Our Courtenay Central parking structure has been demolished due to an earthquake on November 14, 2016. For further information on the on-going development projects of these properties, refer to succeeding section "</w:t>
      </w:r>
      <w:r>
        <w:rPr>
          <w:rFonts w:ascii="Times New Roman" w:cs="Times New Roman" w:eastAsia="Times New Roman" w:hAnsi="Times New Roman"/>
          <w:sz w:val="10"/>
          <w:szCs w:val="10"/>
          <w:i w:val="1"/>
          <w:iCs w:val="1"/>
          <w:color w:val="auto"/>
        </w:rPr>
        <w:t>Investment and Development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Property.</w:t>
      </w:r>
      <w:r>
        <w:rPr>
          <w:rFonts w:ascii="Times New Roman" w:cs="Times New Roman" w:eastAsia="Times New Roman" w:hAnsi="Times New Roman"/>
          <w:sz w:val="10"/>
          <w:szCs w:val="10"/>
          <w:color w:val="auto"/>
        </w:rPr>
        <w:t>"</w:t>
      </w:r>
    </w:p>
    <w:p>
      <w:pPr>
        <w:ind w:left="100" w:hanging="93"/>
        <w:spacing w:after="0"/>
        <w:tabs>
          <w:tab w:leader="none" w:pos="100" w:val="left"/>
        </w:tabs>
        <w:numPr>
          <w:ilvl w:val="0"/>
          <w:numId w:val="21"/>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Our Cannon Park City and Discount Centers are operated as a single ETC.</w:t>
      </w:r>
    </w:p>
    <w:p>
      <w:pPr>
        <w:spacing w:after="0" w:line="26" w:lineRule="exact"/>
        <w:rPr>
          <w:rFonts w:ascii="Times New Roman" w:cs="Times New Roman" w:eastAsia="Times New Roman" w:hAnsi="Times New Roman"/>
          <w:sz w:val="10"/>
          <w:szCs w:val="10"/>
          <w:color w:val="auto"/>
          <w:vertAlign w:val="superscript"/>
        </w:rPr>
      </w:pPr>
    </w:p>
    <w:p>
      <w:pPr>
        <w:ind w:left="140" w:right="120" w:hanging="133"/>
        <w:spacing w:after="0" w:line="255" w:lineRule="auto"/>
        <w:tabs>
          <w:tab w:leader="none" w:pos="102"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This schedule does not include (i) our leasehold assets on cinemas under leased-facility model, (ii) those portion of the owned assets that are not income-producing or purely used for administrative purposes, and (iii) our assets on our legacy business in Philadelphia and New Jersey.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LONG-TERM LEASEHOLD OPERATING PROPERTY</w:t>
      </w:r>
    </w:p>
    <w:p>
      <w:pPr>
        <w:spacing w:after="0" w:line="166"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color w:val="auto"/>
        </w:rPr>
        <w:t>In certain cases, we have long-term leases that we view more akin to real estate investments than cinema leases. As of December 31, 2017, we had approximately 149,000 square foot of space subject to such long-term leases, which are reported as part of our Cinema Exhibition segment, detailed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80" w:type="dxa"/>
            <w:vAlign w:val="bottom"/>
          </w:tcPr>
          <w:p>
            <w:pPr>
              <w:spacing w:after="0"/>
              <w:rPr>
                <w:sz w:val="12"/>
                <w:szCs w:val="12"/>
                <w:color w:val="auto"/>
              </w:rPr>
            </w:pP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Property</w:t>
            </w:r>
          </w:p>
        </w:tc>
        <w:tc>
          <w:tcPr>
            <w:tcW w:w="2260" w:type="dxa"/>
            <w:vAlign w:val="bottom"/>
          </w:tcPr>
          <w:p>
            <w:pPr>
              <w:jc w:val="center"/>
              <w:ind w:left="222"/>
              <w:spacing w:after="0"/>
              <w:rPr>
                <w:sz w:val="20"/>
                <w:szCs w:val="20"/>
                <w:color w:val="auto"/>
              </w:rPr>
            </w:pPr>
            <w:r>
              <w:rPr>
                <w:rFonts w:ascii="Times New Roman" w:cs="Times New Roman" w:eastAsia="Times New Roman" w:hAnsi="Times New Roman"/>
                <w:sz w:val="12"/>
                <w:szCs w:val="12"/>
                <w:b w:val="1"/>
                <w:bCs w:val="1"/>
                <w:color w:val="auto"/>
                <w:w w:val="98"/>
              </w:rPr>
              <w:t>Square Feet of Improvements</w:t>
            </w:r>
          </w:p>
        </w:tc>
        <w:tc>
          <w:tcPr>
            <w:tcW w:w="1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Percentage Leased</w:t>
            </w:r>
            <w:r>
              <w:rPr>
                <w:rFonts w:ascii="Times New Roman" w:cs="Times New Roman" w:eastAsia="Times New Roman" w:hAnsi="Times New Roman"/>
                <w:sz w:val="5"/>
                <w:szCs w:val="5"/>
                <w:b w:val="1"/>
                <w:bCs w:val="1"/>
                <w:color w:val="auto"/>
              </w:rPr>
              <w:t>(2)</w:t>
            </w:r>
          </w:p>
        </w:tc>
        <w:tc>
          <w:tcPr>
            <w:tcW w:w="140" w:type="dxa"/>
            <w:vAlign w:val="bottom"/>
          </w:tcPr>
          <w:p>
            <w:pPr>
              <w:spacing w:after="0"/>
              <w:rPr>
                <w:sz w:val="12"/>
                <w:szCs w:val="12"/>
                <w:color w:val="auto"/>
              </w:rPr>
            </w:pPr>
          </w:p>
        </w:tc>
        <w:tc>
          <w:tcPr>
            <w:tcW w:w="1080" w:type="dxa"/>
            <w:vAlign w:val="bottom"/>
          </w:tcPr>
          <w:p>
            <w:pPr>
              <w:jc w:val="right"/>
              <w:ind w:right="164"/>
              <w:spacing w:after="0"/>
              <w:rPr>
                <w:sz w:val="20"/>
                <w:szCs w:val="20"/>
                <w:color w:val="auto"/>
              </w:rPr>
            </w:pPr>
            <w:r>
              <w:rPr>
                <w:rFonts w:ascii="Times New Roman" w:cs="Times New Roman" w:eastAsia="Times New Roman" w:hAnsi="Times New Roman"/>
                <w:sz w:val="12"/>
                <w:szCs w:val="12"/>
                <w:b w:val="1"/>
                <w:bCs w:val="1"/>
                <w:i w:val="1"/>
                <w:iCs w:val="1"/>
                <w:color w:val="auto"/>
                <w:w w:val="99"/>
              </w:rPr>
              <w:t>Net Book Value</w:t>
            </w:r>
            <w:r>
              <w:rPr>
                <w:rFonts w:ascii="Times New Roman" w:cs="Times New Roman" w:eastAsia="Times New Roman" w:hAnsi="Times New Roman"/>
                <w:sz w:val="5"/>
                <w:szCs w:val="5"/>
                <w:b w:val="1"/>
                <w:bCs w:val="1"/>
                <w:i w:val="1"/>
                <w:iCs w:val="1"/>
                <w:color w:val="auto"/>
                <w:w w:val="99"/>
              </w:rPr>
              <w:t>(3)</w:t>
            </w:r>
          </w:p>
        </w:tc>
        <w:tc>
          <w:tcPr>
            <w:tcW w:w="0" w:type="dxa"/>
            <w:vAlign w:val="bottom"/>
          </w:tcPr>
          <w:p>
            <w:pPr>
              <w:spacing w:after="0"/>
              <w:rPr>
                <w:sz w:val="1"/>
                <w:szCs w:val="1"/>
                <w:color w:val="auto"/>
              </w:rPr>
            </w:pPr>
          </w:p>
        </w:tc>
      </w:tr>
      <w:tr>
        <w:trPr>
          <w:trHeight w:val="121"/>
        </w:trPr>
        <w:tc>
          <w:tcPr>
            <w:tcW w:w="4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tcBorders>
          </w:tcPr>
          <w:p>
            <w:pPr>
              <w:jc w:val="center"/>
              <w:ind w:left="222"/>
              <w:spacing w:after="0" w:line="120" w:lineRule="exact"/>
              <w:rPr>
                <w:sz w:val="20"/>
                <w:szCs w:val="20"/>
                <w:color w:val="auto"/>
              </w:rPr>
            </w:pPr>
            <w:r>
              <w:rPr>
                <w:rFonts w:ascii="Times New Roman" w:cs="Times New Roman" w:eastAsia="Times New Roman" w:hAnsi="Times New Roman"/>
                <w:sz w:val="12"/>
                <w:szCs w:val="12"/>
                <w:b w:val="1"/>
                <w:bCs w:val="1"/>
                <w:color w:val="auto"/>
                <w:w w:val="97"/>
              </w:rPr>
              <w:t>(rental/entertainment)</w:t>
            </w:r>
            <w:r>
              <w:rPr>
                <w:rFonts w:ascii="Times New Roman" w:cs="Times New Roman" w:eastAsia="Times New Roman" w:hAnsi="Times New Roman"/>
                <w:sz w:val="5"/>
                <w:szCs w:val="5"/>
                <w:b w:val="1"/>
                <w:bCs w:val="1"/>
                <w:color w:val="auto"/>
                <w:w w:val="97"/>
              </w:rPr>
              <w:t>(1)</w:t>
            </w:r>
          </w:p>
        </w:tc>
        <w:tc>
          <w:tcPr>
            <w:tcW w:w="14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9"/>
                <w:szCs w:val="9"/>
                <w:i w:val="1"/>
                <w:iCs w:val="1"/>
                <w:color w:val="auto"/>
                <w:w w:val="94"/>
              </w:rPr>
              <w:t>(US Dollars in thousands)</w:t>
            </w: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In United States</w:t>
            </w:r>
          </w:p>
        </w:tc>
        <w:tc>
          <w:tcPr>
            <w:tcW w:w="2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8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w:t>
            </w:r>
          </w:p>
        </w:tc>
        <w:tc>
          <w:tcPr>
            <w:tcW w:w="1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Village East</w:t>
            </w:r>
            <w:r>
              <w:rPr>
                <w:rFonts w:ascii="Times New Roman" w:cs="Times New Roman" w:eastAsia="Times New Roman" w:hAnsi="Times New Roman"/>
                <w:sz w:val="5"/>
                <w:szCs w:val="5"/>
                <w:color w:val="auto"/>
              </w:rPr>
              <w:t>(4)</w:t>
            </w:r>
          </w:p>
        </w:tc>
        <w:tc>
          <w:tcPr>
            <w:tcW w:w="2260" w:type="dxa"/>
            <w:vAlign w:val="bottom"/>
          </w:tcPr>
          <w:p>
            <w:pPr>
              <w:jc w:val="center"/>
              <w:ind w:left="222"/>
              <w:spacing w:after="0"/>
              <w:rPr>
                <w:sz w:val="20"/>
                <w:szCs w:val="20"/>
                <w:color w:val="auto"/>
              </w:rPr>
            </w:pPr>
            <w:r>
              <w:rPr>
                <w:rFonts w:ascii="Times New Roman" w:cs="Times New Roman" w:eastAsia="Times New Roman" w:hAnsi="Times New Roman"/>
                <w:sz w:val="12"/>
                <w:szCs w:val="12"/>
                <w:color w:val="auto"/>
                <w:w w:val="95"/>
              </w:rPr>
              <w:t>4,000 / 38,000</w:t>
            </w:r>
          </w:p>
        </w:tc>
        <w:tc>
          <w:tcPr>
            <w:tcW w:w="1440" w:type="dxa"/>
            <w:vAlign w:val="bottom"/>
          </w:tcPr>
          <w:p>
            <w:pPr>
              <w:jc w:val="center"/>
              <w:ind w:left="162"/>
              <w:spacing w:after="0"/>
              <w:rPr>
                <w:sz w:val="20"/>
                <w:szCs w:val="20"/>
                <w:color w:val="auto"/>
              </w:rPr>
            </w:pPr>
            <w:r>
              <w:rPr>
                <w:rFonts w:ascii="Times New Roman" w:cs="Times New Roman" w:eastAsia="Times New Roman" w:hAnsi="Times New Roman"/>
                <w:sz w:val="12"/>
                <w:szCs w:val="12"/>
                <w:color w:val="auto"/>
                <w:w w:val="92"/>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5,327</w:t>
            </w:r>
          </w:p>
        </w:tc>
        <w:tc>
          <w:tcPr>
            <w:tcW w:w="0" w:type="dxa"/>
            <w:vAlign w:val="bottom"/>
          </w:tcPr>
          <w:p>
            <w:pPr>
              <w:spacing w:after="0"/>
              <w:rPr>
                <w:sz w:val="1"/>
                <w:szCs w:val="1"/>
                <w:color w:val="auto"/>
              </w:rPr>
            </w:pPr>
          </w:p>
        </w:tc>
      </w:tr>
      <w:tr>
        <w:trPr>
          <w:trHeight w:val="141"/>
        </w:trPr>
        <w:tc>
          <w:tcPr>
            <w:tcW w:w="4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2</w:t>
            </w:r>
          </w:p>
        </w:tc>
        <w:tc>
          <w:tcPr>
            <w:tcW w:w="1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Manville</w:t>
            </w:r>
          </w:p>
        </w:tc>
        <w:tc>
          <w:tcPr>
            <w:tcW w:w="226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2"/>
                <w:szCs w:val="12"/>
                <w:color w:val="auto"/>
                <w:w w:val="95"/>
              </w:rPr>
              <w:t>0 / 46,000</w:t>
            </w:r>
          </w:p>
        </w:tc>
        <w:tc>
          <w:tcPr>
            <w:tcW w:w="1440" w:type="dxa"/>
            <w:vAlign w:val="bottom"/>
            <w:shd w:val="clear" w:color="auto" w:fill="CCEEFF"/>
          </w:tcPr>
          <w:p>
            <w:pPr>
              <w:jc w:val="center"/>
              <w:ind w:left="162"/>
              <w:spacing w:after="0"/>
              <w:rPr>
                <w:sz w:val="20"/>
                <w:szCs w:val="20"/>
                <w:color w:val="auto"/>
              </w:rPr>
            </w:pPr>
            <w:r>
              <w:rPr>
                <w:rFonts w:ascii="Times New Roman" w:cs="Times New Roman" w:eastAsia="Times New Roman" w:hAnsi="Times New Roman"/>
                <w:sz w:val="12"/>
                <w:szCs w:val="12"/>
                <w:i w:val="1"/>
                <w:iCs w:val="1"/>
                <w:color w:val="auto"/>
                <w:w w:val="90"/>
              </w:rPr>
              <w:t>n/a</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3,076</w:t>
            </w:r>
          </w:p>
        </w:tc>
        <w:tc>
          <w:tcPr>
            <w:tcW w:w="0" w:type="dxa"/>
            <w:vAlign w:val="bottom"/>
          </w:tcPr>
          <w:p>
            <w:pPr>
              <w:spacing w:after="0"/>
              <w:rPr>
                <w:sz w:val="1"/>
                <w:szCs w:val="1"/>
                <w:color w:val="auto"/>
              </w:rPr>
            </w:pPr>
          </w:p>
        </w:tc>
      </w:tr>
      <w:tr>
        <w:trPr>
          <w:trHeight w:val="141"/>
        </w:trPr>
        <w:tc>
          <w:tcPr>
            <w:tcW w:w="48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3</w:t>
            </w:r>
          </w:p>
        </w:tc>
        <w:tc>
          <w:tcPr>
            <w:tcW w:w="1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Tower</w:t>
            </w:r>
          </w:p>
        </w:tc>
        <w:tc>
          <w:tcPr>
            <w:tcW w:w="2260" w:type="dxa"/>
            <w:vAlign w:val="bottom"/>
          </w:tcPr>
          <w:p>
            <w:pPr>
              <w:jc w:val="center"/>
              <w:ind w:left="222"/>
              <w:spacing w:after="0"/>
              <w:rPr>
                <w:sz w:val="20"/>
                <w:szCs w:val="20"/>
                <w:color w:val="auto"/>
              </w:rPr>
            </w:pPr>
            <w:r>
              <w:rPr>
                <w:rFonts w:ascii="Times New Roman" w:cs="Times New Roman" w:eastAsia="Times New Roman" w:hAnsi="Times New Roman"/>
                <w:sz w:val="12"/>
                <w:szCs w:val="12"/>
                <w:color w:val="auto"/>
                <w:w w:val="95"/>
              </w:rPr>
              <w:t>0 / 17,000</w:t>
            </w:r>
          </w:p>
        </w:tc>
        <w:tc>
          <w:tcPr>
            <w:tcW w:w="1440" w:type="dxa"/>
            <w:vAlign w:val="bottom"/>
          </w:tcPr>
          <w:p>
            <w:pPr>
              <w:jc w:val="center"/>
              <w:ind w:left="162"/>
              <w:spacing w:after="0"/>
              <w:rPr>
                <w:sz w:val="20"/>
                <w:szCs w:val="20"/>
                <w:color w:val="auto"/>
              </w:rPr>
            </w:pPr>
            <w:r>
              <w:rPr>
                <w:rFonts w:ascii="Times New Roman" w:cs="Times New Roman" w:eastAsia="Times New Roman" w:hAnsi="Times New Roman"/>
                <w:sz w:val="12"/>
                <w:szCs w:val="12"/>
                <w:i w:val="1"/>
                <w:iCs w:val="1"/>
                <w:color w:val="auto"/>
                <w:w w:val="90"/>
              </w:rPr>
              <w:t>n/a</w:t>
            </w:r>
          </w:p>
        </w:tc>
        <w:tc>
          <w:tcPr>
            <w:tcW w:w="140" w:type="dxa"/>
            <w:vAlign w:val="bottom"/>
          </w:tcPr>
          <w:p>
            <w:pPr>
              <w:spacing w:after="0"/>
              <w:rPr>
                <w:sz w:val="12"/>
                <w:szCs w:val="12"/>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 Australia</w:t>
            </w:r>
          </w:p>
        </w:tc>
        <w:tc>
          <w:tcPr>
            <w:tcW w:w="2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8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12"/>
                <w:szCs w:val="12"/>
                <w:color w:val="auto"/>
              </w:rPr>
              <w:t>1</w:t>
            </w:r>
          </w:p>
        </w:tc>
        <w:tc>
          <w:tcPr>
            <w:tcW w:w="1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Waurn Ponds</w:t>
            </w:r>
          </w:p>
        </w:tc>
        <w:tc>
          <w:tcPr>
            <w:tcW w:w="2260" w:type="dxa"/>
            <w:vAlign w:val="bottom"/>
            <w:tcBorders>
              <w:bottom w:val="single" w:sz="8" w:color="CCEEFF"/>
            </w:tcBorders>
          </w:tcPr>
          <w:p>
            <w:pPr>
              <w:jc w:val="center"/>
              <w:ind w:left="222"/>
              <w:spacing w:after="0"/>
              <w:rPr>
                <w:sz w:val="20"/>
                <w:szCs w:val="20"/>
                <w:color w:val="auto"/>
              </w:rPr>
            </w:pPr>
            <w:r>
              <w:rPr>
                <w:rFonts w:ascii="Times New Roman" w:cs="Times New Roman" w:eastAsia="Times New Roman" w:hAnsi="Times New Roman"/>
                <w:sz w:val="12"/>
                <w:szCs w:val="12"/>
                <w:color w:val="auto"/>
                <w:w w:val="95"/>
              </w:rPr>
              <w:t>6,000 / 38,000</w:t>
            </w:r>
          </w:p>
        </w:tc>
        <w:tc>
          <w:tcPr>
            <w:tcW w:w="1440" w:type="dxa"/>
            <w:vAlign w:val="bottom"/>
            <w:tcBorders>
              <w:bottom w:val="single" w:sz="8" w:color="CCEEFF"/>
            </w:tcBorders>
          </w:tcPr>
          <w:p>
            <w:pPr>
              <w:jc w:val="center"/>
              <w:ind w:left="162"/>
              <w:spacing w:after="0"/>
              <w:rPr>
                <w:sz w:val="20"/>
                <w:szCs w:val="20"/>
                <w:color w:val="auto"/>
              </w:rPr>
            </w:pPr>
            <w:r>
              <w:rPr>
                <w:rFonts w:ascii="Times New Roman" w:cs="Times New Roman" w:eastAsia="Times New Roman" w:hAnsi="Times New Roman"/>
                <w:sz w:val="12"/>
                <w:szCs w:val="12"/>
                <w:color w:val="auto"/>
                <w:w w:val="92"/>
              </w:rPr>
              <w:t>100%</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0" w:type="dxa"/>
            <w:vAlign w:val="bottom"/>
          </w:tcPr>
          <w:p>
            <w:pPr>
              <w:spacing w:after="0"/>
              <w:rPr>
                <w:sz w:val="1"/>
                <w:szCs w:val="1"/>
                <w:color w:val="auto"/>
              </w:rPr>
            </w:pPr>
          </w:p>
        </w:tc>
      </w:tr>
      <w:tr>
        <w:trPr>
          <w:trHeight w:val="113"/>
        </w:trPr>
        <w:tc>
          <w:tcPr>
            <w:tcW w:w="480" w:type="dxa"/>
            <w:vAlign w:val="bottom"/>
            <w:tcBorders>
              <w:bottom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TOTAL</w:t>
            </w:r>
          </w:p>
        </w:tc>
        <w:tc>
          <w:tcPr>
            <w:tcW w:w="1220" w:type="dxa"/>
            <w:vAlign w:val="bottom"/>
            <w:tcBorders>
              <w:bottom w:val="single" w:sz="8" w:color="CCEEFF"/>
            </w:tcBorders>
            <w:shd w:val="clear" w:color="auto" w:fill="CCEEFF"/>
          </w:tcPr>
          <w:p>
            <w:pPr>
              <w:spacing w:after="0"/>
              <w:rPr>
                <w:sz w:val="9"/>
                <w:szCs w:val="9"/>
                <w:color w:val="auto"/>
              </w:rPr>
            </w:pPr>
          </w:p>
        </w:tc>
        <w:tc>
          <w:tcPr>
            <w:tcW w:w="2260" w:type="dxa"/>
            <w:vAlign w:val="bottom"/>
            <w:tcBorders>
              <w:bottom w:val="single" w:sz="8" w:color="CCEEFF"/>
            </w:tcBorders>
            <w:shd w:val="clear" w:color="auto" w:fill="CCEEFF"/>
          </w:tcPr>
          <w:p>
            <w:pPr>
              <w:spacing w:after="0"/>
              <w:rPr>
                <w:sz w:val="9"/>
                <w:szCs w:val="9"/>
                <w:color w:val="auto"/>
              </w:rPr>
            </w:pPr>
          </w:p>
        </w:tc>
        <w:tc>
          <w:tcPr>
            <w:tcW w:w="14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rPr>
              <w:t>8,818</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40" w:right="440" w:hanging="133"/>
        <w:spacing w:after="0" w:line="261" w:lineRule="auto"/>
        <w:tabs>
          <w:tab w:leader="none" w:pos="97" w:val="left"/>
        </w:tabs>
        <w:numPr>
          <w:ilvl w:val="0"/>
          <w:numId w:val="22"/>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100" w:hanging="93"/>
        <w:spacing w:after="0"/>
        <w:tabs>
          <w:tab w:leader="none" w:pos="100" w:val="left"/>
        </w:tabs>
        <w:numPr>
          <w:ilvl w:val="0"/>
          <w:numId w:val="22"/>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Represents the percentage of rental square footage currently leased to third parties.</w:t>
      </w:r>
    </w:p>
    <w:p>
      <w:pPr>
        <w:spacing w:after="0" w:line="4" w:lineRule="exact"/>
        <w:rPr>
          <w:rFonts w:ascii="Times New Roman" w:cs="Times New Roman" w:eastAsia="Times New Roman" w:hAnsi="Times New Roman"/>
          <w:sz w:val="10"/>
          <w:szCs w:val="10"/>
          <w:color w:val="auto"/>
          <w:vertAlign w:val="superscript"/>
        </w:rPr>
      </w:pPr>
    </w:p>
    <w:p>
      <w:pPr>
        <w:ind w:left="100" w:hanging="93"/>
        <w:spacing w:after="0"/>
        <w:tabs>
          <w:tab w:leader="none" w:pos="100" w:val="left"/>
        </w:tabs>
        <w:numPr>
          <w:ilvl w:val="0"/>
          <w:numId w:val="22"/>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Refers to the net carrying value of the leasehold property presented as “Operating Property” in our Consolidated Balance Sheet as of December 31, 2017 (net of any impairments recorded).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296" w:right="739" w:bottom="1440" w:gutter="0" w:footer="0" w:header="0"/>
        </w:sectPr>
      </w:pPr>
    </w:p>
    <w:bookmarkStart w:id="30" w:name="page31"/>
    <w:bookmarkEnd w:id="30"/>
    <w:p>
      <w:pPr>
        <w:ind w:left="140" w:right="180" w:hanging="133"/>
        <w:spacing w:after="0" w:line="269" w:lineRule="auto"/>
        <w:tabs>
          <w:tab w:leader="none" w:pos="97" w:val="left"/>
        </w:tabs>
        <w:numPr>
          <w:ilvl w:val="0"/>
          <w:numId w:val="23"/>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 xml:space="preserve">The lease of the Village East provides for a call option pursuant to which Reading may purchase the cinema ground lease for $5.9 million at the end of the lease term in 2020. Additionally, the lease has a put option pursuant to which SHC may require Reading to purchase all or a portion of SHC's interest in the existing cinema lease and the cinema ground lease at any time between July 1, 2013 and December 4, 2019. See </w:t>
      </w:r>
      <w:r>
        <w:rPr>
          <w:rFonts w:ascii="Times New Roman" w:cs="Times New Roman" w:eastAsia="Times New Roman" w:hAnsi="Times New Roman"/>
          <w:sz w:val="9"/>
          <w:szCs w:val="9"/>
          <w:i w:val="1"/>
          <w:iCs w:val="1"/>
          <w:color w:val="auto"/>
        </w:rPr>
        <w:t>Note 18</w:t>
      </w:r>
      <w:r>
        <w:rPr>
          <w:rFonts w:ascii="Times New Roman" w:cs="Times New Roman" w:eastAsia="Times New Roman" w:hAnsi="Times New Roman"/>
          <w:sz w:val="9"/>
          <w:szCs w:val="9"/>
          <w:color w:val="auto"/>
        </w:rPr>
        <w:t xml:space="preserve"> – </w:t>
      </w:r>
      <w:r>
        <w:rPr>
          <w:rFonts w:ascii="Times New Roman" w:cs="Times New Roman" w:eastAsia="Times New Roman" w:hAnsi="Times New Roman"/>
          <w:sz w:val="9"/>
          <w:szCs w:val="9"/>
          <w:i w:val="1"/>
          <w:iCs w:val="1"/>
          <w:color w:val="auto"/>
        </w:rPr>
        <w:t>Related Party Transactions</w:t>
      </w:r>
      <w:r>
        <w:rPr>
          <w:rFonts w:ascii="Times New Roman" w:cs="Times New Roman" w:eastAsia="Times New Roman" w:hAnsi="Times New Roman"/>
          <w:sz w:val="9"/>
          <w:szCs w:val="9"/>
          <w:color w:val="auto"/>
        </w:rPr>
        <w:t xml:space="preserve"> to our 2017 consolidated financial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AND DEVELOPMENT PROPERTY</w:t>
      </w:r>
    </w:p>
    <w:p>
      <w:pPr>
        <w:spacing w:after="0" w:line="15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4"/>
          <w:szCs w:val="14"/>
          <w:color w:val="auto"/>
        </w:rPr>
        <w:t>We are engaged in several investment and development projects relative to our currently undeveloped parcels of land. In addition, we are currently executing, or still pursuing to execute, our redevelopment plans on several of our existing developed properties to take them to their highest and best use. The following table summarizes our investment and development projects as of December 31,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2"/>
                <w:szCs w:val="12"/>
                <w:b w:val="1"/>
                <w:bCs w:val="1"/>
                <w:color w:val="auto"/>
                <w:w w:val="97"/>
              </w:rPr>
              <w:t>Net Book Value</w:t>
            </w:r>
            <w:r>
              <w:rPr>
                <w:rFonts w:ascii="Times New Roman" w:cs="Times New Roman" w:eastAsia="Times New Roman" w:hAnsi="Times New Roman"/>
                <w:sz w:val="5"/>
                <w:szCs w:val="5"/>
                <w:b w:val="1"/>
                <w:bCs w:val="1"/>
                <w:color w:val="auto"/>
                <w:w w:val="97"/>
              </w:rPr>
              <w:t>(2)</w:t>
            </w: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Property</w:t>
            </w:r>
            <w:r>
              <w:rPr>
                <w:rFonts w:ascii="Times New Roman" w:cs="Times New Roman" w:eastAsia="Times New Roman" w:hAnsi="Times New Roman"/>
                <w:sz w:val="5"/>
                <w:szCs w:val="5"/>
                <w:b w:val="1"/>
                <w:bCs w:val="1"/>
                <w:color w:val="auto"/>
              </w:rPr>
              <w:t>(1)</w:t>
            </w:r>
          </w:p>
        </w:tc>
        <w:tc>
          <w:tcPr>
            <w:tcW w:w="2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Acreage</w:t>
            </w:r>
          </w:p>
        </w:tc>
        <w:tc>
          <w:tcPr>
            <w:tcW w:w="100" w:type="dxa"/>
            <w:vAlign w:val="bottom"/>
          </w:tcPr>
          <w:p>
            <w:pPr>
              <w:spacing w:after="0"/>
              <w:rPr>
                <w:sz w:val="10"/>
                <w:szCs w:val="10"/>
                <w:color w:val="auto"/>
              </w:rPr>
            </w:pPr>
          </w:p>
        </w:tc>
        <w:tc>
          <w:tcPr>
            <w:tcW w:w="1000" w:type="dxa"/>
            <w:vAlign w:val="bottom"/>
          </w:tcPr>
          <w:p>
            <w:pPr>
              <w:jc w:val="center"/>
              <w:ind w:right="65"/>
              <w:spacing w:after="0" w:line="120" w:lineRule="exact"/>
              <w:rPr>
                <w:sz w:val="20"/>
                <w:szCs w:val="20"/>
                <w:color w:val="auto"/>
              </w:rPr>
            </w:pPr>
            <w:r>
              <w:rPr>
                <w:rFonts w:ascii="Times New Roman" w:cs="Times New Roman" w:eastAsia="Times New Roman" w:hAnsi="Times New Roman"/>
                <w:sz w:val="12"/>
                <w:szCs w:val="12"/>
                <w:i w:val="1"/>
                <w:iCs w:val="1"/>
                <w:color w:val="auto"/>
                <w:w w:val="96"/>
              </w:rPr>
              <w:t>(US Dollars in</w:t>
            </w:r>
          </w:p>
        </w:tc>
        <w:tc>
          <w:tcPr>
            <w:tcW w:w="100" w:type="dxa"/>
            <w:vAlign w:val="bottom"/>
          </w:tcPr>
          <w:p>
            <w:pPr>
              <w:spacing w:after="0"/>
              <w:rPr>
                <w:sz w:val="10"/>
                <w:szCs w:val="10"/>
                <w:color w:val="auto"/>
              </w:rPr>
            </w:pPr>
          </w:p>
        </w:tc>
        <w:tc>
          <w:tcPr>
            <w:tcW w:w="4340" w:type="dxa"/>
            <w:vAlign w:val="bottom"/>
            <w:vMerge w:val="restart"/>
          </w:tcPr>
          <w:p>
            <w:pPr>
              <w:ind w:left="2020"/>
              <w:spacing w:after="0"/>
              <w:rPr>
                <w:sz w:val="20"/>
                <w:szCs w:val="20"/>
                <w:color w:val="auto"/>
              </w:rPr>
            </w:pPr>
            <w:r>
              <w:rPr>
                <w:rFonts w:ascii="Times New Roman" w:cs="Times New Roman" w:eastAsia="Times New Roman" w:hAnsi="Times New Roman"/>
                <w:sz w:val="12"/>
                <w:szCs w:val="12"/>
                <w:b w:val="1"/>
                <w:bCs w:val="1"/>
                <w:color w:val="auto"/>
              </w:rPr>
              <w:t>Status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5"/>
              <w:spacing w:after="0"/>
              <w:rPr>
                <w:sz w:val="20"/>
                <w:szCs w:val="20"/>
                <w:color w:val="auto"/>
              </w:rPr>
            </w:pPr>
            <w:r>
              <w:rPr>
                <w:rFonts w:ascii="Times New Roman" w:cs="Times New Roman" w:eastAsia="Times New Roman" w:hAnsi="Times New Roman"/>
                <w:sz w:val="12"/>
                <w:szCs w:val="12"/>
                <w:i w:val="1"/>
                <w:iCs w:val="1"/>
                <w:color w:val="auto"/>
                <w:w w:val="94"/>
              </w:rPr>
              <w:t>thousands)</w:t>
            </w:r>
          </w:p>
        </w:tc>
        <w:tc>
          <w:tcPr>
            <w:tcW w:w="100" w:type="dxa"/>
            <w:vAlign w:val="bottom"/>
          </w:tcPr>
          <w:p>
            <w:pPr>
              <w:spacing w:after="0"/>
              <w:rPr>
                <w:sz w:val="12"/>
                <w:szCs w:val="12"/>
                <w:color w:val="auto"/>
              </w:rPr>
            </w:pPr>
          </w:p>
        </w:tc>
        <w:tc>
          <w:tcPr>
            <w:tcW w:w="4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Borders>
              <w:top w:val="single" w:sz="8" w:color="auto"/>
            </w:tcBorders>
            <w:gridSpan w:val="4"/>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United States</w:t>
            </w:r>
          </w:p>
        </w:tc>
        <w:tc>
          <w:tcPr>
            <w:tcW w:w="120" w:type="dxa"/>
            <w:vAlign w:val="bottom"/>
          </w:tcPr>
          <w:p>
            <w:pPr>
              <w:spacing w:after="0"/>
              <w:rPr>
                <w:sz w:val="9"/>
                <w:szCs w:val="9"/>
                <w:color w:val="auto"/>
              </w:rPr>
            </w:pPr>
          </w:p>
        </w:tc>
        <w:tc>
          <w:tcPr>
            <w:tcW w:w="2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3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440" w:type="dxa"/>
            <w:vAlign w:val="bottom"/>
            <w:shd w:val="clear" w:color="auto" w:fill="CCEEFF"/>
          </w:tcPr>
          <w:p>
            <w:pPr>
              <w:jc w:val="right"/>
              <w:ind w:right="105"/>
              <w:spacing w:after="0" w:line="102"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8"/>
                <w:szCs w:val="8"/>
                <w:color w:val="auto"/>
              </w:rPr>
            </w:pPr>
          </w:p>
        </w:tc>
        <w:tc>
          <w:tcPr>
            <w:tcW w:w="1600" w:type="dxa"/>
            <w:vAlign w:val="bottom"/>
            <w:gridSpan w:val="3"/>
            <w:shd w:val="clear" w:color="auto" w:fill="CCEEFF"/>
          </w:tcPr>
          <w:p>
            <w:pPr>
              <w:ind w:left="40"/>
              <w:spacing w:after="0" w:line="102" w:lineRule="exact"/>
              <w:rPr>
                <w:sz w:val="20"/>
                <w:szCs w:val="20"/>
                <w:color w:val="auto"/>
              </w:rPr>
            </w:pPr>
            <w:r>
              <w:rPr>
                <w:rFonts w:ascii="Times New Roman" w:cs="Times New Roman" w:eastAsia="Times New Roman" w:hAnsi="Times New Roman"/>
                <w:sz w:val="10"/>
                <w:szCs w:val="10"/>
                <w:color w:val="auto"/>
              </w:rPr>
              <w:t>Union Square Theatre</w:t>
            </w:r>
          </w:p>
        </w:tc>
        <w:tc>
          <w:tcPr>
            <w:tcW w:w="2660" w:type="dxa"/>
            <w:vAlign w:val="bottom"/>
            <w:shd w:val="clear" w:color="auto" w:fill="CCEEFF"/>
          </w:tcPr>
          <w:p>
            <w:pPr>
              <w:jc w:val="center"/>
              <w:spacing w:after="0" w:line="102" w:lineRule="exact"/>
              <w:rPr>
                <w:sz w:val="20"/>
                <w:szCs w:val="20"/>
                <w:color w:val="auto"/>
              </w:rPr>
            </w:pPr>
            <w:r>
              <w:rPr>
                <w:rFonts w:ascii="Times New Roman" w:cs="Times New Roman" w:eastAsia="Times New Roman" w:hAnsi="Times New Roman"/>
                <w:sz w:val="10"/>
                <w:szCs w:val="10"/>
                <w:color w:val="auto"/>
              </w:rPr>
              <w:t>0.08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36,013</w:t>
            </w: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0"/>
                <w:szCs w:val="10"/>
                <w:color w:val="auto"/>
              </w:rPr>
              <w:t>We closed down the live theatre business and terminated third party retail tenants in order to</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actively pursue the redevelopment of this property. Construction phase began and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construction financing was obtained during 2016, and we anticipate this redevelopment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7"/>
              </w:rPr>
              <w:t>project will be substantially completed by third quarter of 2018. The net book value of $36.0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million represents historic cost plus capital expenditures through December 31,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tcPr>
          <w:p>
            <w:pPr>
              <w:spacing w:after="0"/>
              <w:rPr>
                <w:sz w:val="12"/>
                <w:szCs w:val="12"/>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Coachella, CA</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202.39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4,318</w:t>
            </w:r>
          </w:p>
        </w:tc>
        <w:tc>
          <w:tcPr>
            <w:tcW w:w="100" w:type="dxa"/>
            <w:vAlign w:val="bottom"/>
          </w:tcPr>
          <w:p>
            <w:pPr>
              <w:spacing w:after="0"/>
              <w:rPr>
                <w:sz w:val="12"/>
                <w:szCs w:val="12"/>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We continue to evaluate our options with regards to this property.</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8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w w:val="95"/>
              </w:rPr>
              <w:t>Australia</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Borders>
              <w:top w:val="single" w:sz="8" w:color="auto"/>
            </w:tcBorders>
          </w:tcPr>
          <w:p>
            <w:pPr>
              <w:jc w:val="right"/>
              <w:ind w:right="105"/>
              <w:spacing w:after="0" w:line="102"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tcBorders>
              <w:top w:val="single" w:sz="8" w:color="CCEEFF"/>
            </w:tcBorders>
          </w:tcPr>
          <w:p>
            <w:pPr>
              <w:spacing w:after="0"/>
              <w:rPr>
                <w:sz w:val="8"/>
                <w:szCs w:val="8"/>
                <w:color w:val="auto"/>
              </w:rPr>
            </w:pPr>
          </w:p>
        </w:tc>
        <w:tc>
          <w:tcPr>
            <w:tcW w:w="1600" w:type="dxa"/>
            <w:vAlign w:val="bottom"/>
            <w:tcBorders>
              <w:top w:val="single" w:sz="8" w:color="CCEEFF"/>
            </w:tcBorders>
            <w:gridSpan w:val="3"/>
          </w:tcPr>
          <w:p>
            <w:pPr>
              <w:ind w:left="40"/>
              <w:spacing w:after="0" w:line="102" w:lineRule="exact"/>
              <w:rPr>
                <w:sz w:val="20"/>
                <w:szCs w:val="20"/>
                <w:color w:val="auto"/>
              </w:rPr>
            </w:pPr>
            <w:r>
              <w:rPr>
                <w:rFonts w:ascii="Times New Roman" w:cs="Times New Roman" w:eastAsia="Times New Roman" w:hAnsi="Times New Roman"/>
                <w:sz w:val="10"/>
                <w:szCs w:val="10"/>
                <w:color w:val="auto"/>
              </w:rPr>
              <w:t>Auburn, Sydney, New South</w:t>
            </w:r>
          </w:p>
        </w:tc>
        <w:tc>
          <w:tcPr>
            <w:tcW w:w="2660" w:type="dxa"/>
            <w:vAlign w:val="bottom"/>
            <w:tcBorders>
              <w:top w:val="single" w:sz="8" w:color="CCEEFF"/>
            </w:tcBorders>
          </w:tcPr>
          <w:p>
            <w:pPr>
              <w:jc w:val="center"/>
              <w:spacing w:after="0" w:line="102" w:lineRule="exact"/>
              <w:rPr>
                <w:sz w:val="20"/>
                <w:szCs w:val="20"/>
                <w:color w:val="auto"/>
              </w:rPr>
            </w:pPr>
            <w:r>
              <w:rPr>
                <w:rFonts w:ascii="Times New Roman" w:cs="Times New Roman" w:eastAsia="Times New Roman" w:hAnsi="Times New Roman"/>
                <w:sz w:val="10"/>
                <w:szCs w:val="10"/>
                <w:color w:val="auto"/>
              </w:rPr>
              <w:t>2.62</w:t>
            </w: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00" w:type="dxa"/>
            <w:vAlign w:val="bottom"/>
            <w:tcBorders>
              <w:top w:val="single" w:sz="8" w:color="CCEEFF"/>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1,584</w:t>
            </w:r>
          </w:p>
        </w:tc>
        <w:tc>
          <w:tcPr>
            <w:tcW w:w="100" w:type="dxa"/>
            <w:vAlign w:val="bottom"/>
            <w:tcBorders>
              <w:top w:val="single" w:sz="8" w:color="CCEEFF"/>
            </w:tcBorders>
          </w:tcPr>
          <w:p>
            <w:pPr>
              <w:spacing w:after="0"/>
              <w:rPr>
                <w:sz w:val="8"/>
                <w:szCs w:val="8"/>
                <w:color w:val="auto"/>
              </w:rPr>
            </w:pPr>
          </w:p>
        </w:tc>
        <w:tc>
          <w:tcPr>
            <w:tcW w:w="4340" w:type="dxa"/>
            <w:vAlign w:val="bottom"/>
            <w:tcBorders>
              <w:top w:val="single" w:sz="8" w:color="CCEEFF"/>
            </w:tcBorders>
          </w:tcPr>
          <w:p>
            <w:pPr>
              <w:spacing w:after="0" w:line="102" w:lineRule="exact"/>
              <w:rPr>
                <w:sz w:val="20"/>
                <w:szCs w:val="20"/>
                <w:color w:val="auto"/>
              </w:rPr>
            </w:pPr>
            <w:r>
              <w:rPr>
                <w:rFonts w:ascii="Times New Roman" w:cs="Times New Roman" w:eastAsia="Times New Roman" w:hAnsi="Times New Roman"/>
                <w:sz w:val="10"/>
                <w:szCs w:val="10"/>
                <w:color w:val="auto"/>
              </w:rPr>
              <w:t>We have commenced the development of the next phase of this property. In 2015 and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tcPr>
          <w:p>
            <w:pPr>
              <w:ind w:left="40"/>
              <w:spacing w:after="0" w:line="120" w:lineRule="exact"/>
              <w:rPr>
                <w:sz w:val="20"/>
                <w:szCs w:val="20"/>
                <w:color w:val="auto"/>
              </w:rPr>
            </w:pPr>
            <w:r>
              <w:rPr>
                <w:rFonts w:ascii="Times New Roman" w:cs="Times New Roman" w:eastAsia="Times New Roman" w:hAnsi="Times New Roman"/>
                <w:sz w:val="12"/>
                <w:szCs w:val="12"/>
                <w:color w:val="auto"/>
              </w:rPr>
              <w:t>Wales</w:t>
            </w: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we entered into agreements to lease approximately 15,500 square feet of to-be-built retail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w w:val="98"/>
              </w:rPr>
              <w:t>space. Two (2) newly constructed retailers (Intersport and MCMD) opened during the third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quarter of 2016, one (1) (Chicago Jones Cafe) opened in March 2017 and two</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w w:val="97"/>
              </w:rPr>
              <w:t>restaurants opened at the end of 2017.  The center has approximately 118,000 square feet of</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land area available for development.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Borders>
              <w:bottom w:val="single" w:sz="8" w:color="auto"/>
            </w:tcBorders>
            <w:gridSpan w:val="3"/>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w w:val="91"/>
              </w:rPr>
              <w:t>New Zealand</w:t>
            </w:r>
          </w:p>
        </w:tc>
        <w:tc>
          <w:tcPr>
            <w:tcW w:w="1440" w:type="dxa"/>
            <w:vAlign w:val="bottom"/>
            <w:tcBorders>
              <w:bottom w:val="single" w:sz="8" w:color="CCEEFF"/>
            </w:tcBorders>
            <w:gridSpan w:val="2"/>
            <w:shd w:val="clear" w:color="auto" w:fill="CCEEFF"/>
          </w:tcPr>
          <w:p>
            <w:pPr>
              <w:spacing w:after="0"/>
              <w:rPr>
                <w:sz w:val="13"/>
                <w:szCs w:val="13"/>
                <w:color w:val="auto"/>
              </w:rPr>
            </w:pPr>
          </w:p>
        </w:tc>
        <w:tc>
          <w:tcPr>
            <w:tcW w:w="2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3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jc w:val="right"/>
              <w:ind w:right="105"/>
              <w:spacing w:after="0" w:line="102"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8"/>
                <w:szCs w:val="8"/>
                <w:color w:val="auto"/>
              </w:rPr>
            </w:pPr>
          </w:p>
        </w:tc>
        <w:tc>
          <w:tcPr>
            <w:tcW w:w="1600" w:type="dxa"/>
            <w:vAlign w:val="bottom"/>
            <w:gridSpan w:val="3"/>
          </w:tcPr>
          <w:p>
            <w:pPr>
              <w:ind w:left="40"/>
              <w:spacing w:after="0" w:line="102" w:lineRule="exact"/>
              <w:rPr>
                <w:sz w:val="20"/>
                <w:szCs w:val="20"/>
                <w:color w:val="auto"/>
              </w:rPr>
            </w:pPr>
            <w:r>
              <w:rPr>
                <w:rFonts w:ascii="Times New Roman" w:cs="Times New Roman" w:eastAsia="Times New Roman" w:hAnsi="Times New Roman"/>
                <w:sz w:val="10"/>
                <w:szCs w:val="10"/>
                <w:color w:val="auto"/>
              </w:rPr>
              <w:t>Manukau, Auckland</w:t>
            </w:r>
          </w:p>
        </w:tc>
        <w:tc>
          <w:tcPr>
            <w:tcW w:w="2780" w:type="dxa"/>
            <w:vAlign w:val="bottom"/>
            <w:gridSpan w:val="2"/>
          </w:tcPr>
          <w:p>
            <w:pPr>
              <w:jc w:val="center"/>
              <w:ind w:right="120"/>
              <w:spacing w:after="0" w:line="102" w:lineRule="exact"/>
              <w:rPr>
                <w:sz w:val="20"/>
                <w:szCs w:val="20"/>
                <w:color w:val="auto"/>
              </w:rPr>
            </w:pPr>
            <w:r>
              <w:rPr>
                <w:rFonts w:ascii="Times New Roman" w:cs="Times New Roman" w:eastAsia="Times New Roman" w:hAnsi="Times New Roman"/>
                <w:sz w:val="10"/>
                <w:szCs w:val="10"/>
                <w:color w:val="auto"/>
              </w:rPr>
              <w:t>64.0 acres zoned agricultural and 6.4 acres zoned light</w:t>
            </w:r>
          </w:p>
        </w:tc>
        <w:tc>
          <w:tcPr>
            <w:tcW w:w="100" w:type="dxa"/>
            <w:vAlign w:val="bottom"/>
          </w:tcPr>
          <w:p>
            <w:pPr>
              <w:spacing w:after="0"/>
              <w:rPr>
                <w:sz w:val="8"/>
                <w:szCs w:val="8"/>
                <w:color w:val="auto"/>
              </w:rPr>
            </w:pPr>
          </w:p>
        </w:tc>
        <w:tc>
          <w:tcPr>
            <w:tcW w:w="100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12,372</w:t>
            </w:r>
          </w:p>
        </w:tc>
        <w:tc>
          <w:tcPr>
            <w:tcW w:w="100" w:type="dxa"/>
            <w:vAlign w:val="bottom"/>
          </w:tcPr>
          <w:p>
            <w:pPr>
              <w:spacing w:after="0"/>
              <w:rPr>
                <w:sz w:val="8"/>
                <w:szCs w:val="8"/>
                <w:color w:val="auto"/>
              </w:rPr>
            </w:pPr>
          </w:p>
        </w:tc>
        <w:tc>
          <w:tcPr>
            <w:tcW w:w="4340" w:type="dxa"/>
            <w:vAlign w:val="bottom"/>
          </w:tcPr>
          <w:p>
            <w:pPr>
              <w:spacing w:after="0" w:line="102" w:lineRule="exact"/>
              <w:rPr>
                <w:sz w:val="20"/>
                <w:szCs w:val="20"/>
                <w:color w:val="auto"/>
              </w:rPr>
            </w:pPr>
            <w:r>
              <w:rPr>
                <w:rFonts w:ascii="Times New Roman" w:cs="Times New Roman" w:eastAsia="Times New Roman" w:hAnsi="Times New Roman"/>
                <w:sz w:val="10"/>
                <w:szCs w:val="10"/>
                <w:color w:val="auto"/>
              </w:rPr>
              <w:t>In August 2016, the agricultural portion of our property in Manukau (approximately 64.0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w w:val="92"/>
              </w:rPr>
              <w:t>industrial</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acres) was rezoned to light industrial uses. In 2010, we acquired an adjacent property (6.4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w w:val="98"/>
              </w:rPr>
              <w:t>acres) that is already zoned for heavy industrial use. That property links our existing parcel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with the existing road network. We continue to evaluate our options in regards to this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property.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shd w:val="clear" w:color="auto" w:fill="CCEEFF"/>
          </w:tcPr>
          <w:p>
            <w:pPr>
              <w:jc w:val="right"/>
              <w:ind w:right="105"/>
              <w:spacing w:after="0" w:line="102" w:lineRule="exact"/>
              <w:rPr>
                <w:sz w:val="20"/>
                <w:szCs w:val="20"/>
                <w:color w:val="auto"/>
              </w:rPr>
            </w:pPr>
            <w:r>
              <w:rPr>
                <w:rFonts w:ascii="Times New Roman" w:cs="Times New Roman" w:eastAsia="Times New Roman" w:hAnsi="Times New Roman"/>
                <w:sz w:val="10"/>
                <w:szCs w:val="10"/>
                <w:color w:val="auto"/>
              </w:rPr>
              <w:t>2</w:t>
            </w:r>
          </w:p>
        </w:tc>
        <w:tc>
          <w:tcPr>
            <w:tcW w:w="40" w:type="dxa"/>
            <w:vAlign w:val="bottom"/>
            <w:shd w:val="clear" w:color="auto" w:fill="CCEEFF"/>
          </w:tcPr>
          <w:p>
            <w:pPr>
              <w:spacing w:after="0"/>
              <w:rPr>
                <w:sz w:val="8"/>
                <w:szCs w:val="8"/>
                <w:color w:val="auto"/>
              </w:rPr>
            </w:pPr>
          </w:p>
        </w:tc>
        <w:tc>
          <w:tcPr>
            <w:tcW w:w="1600" w:type="dxa"/>
            <w:vAlign w:val="bottom"/>
            <w:gridSpan w:val="3"/>
            <w:shd w:val="clear" w:color="auto" w:fill="CCEEFF"/>
          </w:tcPr>
          <w:p>
            <w:pPr>
              <w:ind w:left="40"/>
              <w:spacing w:after="0" w:line="102" w:lineRule="exact"/>
              <w:rPr>
                <w:sz w:val="20"/>
                <w:szCs w:val="20"/>
                <w:color w:val="auto"/>
              </w:rPr>
            </w:pPr>
            <w:r>
              <w:rPr>
                <w:rFonts w:ascii="Times New Roman" w:cs="Times New Roman" w:eastAsia="Times New Roman" w:hAnsi="Times New Roman"/>
                <w:sz w:val="10"/>
                <w:szCs w:val="10"/>
                <w:color w:val="auto"/>
              </w:rPr>
              <w:t>Courtenay Central, Wellington</w:t>
            </w:r>
          </w:p>
        </w:tc>
        <w:tc>
          <w:tcPr>
            <w:tcW w:w="2660" w:type="dxa"/>
            <w:vAlign w:val="bottom"/>
            <w:shd w:val="clear" w:color="auto" w:fill="CCEEFF"/>
          </w:tcPr>
          <w:p>
            <w:pPr>
              <w:jc w:val="center"/>
              <w:spacing w:after="0" w:line="102" w:lineRule="exact"/>
              <w:rPr>
                <w:sz w:val="20"/>
                <w:szCs w:val="20"/>
                <w:color w:val="auto"/>
              </w:rPr>
            </w:pPr>
            <w:r>
              <w:rPr>
                <w:rFonts w:ascii="Times New Roman" w:cs="Times New Roman" w:eastAsia="Times New Roman" w:hAnsi="Times New Roman"/>
                <w:sz w:val="10"/>
                <w:szCs w:val="10"/>
                <w:color w:val="auto"/>
              </w:rPr>
              <w:t>1.08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6,967</w:t>
            </w:r>
          </w:p>
        </w:tc>
        <w:tc>
          <w:tcPr>
            <w:tcW w:w="100" w:type="dxa"/>
            <w:vAlign w:val="bottom"/>
            <w:shd w:val="clear" w:color="auto" w:fill="CCEEFF"/>
          </w:tcPr>
          <w:p>
            <w:pPr>
              <w:spacing w:after="0"/>
              <w:rPr>
                <w:sz w:val="8"/>
                <w:szCs w:val="8"/>
                <w:color w:val="auto"/>
              </w:rPr>
            </w:pPr>
          </w:p>
        </w:tc>
        <w:tc>
          <w:tcPr>
            <w:tcW w:w="434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0"/>
                <w:szCs w:val="10"/>
                <w:color w:val="auto"/>
              </w:rPr>
              <w:t>On November 14, 2016, Wellington experienced a severe 7.8 magnitude earthquake. That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0" w:type="dxa"/>
            <w:vAlign w:val="bottom"/>
            <w:gridSpan w:val="3"/>
            <w:shd w:val="clear" w:color="auto" w:fill="CCEEFF"/>
          </w:tcPr>
          <w:p>
            <w:pPr>
              <w:ind w:left="40"/>
              <w:spacing w:after="0" w:line="120" w:lineRule="exact"/>
              <w:rPr>
                <w:sz w:val="20"/>
                <w:szCs w:val="20"/>
                <w:color w:val="auto"/>
              </w:rPr>
            </w:pPr>
            <w:r>
              <w:rPr>
                <w:rFonts w:ascii="Times New Roman" w:cs="Times New Roman" w:eastAsia="Times New Roman" w:hAnsi="Times New Roman"/>
                <w:sz w:val="12"/>
                <w:szCs w:val="12"/>
                <w:color w:val="auto"/>
              </w:rPr>
              <w:t>(including Wakefield and</w:t>
            </w: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earthquake rendered our Tory Street parking building unsafe and ultimately led to the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0" w:type="dxa"/>
            <w:vAlign w:val="bottom"/>
            <w:gridSpan w:val="3"/>
            <w:shd w:val="clear" w:color="auto" w:fill="CCEEFF"/>
          </w:tcPr>
          <w:p>
            <w:pPr>
              <w:ind w:left="40"/>
              <w:spacing w:after="0" w:line="120" w:lineRule="exact"/>
              <w:rPr>
                <w:sz w:val="20"/>
                <w:szCs w:val="20"/>
                <w:color w:val="auto"/>
              </w:rPr>
            </w:pPr>
            <w:r>
              <w:rPr>
                <w:rFonts w:ascii="Times New Roman" w:cs="Times New Roman" w:eastAsia="Times New Roman" w:hAnsi="Times New Roman"/>
                <w:sz w:val="12"/>
                <w:szCs w:val="12"/>
                <w:color w:val="auto"/>
              </w:rPr>
              <w:t>Taranaki)</w:t>
            </w: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8"/>
              </w:rPr>
              <w:t>demolition of that building and the temporary closure of our adjacent ETC, which reopened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9"/>
              </w:rPr>
              <w:t>on March 29, 2017. Our supermarket tenant remains committed to the site but has delayed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7"/>
              </w:rPr>
              <w:t>construction in order to upgrade to a “premium” offering. Under the agreement to lease, our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tenant is responsible for any increase in our costs resulting from those design changes. In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7"/>
              </w:rPr>
              <w:t>light of the demolition of the existing parking building (a major portion of the cost of which</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7"/>
              </w:rPr>
              <w:t>is covered by insurance), we are undertaking a comprehensive redesign analysis, intended to</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6"/>
              </w:rPr>
              <w:t>increase the amount of retail leasable space at the center and to better coordinate the interface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8"/>
              </w:rPr>
              <w:t>between the parking building and the remainder of the center. While we work on a redesign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of the property, we have activated the building with several temporary “pop-up” retail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w w:val="99"/>
              </w:rPr>
              <w:t>offerings. We are currently working on plans and in discussions with tenants regarding the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construction of additional retail space at the site.</w:t>
            </w:r>
          </w:p>
        </w:tc>
        <w:tc>
          <w:tcPr>
            <w:tcW w:w="0" w:type="dxa"/>
            <w:vAlign w:val="bottom"/>
          </w:tcPr>
          <w:p>
            <w:pPr>
              <w:spacing w:after="0"/>
              <w:rPr>
                <w:sz w:val="1"/>
                <w:szCs w:val="1"/>
                <w:color w:val="auto"/>
              </w:rPr>
            </w:pPr>
          </w:p>
        </w:tc>
      </w:tr>
      <w:tr>
        <w:trPr>
          <w:trHeight w:val="144"/>
        </w:trPr>
        <w:tc>
          <w:tcPr>
            <w:tcW w:w="5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61,254</w:t>
            </w: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00" w:hanging="93"/>
        <w:spacing w:after="0"/>
        <w:tabs>
          <w:tab w:leader="none" w:pos="100" w:val="left"/>
        </w:tabs>
        <w:numPr>
          <w:ilvl w:val="0"/>
          <w:numId w:val="24"/>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A number of our real estate holdings include additional land held for development. In addition, we have acquired certain parcels for future development.</w:t>
      </w:r>
    </w:p>
    <w:p>
      <w:pPr>
        <w:spacing w:after="0" w:line="14" w:lineRule="exact"/>
        <w:rPr>
          <w:rFonts w:ascii="Times New Roman" w:cs="Times New Roman" w:eastAsia="Times New Roman" w:hAnsi="Times New Roman"/>
          <w:sz w:val="10"/>
          <w:szCs w:val="10"/>
          <w:color w:val="auto"/>
          <w:vertAlign w:val="superscript"/>
        </w:rPr>
      </w:pPr>
    </w:p>
    <w:p>
      <w:pPr>
        <w:ind w:left="140" w:right="380" w:hanging="133"/>
        <w:spacing w:after="0" w:line="216" w:lineRule="auto"/>
        <w:tabs>
          <w:tab w:leader="none" w:pos="102" w:val="left"/>
        </w:tabs>
        <w:numPr>
          <w:ilvl w:val="0"/>
          <w:numId w:val="2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Refers to the recorded values of our non-operating and currently in-development stage properties, which are comprised of land, building, development costs and capitalized interest, and presented as “Investment and Development Property” in our Consolidated Balance Sheet as of December 31, 2017. Not included in this number is the book value of those portions of such properties which have already been developed.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 of our income operating properties and our investment and development properties carry various debt encumbrances based on their income streams and geographic locations.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an explanation of our debt and the associated security collateral please see </w:t>
      </w:r>
      <w:r>
        <w:rPr>
          <w:rFonts w:ascii="Times New Roman" w:cs="Times New Roman" w:eastAsia="Times New Roman" w:hAnsi="Times New Roman"/>
          <w:sz w:val="14"/>
          <w:szCs w:val="14"/>
          <w:i w:val="1"/>
          <w:iCs w:val="1"/>
          <w:color w:val="auto"/>
        </w:rPr>
        <w:t>Note 10 – Borrowings</w:t>
      </w:r>
      <w:r>
        <w:rPr>
          <w:rFonts w:ascii="Times New Roman" w:cs="Times New Roman" w:eastAsia="Times New Roman" w:hAnsi="Times New Roman"/>
          <w:sz w:val="14"/>
          <w:szCs w:val="14"/>
          <w:color w:val="auto"/>
        </w:rPr>
        <w:t xml:space="preserve"> to our 2017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37" w:right="7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OTHER PROPERTY INTERESTS AND INVESTMENTS</w:t>
      </w:r>
    </w:p>
    <w:p>
      <w:pPr>
        <w:spacing w:after="0" w:line="166"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4"/>
          <w:szCs w:val="14"/>
          <w:color w:val="auto"/>
        </w:rPr>
        <w:t>We own the fee interests in eight parcels comprising 197 acres in Pennsylvania and New Jersey. These acres consist primarily of vacant land. With the exception of certain properties located in Philadelphia (including the raised railroad bed near the Center City, known as the North Viaduct), the properties are principally located in rural areas of Pennsylvania and New Jersey. These properties are unencumbered by any 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3 – Legal Proceedings</w:t>
      </w:r>
    </w:p>
    <w:p>
      <w:pPr>
        <w:spacing w:after="0" w:line="181" w:lineRule="exact"/>
        <w:rPr>
          <w:sz w:val="20"/>
          <w:szCs w:val="20"/>
          <w:color w:val="auto"/>
        </w:rPr>
      </w:pPr>
    </w:p>
    <w:p>
      <w:pPr>
        <w:ind w:right="180"/>
        <w:spacing w:after="0" w:line="303" w:lineRule="auto"/>
        <w:rPr>
          <w:sz w:val="20"/>
          <w:szCs w:val="20"/>
          <w:color w:val="auto"/>
        </w:rPr>
      </w:pPr>
      <w:r>
        <w:rPr>
          <w:rFonts w:ascii="Times New Roman" w:cs="Times New Roman" w:eastAsia="Times New Roman" w:hAnsi="Times New Roman"/>
          <w:sz w:val="14"/>
          <w:szCs w:val="14"/>
          <w:color w:val="auto"/>
        </w:rPr>
        <w:t>The information required under Part I, Item 3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 xml:space="preserve">) is incorporated by reference to the information contained in </w:t>
      </w:r>
      <w:r>
        <w:rPr>
          <w:rFonts w:ascii="Times New Roman" w:cs="Times New Roman" w:eastAsia="Times New Roman" w:hAnsi="Times New Roman"/>
          <w:sz w:val="14"/>
          <w:szCs w:val="14"/>
          <w:i w:val="1"/>
          <w:iCs w:val="1"/>
          <w:color w:val="auto"/>
        </w:rPr>
        <w:t>Note 12 – Commitments and Contingencies</w:t>
      </w:r>
      <w:r>
        <w:rPr>
          <w:rFonts w:ascii="Times New Roman" w:cs="Times New Roman" w:eastAsia="Times New Roman" w:hAnsi="Times New Roman"/>
          <w:sz w:val="14"/>
          <w:szCs w:val="14"/>
          <w:color w:val="auto"/>
        </w:rPr>
        <w:t xml:space="preserve"> 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on this Annual Report on Form 10-K.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4 – Mine Safety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 Properties relating to our legacy business are currently not used and classified as Investment Property.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5 – Market for Registrant’s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66"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4"/>
          <w:szCs w:val="14"/>
          <w:color w:val="auto"/>
        </w:rPr>
        <w:t>The following table sets forth the high and low closing prices of the RDI (Class A Stock) and RDIB (Class B Stock) common stock for each of the quarters in 2017 and 2016 as reported by NASDAQ:</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Class A Stock</w:t>
            </w:r>
          </w:p>
        </w:tc>
        <w:tc>
          <w:tcPr>
            <w:tcW w:w="10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Class B Stock</w:t>
            </w:r>
          </w:p>
        </w:tc>
        <w:tc>
          <w:tcPr>
            <w:tcW w:w="1040" w:type="dxa"/>
            <w:vAlign w:val="bottom"/>
            <w:tcBorders>
              <w:bottom w:val="single" w:sz="8" w:color="auto"/>
            </w:tcBorders>
          </w:tcPr>
          <w:p>
            <w:pPr>
              <w:spacing w:after="0"/>
              <w:rPr>
                <w:sz w:val="12"/>
                <w:szCs w:val="12"/>
                <w:color w:val="auto"/>
              </w:rPr>
            </w:pPr>
          </w:p>
        </w:tc>
      </w:tr>
      <w:tr>
        <w:trPr>
          <w:trHeight w:val="154"/>
        </w:trPr>
        <w:tc>
          <w:tcPr>
            <w:tcW w:w="2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High</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Low</w:t>
            </w:r>
          </w:p>
        </w:tc>
        <w:tc>
          <w:tcPr>
            <w:tcW w:w="520" w:type="dxa"/>
            <w:vAlign w:val="bottom"/>
          </w:tcPr>
          <w:p>
            <w:pPr>
              <w:spacing w:after="0"/>
              <w:rPr>
                <w:sz w:val="13"/>
                <w:szCs w:val="13"/>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High</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2"/>
                <w:szCs w:val="12"/>
                <w:b w:val="1"/>
                <w:bCs w:val="1"/>
                <w:color w:val="auto"/>
              </w:rPr>
              <w:t>Low</w:t>
            </w:r>
          </w:p>
        </w:tc>
      </w:tr>
      <w:tr>
        <w:trPr>
          <w:trHeight w:val="141"/>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2017</w:t>
            </w:r>
          </w:p>
        </w:tc>
        <w:tc>
          <w:tcPr>
            <w:tcW w:w="5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r>
      <w:tr>
        <w:trPr>
          <w:trHeight w:val="152"/>
        </w:trPr>
        <w:tc>
          <w:tcPr>
            <w:tcW w:w="29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4th Quarter</w:t>
            </w:r>
          </w:p>
        </w:tc>
        <w:tc>
          <w:tcPr>
            <w:tcW w:w="5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16.70</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center"/>
              <w:ind w:right="122"/>
              <w:spacing w:after="0"/>
              <w:rPr>
                <w:sz w:val="20"/>
                <w:szCs w:val="20"/>
                <w:color w:val="auto"/>
              </w:rPr>
            </w:pPr>
            <w:r>
              <w:rPr>
                <w:rFonts w:ascii="Times New Roman" w:cs="Times New Roman" w:eastAsia="Times New Roman" w:hAnsi="Times New Roman"/>
                <w:sz w:val="12"/>
                <w:szCs w:val="12"/>
                <w:color w:val="auto"/>
                <w:w w:val="96"/>
              </w:rPr>
              <w:t>14.67</w:t>
            </w:r>
          </w:p>
        </w:tc>
        <w:tc>
          <w:tcPr>
            <w:tcW w:w="340" w:type="dxa"/>
            <w:vAlign w:val="bottom"/>
          </w:tcPr>
          <w:p>
            <w:pPr>
              <w:spacing w:after="0"/>
              <w:rPr>
                <w:sz w:val="13"/>
                <w:szCs w:val="13"/>
                <w:color w:val="auto"/>
              </w:rPr>
            </w:pP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23.15</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rPr>
              <w:t>20.50</w:t>
            </w:r>
          </w:p>
        </w:tc>
      </w:tr>
      <w:tr>
        <w:trPr>
          <w:trHeight w:val="152"/>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3rd Quarter</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16.21</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2"/>
                <w:szCs w:val="12"/>
                <w:color w:val="auto"/>
                <w:w w:val="96"/>
              </w:rPr>
              <w:t>15.42</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22.52</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rPr>
              <w:t>18.00</w:t>
            </w:r>
          </w:p>
        </w:tc>
      </w:tr>
      <w:tr>
        <w:trPr>
          <w:trHeight w:val="152"/>
        </w:trPr>
        <w:tc>
          <w:tcPr>
            <w:tcW w:w="29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2nd Quarter</w:t>
            </w:r>
          </w:p>
        </w:tc>
        <w:tc>
          <w:tcPr>
            <w:tcW w:w="540" w:type="dxa"/>
            <w:vAlign w:val="bottom"/>
          </w:tcPr>
          <w:p>
            <w:pPr>
              <w:spacing w:after="0"/>
              <w:rPr>
                <w:sz w:val="13"/>
                <w:szCs w:val="13"/>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16.63</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center"/>
              <w:ind w:right="122"/>
              <w:spacing w:after="0"/>
              <w:rPr>
                <w:sz w:val="20"/>
                <w:szCs w:val="20"/>
                <w:color w:val="auto"/>
              </w:rPr>
            </w:pPr>
            <w:r>
              <w:rPr>
                <w:rFonts w:ascii="Times New Roman" w:cs="Times New Roman" w:eastAsia="Times New Roman" w:hAnsi="Times New Roman"/>
                <w:sz w:val="12"/>
                <w:szCs w:val="12"/>
                <w:color w:val="auto"/>
                <w:w w:val="96"/>
              </w:rPr>
              <w:t>14.65</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18.48</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rPr>
              <w:t>17.16</w:t>
            </w:r>
          </w:p>
        </w:tc>
      </w:tr>
      <w:tr>
        <w:trPr>
          <w:trHeight w:val="152"/>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1st Quarter</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16.95</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2"/>
                <w:szCs w:val="12"/>
                <w:color w:val="auto"/>
                <w:w w:val="96"/>
              </w:rPr>
              <w:t>15.23</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20.34</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rPr>
              <w:t>16.29</w:t>
            </w: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2016</w:t>
            </w: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2"/>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4th Quarter</w:t>
            </w:r>
          </w:p>
        </w:tc>
        <w:tc>
          <w:tcPr>
            <w:tcW w:w="5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16.88</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2"/>
                <w:szCs w:val="12"/>
                <w:color w:val="auto"/>
                <w:w w:val="96"/>
              </w:rPr>
              <w:t>12.59</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18.88</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rPr>
              <w:t>15.05</w:t>
            </w:r>
          </w:p>
        </w:tc>
      </w:tr>
      <w:tr>
        <w:trPr>
          <w:trHeight w:val="152"/>
        </w:trPr>
        <w:tc>
          <w:tcPr>
            <w:tcW w:w="29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3rd Quarter</w:t>
            </w:r>
          </w:p>
        </w:tc>
        <w:tc>
          <w:tcPr>
            <w:tcW w:w="540" w:type="dxa"/>
            <w:vAlign w:val="bottom"/>
          </w:tcPr>
          <w:p>
            <w:pPr>
              <w:spacing w:after="0"/>
              <w:rPr>
                <w:sz w:val="13"/>
                <w:szCs w:val="13"/>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13.83</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center"/>
              <w:ind w:right="122"/>
              <w:spacing w:after="0"/>
              <w:rPr>
                <w:sz w:val="20"/>
                <w:szCs w:val="20"/>
                <w:color w:val="auto"/>
              </w:rPr>
            </w:pPr>
            <w:r>
              <w:rPr>
                <w:rFonts w:ascii="Times New Roman" w:cs="Times New Roman" w:eastAsia="Times New Roman" w:hAnsi="Times New Roman"/>
                <w:sz w:val="12"/>
                <w:szCs w:val="12"/>
                <w:color w:val="auto"/>
                <w:w w:val="96"/>
              </w:rPr>
              <w:t>12.07</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16.99</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rPr>
              <w:t>12.59</w:t>
            </w:r>
          </w:p>
        </w:tc>
      </w:tr>
      <w:tr>
        <w:trPr>
          <w:trHeight w:val="152"/>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2nd Quarter</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13.63</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2"/>
                <w:szCs w:val="12"/>
                <w:color w:val="auto"/>
                <w:w w:val="88"/>
              </w:rPr>
              <w:t>11.79</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13.80</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rPr>
              <w:t>11.65</w:t>
            </w:r>
          </w:p>
        </w:tc>
      </w:tr>
      <w:tr>
        <w:trPr>
          <w:trHeight w:val="164"/>
        </w:trPr>
        <w:tc>
          <w:tcPr>
            <w:tcW w:w="29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1st Quarter</w:t>
            </w:r>
          </w:p>
        </w:tc>
        <w:tc>
          <w:tcPr>
            <w:tcW w:w="540" w:type="dxa"/>
            <w:vAlign w:val="bottom"/>
          </w:tcPr>
          <w:p>
            <w:pPr>
              <w:spacing w:after="0"/>
              <w:rPr>
                <w:sz w:val="14"/>
                <w:szCs w:val="14"/>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12.80</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center"/>
              <w:ind w:right="142"/>
              <w:spacing w:after="0"/>
              <w:rPr>
                <w:sz w:val="20"/>
                <w:szCs w:val="20"/>
                <w:color w:val="auto"/>
              </w:rPr>
            </w:pPr>
            <w:r>
              <w:rPr>
                <w:rFonts w:ascii="Times New Roman" w:cs="Times New Roman" w:eastAsia="Times New Roman" w:hAnsi="Times New Roman"/>
                <w:sz w:val="12"/>
                <w:szCs w:val="12"/>
                <w:color w:val="auto"/>
                <w:w w:val="95"/>
              </w:rPr>
              <w:t>9.78</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13.72</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rPr>
              <w:t>11.69</w:t>
            </w:r>
          </w:p>
        </w:tc>
      </w:tr>
    </w:tbl>
    <w:p>
      <w:pPr>
        <w:spacing w:after="0" w:line="147"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4"/>
          <w:szCs w:val="14"/>
          <w:color w:val="auto"/>
        </w:rPr>
        <w:t>As of December 31, 2017, the approximate number of common stockholders of record was 2,300 for Class A Stock and 375, for Class B Stock. On March 12, 2018, the closing prices per share of our Class A Stock and Class B Stock were $16.86 and $29.41,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never declared a cash dividend on our common stock and we have no current plans to declare a dividend.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securities authorized for issuance under our equity compensation plans: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Number of securities to be</w:t>
            </w:r>
          </w:p>
        </w:tc>
        <w:tc>
          <w:tcPr>
            <w:tcW w:w="200" w:type="dxa"/>
            <w:vAlign w:val="bottom"/>
          </w:tcPr>
          <w:p>
            <w:pPr>
              <w:spacing w:after="0"/>
              <w:rPr>
                <w:sz w:val="12"/>
                <w:szCs w:val="12"/>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Weighted-average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Number of securities remaining</w:t>
            </w: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5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5"/>
              </w:rPr>
              <w:t>issued upon exercise of</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420"/>
              <w:spacing w:after="0" w:line="120" w:lineRule="exact"/>
              <w:rPr>
                <w:sz w:val="20"/>
                <w:szCs w:val="20"/>
                <w:color w:val="auto"/>
              </w:rPr>
            </w:pPr>
            <w:r>
              <w:rPr>
                <w:rFonts w:ascii="Times New Roman" w:cs="Times New Roman" w:eastAsia="Times New Roman" w:hAnsi="Times New Roman"/>
                <w:sz w:val="12"/>
                <w:szCs w:val="12"/>
                <w:b w:val="1"/>
                <w:bCs w:val="1"/>
                <w:color w:val="auto"/>
                <w:w w:val="94"/>
              </w:rPr>
              <w:t>exercise price of</w:t>
            </w: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5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5"/>
              </w:rPr>
              <w:t>outstanding options, warrants,</w:t>
            </w:r>
          </w:p>
        </w:tc>
        <w:tc>
          <w:tcPr>
            <w:tcW w:w="200" w:type="dxa"/>
            <w:vAlign w:val="bottom"/>
          </w:tcPr>
          <w:p>
            <w:pPr>
              <w:spacing w:after="0"/>
              <w:rPr>
                <w:sz w:val="10"/>
                <w:szCs w:val="10"/>
                <w:color w:val="auto"/>
              </w:rPr>
            </w:pPr>
          </w:p>
        </w:tc>
        <w:tc>
          <w:tcPr>
            <w:tcW w:w="1460" w:type="dxa"/>
            <w:vAlign w:val="bottom"/>
            <w:gridSpan w:val="3"/>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6"/>
              </w:rPr>
              <w:t>outstanding options,</w:t>
            </w:r>
          </w:p>
        </w:tc>
        <w:tc>
          <w:tcPr>
            <w:tcW w:w="17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6"/>
              </w:rPr>
              <w:t>available for future issuance</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and rights</w:t>
            </w:r>
          </w:p>
        </w:tc>
        <w:tc>
          <w:tcPr>
            <w:tcW w:w="200" w:type="dxa"/>
            <w:vAlign w:val="bottom"/>
          </w:tcPr>
          <w:p>
            <w:pPr>
              <w:spacing w:after="0"/>
              <w:rPr>
                <w:sz w:val="12"/>
                <w:szCs w:val="12"/>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warrants, and rights</w:t>
            </w: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under equity compensation plans</w:t>
            </w:r>
          </w:p>
        </w:tc>
        <w:tc>
          <w:tcPr>
            <w:tcW w:w="0" w:type="dxa"/>
            <w:vAlign w:val="bottom"/>
          </w:tcPr>
          <w:p>
            <w:pPr>
              <w:spacing w:after="0"/>
              <w:rPr>
                <w:sz w:val="1"/>
                <w:szCs w:val="1"/>
                <w:color w:val="auto"/>
              </w:rPr>
            </w:pPr>
          </w:p>
        </w:tc>
      </w:tr>
      <w:tr>
        <w:trPr>
          <w:trHeight w:val="89"/>
        </w:trPr>
        <w:tc>
          <w:tcPr>
            <w:tcW w:w="3000" w:type="dxa"/>
            <w:vAlign w:val="bottom"/>
            <w:tcBorders>
              <w:top w:val="single" w:sz="8" w:color="CCEEFF"/>
            </w:tcBorders>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Equity compensation plans approved by security</w:t>
            </w:r>
          </w:p>
        </w:tc>
        <w:tc>
          <w:tcPr>
            <w:tcW w:w="154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04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7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holders</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524,589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Restricted stock units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138,691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w:t>
            </w:r>
          </w:p>
        </w:tc>
        <w:tc>
          <w:tcPr>
            <w:tcW w:w="20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663,280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457,431</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88" w:right="7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5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4"/>
          <w:szCs w:val="14"/>
          <w:color w:val="auto"/>
        </w:rPr>
        <w:t>The following line graph compares the cumulative total stockholder return on RDI’s common stock for the five-year period ended December 31, 2017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 years ended December 31, 2017. The graph assumes that $100 was invested on December 31, 2012 in our common stock, the NASDAQ composite and the noted peer groups,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97790</wp:posOffset>
            </wp:positionV>
            <wp:extent cx="3292475" cy="2486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92475"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180"/>
        <w:spacing w:after="0" w:line="477" w:lineRule="auto"/>
        <w:rPr>
          <w:sz w:val="20"/>
          <w:szCs w:val="20"/>
          <w:color w:val="auto"/>
        </w:rPr>
      </w:pPr>
      <w:r>
        <w:rPr>
          <w:rFonts w:ascii="Times New Roman" w:cs="Times New Roman" w:eastAsia="Times New Roman" w:hAnsi="Times New Roman"/>
          <w:sz w:val="14"/>
          <w:szCs w:val="14"/>
          <w:b w:val="1"/>
          <w:bCs w:val="1"/>
          <w:color w:val="auto"/>
        </w:rPr>
        <w:t xml:space="preserve">RECENT SALES OF UNREGISTERED SECURITIES; USE OF PROCEEDS FROM REGISTERED SECURITIES </w:t>
      </w:r>
      <w:r>
        <w:rPr>
          <w:rFonts w:ascii="Times New Roman" w:cs="Times New Roman" w:eastAsia="Times New Roman" w:hAnsi="Times New Roman"/>
          <w:sz w:val="14"/>
          <w:szCs w:val="14"/>
          <w:color w:val="auto"/>
        </w:rPr>
        <w:t>None.</w:t>
      </w:r>
    </w:p>
    <w:p>
      <w:pPr>
        <w:spacing w:after="0"/>
        <w:rPr>
          <w:sz w:val="20"/>
          <w:szCs w:val="20"/>
          <w:color w:val="auto"/>
        </w:rPr>
      </w:pPr>
      <w:r>
        <w:rPr>
          <w:rFonts w:ascii="Times New Roman" w:cs="Times New Roman" w:eastAsia="Times New Roman" w:hAnsi="Times New Roman"/>
          <w:sz w:val="14"/>
          <w:szCs w:val="14"/>
          <w:b w:val="1"/>
          <w:bCs w:val="1"/>
          <w:color w:val="auto"/>
        </w:rPr>
        <w:t>PURCHASE OF EQUITY SECURITIES BY THE ISSUER AND AFFILIATED PURCHASERS</w:t>
      </w:r>
    </w:p>
    <w:p>
      <w:pPr>
        <w:spacing w:after="0" w:line="156"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4"/>
          <w:szCs w:val="14"/>
          <w:color w:val="auto"/>
        </w:rPr>
        <w:t xml:space="preserve">On March 2, 2017 our Board of Directors authorized a stock buy-back program to spend up to an aggregate of $25.0 million to acquire shares of the Company’s Class A non-voting stock. Below is a summary of share repurchases during 2017: Refer to </w:t>
      </w:r>
      <w:r>
        <w:rPr>
          <w:rFonts w:ascii="Times New Roman" w:cs="Times New Roman" w:eastAsia="Times New Roman" w:hAnsi="Times New Roman"/>
          <w:sz w:val="14"/>
          <w:szCs w:val="14"/>
          <w:i w:val="1"/>
          <w:iCs w:val="1"/>
          <w:color w:val="auto"/>
        </w:rPr>
        <w:t>Note 14 - Share-Based Compensation and Share Repurchase Plans</w:t>
      </w:r>
      <w:r>
        <w:rPr>
          <w:rFonts w:ascii="Times New Roman" w:cs="Times New Roman" w:eastAsia="Times New Roman" w:hAnsi="Times New Roman"/>
          <w:sz w:val="14"/>
          <w:szCs w:val="14"/>
          <w:color w:val="auto"/>
        </w:rPr>
        <w:t xml:space="preserve"> in the 2017 Consolidated Financial Statements for further details.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1900" w:type="dxa"/>
            <w:vAlign w:val="bottom"/>
            <w:vMerge w:val="restart"/>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0" w:type="dxa"/>
            <w:vAlign w:val="bottom"/>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5"/>
              </w:rPr>
              <w:t>Total Number of Shares Purchased</w:t>
            </w:r>
          </w:p>
        </w:tc>
        <w:tc>
          <w:tcPr>
            <w:tcW w:w="2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Approximate Dollar Value of Shares that may yet be</w:t>
            </w:r>
          </w:p>
        </w:tc>
        <w:tc>
          <w:tcPr>
            <w:tcW w:w="0" w:type="dxa"/>
            <w:vAlign w:val="bottom"/>
          </w:tcPr>
          <w:p>
            <w:pPr>
              <w:spacing w:after="0"/>
              <w:rPr>
                <w:sz w:val="1"/>
                <w:szCs w:val="1"/>
                <w:color w:val="auto"/>
              </w:rPr>
            </w:pPr>
          </w:p>
        </w:tc>
      </w:tr>
      <w:tr>
        <w:trPr>
          <w:trHeight w:val="119"/>
        </w:trPr>
        <w:tc>
          <w:tcPr>
            <w:tcW w:w="1820" w:type="dxa"/>
            <w:vAlign w:val="bottom"/>
            <w:vMerge w:val="restart"/>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1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vMerge w:val="restart"/>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w w:val="97"/>
              </w:rPr>
              <w:t>Average Price Paid per Share</w:t>
            </w:r>
          </w:p>
        </w:tc>
        <w:tc>
          <w:tcPr>
            <w:tcW w:w="2000" w:type="dxa"/>
            <w:vAlign w:val="bottom"/>
          </w:tcPr>
          <w:p>
            <w:pPr>
              <w:jc w:val="center"/>
              <w:ind w:left="2"/>
              <w:spacing w:after="0" w:line="120" w:lineRule="exact"/>
              <w:rPr>
                <w:sz w:val="20"/>
                <w:szCs w:val="20"/>
                <w:color w:val="auto"/>
              </w:rPr>
            </w:pPr>
            <w:r>
              <w:rPr>
                <w:rFonts w:ascii="Times New Roman" w:cs="Times New Roman" w:eastAsia="Times New Roman" w:hAnsi="Times New Roman"/>
                <w:sz w:val="12"/>
                <w:szCs w:val="12"/>
                <w:b w:val="1"/>
                <w:bCs w:val="1"/>
                <w:color w:val="auto"/>
                <w:w w:val="96"/>
              </w:rPr>
              <w:t>as part of our Stock Buy-Back</w:t>
            </w:r>
          </w:p>
        </w:tc>
        <w:tc>
          <w:tcPr>
            <w:tcW w:w="2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20" w:type="dxa"/>
            <w:vAlign w:val="bottom"/>
            <w:tcBorders>
              <w:bottom w:val="single" w:sz="8" w:color="auto"/>
            </w:tcBorders>
            <w:vMerge w:val="continue"/>
          </w:tcPr>
          <w:p>
            <w:pPr>
              <w:spacing w:after="0"/>
              <w:rPr>
                <w:sz w:val="12"/>
                <w:szCs w:val="12"/>
                <w:color w:val="auto"/>
              </w:rPr>
            </w:pPr>
          </w:p>
        </w:tc>
        <w:tc>
          <w:tcPr>
            <w:tcW w:w="19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Purchased</w:t>
            </w:r>
          </w:p>
        </w:tc>
        <w:tc>
          <w:tcPr>
            <w:tcW w:w="1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vMerge w:val="continue"/>
          </w:tcPr>
          <w:p>
            <w:pPr>
              <w:spacing w:after="0"/>
              <w:rPr>
                <w:sz w:val="12"/>
                <w:szCs w:val="12"/>
                <w:color w:val="auto"/>
              </w:rPr>
            </w:pPr>
          </w:p>
        </w:tc>
        <w:tc>
          <w:tcPr>
            <w:tcW w:w="200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5"/>
              </w:rPr>
              <w:t>Program</w:t>
            </w:r>
          </w:p>
        </w:tc>
        <w:tc>
          <w:tcPr>
            <w:tcW w:w="2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7"/>
              </w:rPr>
              <w:t>Purchased under the Stock Buy-Back Program</w:t>
            </w:r>
          </w:p>
        </w:tc>
        <w:tc>
          <w:tcPr>
            <w:tcW w:w="0" w:type="dxa"/>
            <w:vAlign w:val="bottom"/>
          </w:tcPr>
          <w:p>
            <w:pPr>
              <w:spacing w:after="0"/>
              <w:rPr>
                <w:sz w:val="1"/>
                <w:szCs w:val="1"/>
                <w:color w:val="auto"/>
              </w:rPr>
            </w:pPr>
          </w:p>
        </w:tc>
      </w:tr>
      <w:tr>
        <w:trPr>
          <w:trHeight w:val="197"/>
        </w:trPr>
        <w:tc>
          <w:tcPr>
            <w:tcW w:w="1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5"/>
              </w:rPr>
              <w:t>March 2017</w:t>
            </w:r>
          </w:p>
        </w:tc>
        <w:tc>
          <w:tcPr>
            <w:tcW w:w="19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41,899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15.99</w:t>
            </w:r>
          </w:p>
        </w:tc>
        <w:tc>
          <w:tcPr>
            <w:tcW w:w="2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41,899</w:t>
            </w:r>
          </w:p>
        </w:tc>
        <w:tc>
          <w:tcPr>
            <w:tcW w:w="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24,330,149</w:t>
            </w:r>
          </w:p>
        </w:tc>
        <w:tc>
          <w:tcPr>
            <w:tcW w:w="0" w:type="dxa"/>
            <w:vAlign w:val="bottom"/>
          </w:tcPr>
          <w:p>
            <w:pPr>
              <w:spacing w:after="0"/>
              <w:rPr>
                <w:sz w:val="1"/>
                <w:szCs w:val="1"/>
                <w:color w:val="auto"/>
              </w:rPr>
            </w:pPr>
          </w:p>
        </w:tc>
      </w:tr>
      <w:tr>
        <w:trPr>
          <w:trHeight w:val="217"/>
        </w:trPr>
        <w:tc>
          <w:tcPr>
            <w:tcW w:w="1820" w:type="dxa"/>
            <w:vAlign w:val="bottom"/>
          </w:tcPr>
          <w:p>
            <w:pPr>
              <w:jc w:val="center"/>
              <w:ind w:left="82"/>
              <w:spacing w:after="0"/>
              <w:rPr>
                <w:sz w:val="20"/>
                <w:szCs w:val="20"/>
                <w:color w:val="auto"/>
              </w:rPr>
            </w:pPr>
            <w:r>
              <w:rPr>
                <w:rFonts w:ascii="Times New Roman" w:cs="Times New Roman" w:eastAsia="Times New Roman" w:hAnsi="Times New Roman"/>
                <w:sz w:val="12"/>
                <w:szCs w:val="12"/>
                <w:color w:val="auto"/>
                <w:w w:val="97"/>
              </w:rPr>
              <w:t>May 2017</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98,816</w:t>
            </w:r>
          </w:p>
        </w:tc>
        <w:tc>
          <w:tcPr>
            <w:tcW w:w="160" w:type="dxa"/>
            <w:vAlign w:val="bottom"/>
          </w:tcPr>
          <w:p>
            <w:pPr>
              <w:spacing w:after="0"/>
              <w:rPr>
                <w:sz w:val="18"/>
                <w:szCs w:val="18"/>
                <w:color w:val="auto"/>
              </w:rPr>
            </w:pPr>
          </w:p>
        </w:tc>
        <w:tc>
          <w:tcPr>
            <w:tcW w:w="182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15.78</w:t>
            </w:r>
          </w:p>
        </w:tc>
        <w:tc>
          <w:tcPr>
            <w:tcW w:w="20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98,816</w:t>
            </w:r>
          </w:p>
        </w:tc>
        <w:tc>
          <w:tcPr>
            <w:tcW w:w="2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22,771,316</w:t>
            </w:r>
          </w:p>
        </w:tc>
        <w:tc>
          <w:tcPr>
            <w:tcW w:w="0" w:type="dxa"/>
            <w:vAlign w:val="bottom"/>
          </w:tcPr>
          <w:p>
            <w:pPr>
              <w:spacing w:after="0"/>
              <w:rPr>
                <w:sz w:val="1"/>
                <w:szCs w:val="1"/>
                <w:color w:val="auto"/>
              </w:rPr>
            </w:pPr>
          </w:p>
        </w:tc>
      </w:tr>
      <w:tr>
        <w:trPr>
          <w:trHeight w:val="217"/>
        </w:trPr>
        <w:tc>
          <w:tcPr>
            <w:tcW w:w="1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7"/>
              </w:rPr>
              <w:t>June 2017</w:t>
            </w:r>
          </w:p>
        </w:tc>
        <w:tc>
          <w:tcPr>
            <w:tcW w:w="19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70,234</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16.39</w:t>
            </w:r>
          </w:p>
        </w:tc>
        <w:tc>
          <w:tcPr>
            <w:tcW w:w="2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70,234</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21,620,212</w:t>
            </w:r>
          </w:p>
        </w:tc>
        <w:tc>
          <w:tcPr>
            <w:tcW w:w="0" w:type="dxa"/>
            <w:vAlign w:val="bottom"/>
          </w:tcPr>
          <w:p>
            <w:pPr>
              <w:spacing w:after="0"/>
              <w:rPr>
                <w:sz w:val="1"/>
                <w:szCs w:val="1"/>
                <w:color w:val="auto"/>
              </w:rPr>
            </w:pPr>
          </w:p>
        </w:tc>
      </w:tr>
      <w:tr>
        <w:trPr>
          <w:trHeight w:val="217"/>
        </w:trPr>
        <w:tc>
          <w:tcPr>
            <w:tcW w:w="1820" w:type="dxa"/>
            <w:vAlign w:val="bottom"/>
          </w:tcPr>
          <w:p>
            <w:pPr>
              <w:jc w:val="center"/>
              <w:ind w:left="82"/>
              <w:spacing w:after="0"/>
              <w:rPr>
                <w:sz w:val="20"/>
                <w:szCs w:val="20"/>
                <w:color w:val="auto"/>
              </w:rPr>
            </w:pPr>
            <w:r>
              <w:rPr>
                <w:rFonts w:ascii="Times New Roman" w:cs="Times New Roman" w:eastAsia="Times New Roman" w:hAnsi="Times New Roman"/>
                <w:sz w:val="12"/>
                <w:szCs w:val="12"/>
                <w:color w:val="auto"/>
                <w:w w:val="97"/>
              </w:rPr>
              <w:t>August 2017</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187,207</w:t>
            </w:r>
          </w:p>
        </w:tc>
        <w:tc>
          <w:tcPr>
            <w:tcW w:w="160" w:type="dxa"/>
            <w:vAlign w:val="bottom"/>
          </w:tcPr>
          <w:p>
            <w:pPr>
              <w:spacing w:after="0"/>
              <w:rPr>
                <w:sz w:val="18"/>
                <w:szCs w:val="18"/>
                <w:color w:val="auto"/>
              </w:rPr>
            </w:pPr>
          </w:p>
        </w:tc>
        <w:tc>
          <w:tcPr>
            <w:tcW w:w="182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15.81</w:t>
            </w:r>
          </w:p>
        </w:tc>
        <w:tc>
          <w:tcPr>
            <w:tcW w:w="20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187,207</w:t>
            </w:r>
          </w:p>
        </w:tc>
        <w:tc>
          <w:tcPr>
            <w:tcW w:w="2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18,659,580</w:t>
            </w:r>
          </w:p>
        </w:tc>
        <w:tc>
          <w:tcPr>
            <w:tcW w:w="0" w:type="dxa"/>
            <w:vAlign w:val="bottom"/>
          </w:tcPr>
          <w:p>
            <w:pPr>
              <w:spacing w:after="0"/>
              <w:rPr>
                <w:sz w:val="1"/>
                <w:szCs w:val="1"/>
                <w:color w:val="auto"/>
              </w:rPr>
            </w:pPr>
          </w:p>
        </w:tc>
      </w:tr>
      <w:tr>
        <w:trPr>
          <w:trHeight w:val="217"/>
        </w:trPr>
        <w:tc>
          <w:tcPr>
            <w:tcW w:w="1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6"/>
              </w:rPr>
              <w:t>September 2017</w:t>
            </w:r>
          </w:p>
        </w:tc>
        <w:tc>
          <w:tcPr>
            <w:tcW w:w="19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5,000</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15.71</w:t>
            </w:r>
          </w:p>
        </w:tc>
        <w:tc>
          <w:tcPr>
            <w:tcW w:w="2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5,000</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18,581,038</w:t>
            </w:r>
          </w:p>
        </w:tc>
        <w:tc>
          <w:tcPr>
            <w:tcW w:w="0" w:type="dxa"/>
            <w:vAlign w:val="bottom"/>
          </w:tcPr>
          <w:p>
            <w:pPr>
              <w:spacing w:after="0"/>
              <w:rPr>
                <w:sz w:val="1"/>
                <w:szCs w:val="1"/>
                <w:color w:val="auto"/>
              </w:rPr>
            </w:pPr>
          </w:p>
        </w:tc>
      </w:tr>
      <w:tr>
        <w:trPr>
          <w:trHeight w:val="217"/>
        </w:trPr>
        <w:tc>
          <w:tcPr>
            <w:tcW w:w="1820" w:type="dxa"/>
            <w:vAlign w:val="bottom"/>
          </w:tcPr>
          <w:p>
            <w:pPr>
              <w:jc w:val="center"/>
              <w:ind w:left="82"/>
              <w:spacing w:after="0"/>
              <w:rPr>
                <w:sz w:val="20"/>
                <w:szCs w:val="20"/>
                <w:color w:val="auto"/>
              </w:rPr>
            </w:pPr>
            <w:r>
              <w:rPr>
                <w:rFonts w:ascii="Times New Roman" w:cs="Times New Roman" w:eastAsia="Times New Roman" w:hAnsi="Times New Roman"/>
                <w:sz w:val="12"/>
                <w:szCs w:val="12"/>
                <w:color w:val="auto"/>
                <w:w w:val="97"/>
              </w:rPr>
              <w:t>October 2017</w:t>
            </w:r>
          </w:p>
        </w:tc>
        <w:tc>
          <w:tcPr>
            <w:tcW w:w="19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8"/>
                <w:szCs w:val="18"/>
                <w:color w:val="auto"/>
              </w:rPr>
            </w:pPr>
          </w:p>
        </w:tc>
        <w:tc>
          <w:tcPr>
            <w:tcW w:w="18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2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18,581,038</w:t>
            </w:r>
          </w:p>
        </w:tc>
        <w:tc>
          <w:tcPr>
            <w:tcW w:w="0" w:type="dxa"/>
            <w:vAlign w:val="bottom"/>
          </w:tcPr>
          <w:p>
            <w:pPr>
              <w:spacing w:after="0"/>
              <w:rPr>
                <w:sz w:val="1"/>
                <w:szCs w:val="1"/>
                <w:color w:val="auto"/>
              </w:rPr>
            </w:pPr>
          </w:p>
        </w:tc>
      </w:tr>
      <w:tr>
        <w:trPr>
          <w:trHeight w:val="217"/>
        </w:trPr>
        <w:tc>
          <w:tcPr>
            <w:tcW w:w="18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2"/>
                <w:szCs w:val="12"/>
                <w:color w:val="auto"/>
                <w:w w:val="97"/>
              </w:rPr>
              <w:t>November 2017</w:t>
            </w:r>
          </w:p>
        </w:tc>
        <w:tc>
          <w:tcPr>
            <w:tcW w:w="19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2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18,581,038</w:t>
            </w:r>
          </w:p>
        </w:tc>
        <w:tc>
          <w:tcPr>
            <w:tcW w:w="0" w:type="dxa"/>
            <w:vAlign w:val="bottom"/>
          </w:tcPr>
          <w:p>
            <w:pPr>
              <w:spacing w:after="0"/>
              <w:rPr>
                <w:sz w:val="1"/>
                <w:szCs w:val="1"/>
                <w:color w:val="auto"/>
              </w:rPr>
            </w:pPr>
          </w:p>
        </w:tc>
      </w:tr>
      <w:tr>
        <w:trPr>
          <w:trHeight w:val="276"/>
        </w:trPr>
        <w:tc>
          <w:tcPr>
            <w:tcW w:w="1820" w:type="dxa"/>
            <w:vAlign w:val="bottom"/>
            <w:tcBorders>
              <w:bottom w:val="single" w:sz="8" w:color="CCEEFF"/>
            </w:tcBorders>
          </w:tcPr>
          <w:p>
            <w:pPr>
              <w:jc w:val="center"/>
              <w:ind w:left="82"/>
              <w:spacing w:after="0"/>
              <w:rPr>
                <w:sz w:val="20"/>
                <w:szCs w:val="20"/>
                <w:color w:val="auto"/>
              </w:rPr>
            </w:pPr>
            <w:r>
              <w:rPr>
                <w:rFonts w:ascii="Times New Roman" w:cs="Times New Roman" w:eastAsia="Times New Roman" w:hAnsi="Times New Roman"/>
                <w:sz w:val="12"/>
                <w:szCs w:val="12"/>
                <w:color w:val="auto"/>
                <w:w w:val="94"/>
              </w:rPr>
              <w:t>December 2017</w:t>
            </w:r>
          </w:p>
        </w:tc>
        <w:tc>
          <w:tcPr>
            <w:tcW w:w="1900" w:type="dxa"/>
            <w:vAlign w:val="bottom"/>
            <w:tcBorders>
              <w:bottom w:val="single" w:sz="8" w:color="CCEEFF"/>
            </w:tcBorders>
          </w:tcPr>
          <w:p>
            <w:pPr>
              <w:jc w:val="right"/>
              <w:ind w:right="62"/>
              <w:spacing w:after="0"/>
              <w:rPr>
                <w:sz w:val="20"/>
                <w:szCs w:val="20"/>
                <w:color w:val="auto"/>
              </w:rPr>
            </w:pPr>
            <w:r>
              <w:rPr>
                <w:rFonts w:ascii="Times New Roman" w:cs="Times New Roman" w:eastAsia="Times New Roman" w:hAnsi="Times New Roman"/>
                <w:sz w:val="12"/>
                <w:szCs w:val="12"/>
                <w:color w:val="auto"/>
              </w:rPr>
              <w:t>6,567</w:t>
            </w:r>
          </w:p>
        </w:tc>
        <w:tc>
          <w:tcPr>
            <w:tcW w:w="16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jc w:val="right"/>
              <w:ind w:right="162"/>
              <w:spacing w:after="0"/>
              <w:rPr>
                <w:sz w:val="20"/>
                <w:szCs w:val="20"/>
                <w:color w:val="auto"/>
              </w:rPr>
            </w:pPr>
            <w:r>
              <w:rPr>
                <w:rFonts w:ascii="Times New Roman" w:cs="Times New Roman" w:eastAsia="Times New Roman" w:hAnsi="Times New Roman"/>
                <w:sz w:val="12"/>
                <w:szCs w:val="12"/>
                <w:color w:val="auto"/>
              </w:rPr>
              <w:t>16.01</w:t>
            </w:r>
          </w:p>
        </w:tc>
        <w:tc>
          <w:tcPr>
            <w:tcW w:w="200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2"/>
                <w:szCs w:val="12"/>
                <w:color w:val="auto"/>
              </w:rPr>
              <w:t>6,567</w:t>
            </w:r>
          </w:p>
        </w:tc>
        <w:tc>
          <w:tcPr>
            <w:tcW w:w="200" w:type="dxa"/>
            <w:vAlign w:val="bottom"/>
            <w:tcBorders>
              <w:bottom w:val="single" w:sz="8" w:color="CCEEFF"/>
            </w:tcBorders>
          </w:tcPr>
          <w:p>
            <w:pPr>
              <w:spacing w:after="0"/>
              <w:rPr>
                <w:sz w:val="23"/>
                <w:szCs w:val="23"/>
                <w:color w:val="auto"/>
              </w:rPr>
            </w:pPr>
          </w:p>
        </w:tc>
        <w:tc>
          <w:tcPr>
            <w:tcW w:w="2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18,475,900</w:t>
            </w:r>
          </w:p>
        </w:tc>
        <w:tc>
          <w:tcPr>
            <w:tcW w:w="0" w:type="dxa"/>
            <w:vAlign w:val="bottom"/>
          </w:tcPr>
          <w:p>
            <w:pPr>
              <w:spacing w:after="0"/>
              <w:rPr>
                <w:sz w:val="1"/>
                <w:szCs w:val="1"/>
                <w:color w:val="auto"/>
              </w:rPr>
            </w:pPr>
          </w:p>
        </w:tc>
      </w:tr>
      <w:tr>
        <w:trPr>
          <w:trHeight w:val="188"/>
        </w:trPr>
        <w:tc>
          <w:tcPr>
            <w:tcW w:w="1820" w:type="dxa"/>
            <w:vAlign w:val="bottom"/>
            <w:tcBorders>
              <w:top w:val="single" w:sz="8" w:color="auto"/>
              <w:bottom w:val="single" w:sz="8" w:color="auto"/>
            </w:tcBorders>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19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409,723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15.92</w:t>
            </w:r>
          </w:p>
        </w:tc>
        <w:tc>
          <w:tcPr>
            <w:tcW w:w="20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409,723</w:t>
            </w: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2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18,475,900</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3" w:right="739" w:bottom="1440" w:gutter="0" w:footer="0" w:header="0"/>
        </w:sectPr>
      </w:pPr>
    </w:p>
    <w:bookmarkStart w:id="33" w:name="page34"/>
    <w:bookmarkEnd w:id="33"/>
    <w:p>
      <w:pPr>
        <w:ind w:right="20"/>
        <w:spacing w:after="0" w:line="272" w:lineRule="auto"/>
        <w:rPr>
          <w:sz w:val="20"/>
          <w:szCs w:val="20"/>
          <w:color w:val="auto"/>
        </w:rPr>
      </w:pPr>
      <w:r>
        <w:rPr>
          <w:rFonts w:ascii="Times New Roman" w:cs="Times New Roman" w:eastAsia="Times New Roman" w:hAnsi="Times New Roman"/>
          <w:sz w:val="14"/>
          <w:szCs w:val="14"/>
          <w:color w:val="auto"/>
        </w:rPr>
        <w:t xml:space="preserve">Previously, in May 2014, our Board of Directors had authorized a stock buy-back program to spend up to an aggregate of $10.0 million to acquire shares of the Company’s Class A Stock. We executed these repurchases pursuant to the publicly announced stock buy-back program requirements. As of December 31, 2016, we had fully spent the $10.0 million budget. Refer to </w:t>
      </w:r>
      <w:r>
        <w:rPr>
          <w:rFonts w:ascii="Times New Roman" w:cs="Times New Roman" w:eastAsia="Times New Roman" w:hAnsi="Times New Roman"/>
          <w:sz w:val="14"/>
          <w:szCs w:val="14"/>
          <w:i w:val="1"/>
          <w:iCs w:val="1"/>
          <w:color w:val="auto"/>
        </w:rPr>
        <w:t>Note 14 - Share-Based Compensation and Share Repurchase Plans</w:t>
      </w:r>
      <w:r>
        <w:rPr>
          <w:rFonts w:ascii="Times New Roman" w:cs="Times New Roman" w:eastAsia="Times New Roman" w:hAnsi="Times New Roman"/>
          <w:sz w:val="14"/>
          <w:szCs w:val="14"/>
          <w:color w:val="auto"/>
        </w:rPr>
        <w:t xml:space="preserve"> in the 2017 Consolidated Financial Statements for further details. The following table summarizes the repurchases (by month) during the fiscal year 2016: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Total Number of Shares Purchased</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Approximate Dollar Value of Shares</w:t>
            </w:r>
          </w:p>
        </w:tc>
        <w:tc>
          <w:tcPr>
            <w:tcW w:w="0" w:type="dxa"/>
            <w:vAlign w:val="bottom"/>
          </w:tcPr>
          <w:p>
            <w:pPr>
              <w:spacing w:after="0"/>
              <w:rPr>
                <w:sz w:val="1"/>
                <w:szCs w:val="1"/>
                <w:color w:val="auto"/>
              </w:rPr>
            </w:pPr>
          </w:p>
        </w:tc>
      </w:tr>
      <w:tr>
        <w:trPr>
          <w:trHeight w:val="119"/>
        </w:trPr>
        <w:tc>
          <w:tcPr>
            <w:tcW w:w="2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2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Total Number of Shares Purchased</w:t>
            </w:r>
          </w:p>
        </w:tc>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Average Price Paid per Share</w:t>
            </w:r>
          </w:p>
        </w:tc>
        <w:tc>
          <w:tcPr>
            <w:tcW w:w="20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5"/>
              </w:rPr>
              <w:t>as part of our Stock Buy-Back</w:t>
            </w:r>
          </w:p>
        </w:tc>
        <w:tc>
          <w:tcPr>
            <w:tcW w:w="19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6"/>
              </w:rPr>
              <w:t>that may yet be Purchased under the</w:t>
            </w:r>
          </w:p>
        </w:tc>
        <w:tc>
          <w:tcPr>
            <w:tcW w:w="0" w:type="dxa"/>
            <w:vAlign w:val="bottom"/>
          </w:tcPr>
          <w:p>
            <w:pPr>
              <w:spacing w:after="0"/>
              <w:rPr>
                <w:sz w:val="1"/>
                <w:szCs w:val="1"/>
                <w:color w:val="auto"/>
              </w:rPr>
            </w:pPr>
          </w:p>
        </w:tc>
      </w:tr>
      <w:tr>
        <w:trPr>
          <w:trHeight w:val="140"/>
        </w:trPr>
        <w:tc>
          <w:tcPr>
            <w:tcW w:w="268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Program</w:t>
            </w:r>
          </w:p>
        </w:tc>
        <w:tc>
          <w:tcPr>
            <w:tcW w:w="240" w:type="dxa"/>
            <w:vAlign w:val="bottom"/>
          </w:tcPr>
          <w:p>
            <w:pPr>
              <w:spacing w:after="0"/>
              <w:rPr>
                <w:sz w:val="12"/>
                <w:szCs w:val="12"/>
                <w:color w:val="auto"/>
              </w:rPr>
            </w:pPr>
          </w:p>
        </w:tc>
        <w:tc>
          <w:tcPr>
            <w:tcW w:w="1660" w:type="dxa"/>
            <w:vAlign w:val="bottom"/>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5"/>
              </w:rPr>
              <w:t>Stock Buy-Back Program</w:t>
            </w:r>
          </w:p>
        </w:tc>
        <w:tc>
          <w:tcPr>
            <w:tcW w:w="0" w:type="dxa"/>
            <w:vAlign w:val="bottom"/>
          </w:tcPr>
          <w:p>
            <w:pPr>
              <w:spacing w:after="0"/>
              <w:rPr>
                <w:sz w:val="1"/>
                <w:szCs w:val="1"/>
                <w:color w:val="auto"/>
              </w:rPr>
            </w:pPr>
          </w:p>
        </w:tc>
      </w:tr>
      <w:tr>
        <w:trPr>
          <w:trHeight w:val="163"/>
        </w:trPr>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11/1/2016 - 11/30/2016</w:t>
            </w:r>
          </w:p>
        </w:tc>
        <w:tc>
          <w:tcPr>
            <w:tcW w:w="1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81,439</w:t>
            </w:r>
          </w:p>
        </w:tc>
        <w:tc>
          <w:tcPr>
            <w:tcW w:w="1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w:t>
            </w:r>
          </w:p>
        </w:tc>
        <w:tc>
          <w:tcPr>
            <w:tcW w:w="16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81,439</w:t>
            </w:r>
          </w:p>
        </w:tc>
        <w:tc>
          <w:tcPr>
            <w:tcW w:w="1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1,608,313</w:t>
            </w:r>
          </w:p>
        </w:tc>
        <w:tc>
          <w:tcPr>
            <w:tcW w:w="0" w:type="dxa"/>
            <w:vAlign w:val="bottom"/>
          </w:tcPr>
          <w:p>
            <w:pPr>
              <w:spacing w:after="0"/>
              <w:rPr>
                <w:sz w:val="1"/>
                <w:szCs w:val="1"/>
                <w:color w:val="auto"/>
              </w:rPr>
            </w:pPr>
          </w:p>
        </w:tc>
      </w:tr>
      <w:tr>
        <w:trPr>
          <w:trHeight w:val="174"/>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12/1/2016 - 12/31/2016</w:t>
            </w: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100,300</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16.04</w:t>
            </w: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100,300</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6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181,739</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15.64</w:t>
            </w:r>
          </w:p>
        </w:tc>
        <w:tc>
          <w:tcPr>
            <w:tcW w:w="160" w:type="dxa"/>
            <w:vAlign w:val="bottom"/>
            <w:tcBorders>
              <w:bottom w:val="single" w:sz="8" w:color="auto"/>
            </w:tcBorders>
            <w:shd w:val="clear" w:color="auto" w:fill="CCEEFF"/>
          </w:tcPr>
          <w:p>
            <w:pPr>
              <w:spacing w:after="0"/>
              <w:rPr>
                <w:sz w:val="12"/>
                <w:szCs w:val="1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181,739</w:t>
            </w:r>
          </w:p>
        </w:tc>
        <w:tc>
          <w:tcPr>
            <w:tcW w:w="1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6 – Selected Financial Data</w:t>
      </w:r>
    </w:p>
    <w:p>
      <w:pPr>
        <w:spacing w:after="0" w:line="152" w:lineRule="exact"/>
        <w:rPr>
          <w:sz w:val="20"/>
          <w:szCs w:val="20"/>
          <w:color w:val="auto"/>
        </w:rPr>
      </w:pPr>
    </w:p>
    <w:p>
      <w:pPr>
        <w:ind w:right="720"/>
        <w:spacing w:after="0" w:line="300" w:lineRule="auto"/>
        <w:rPr>
          <w:sz w:val="20"/>
          <w:szCs w:val="20"/>
          <w:color w:val="auto"/>
        </w:rPr>
      </w:pPr>
      <w:r>
        <w:rPr>
          <w:rFonts w:ascii="Times New Roman" w:cs="Times New Roman" w:eastAsia="Times New Roman" w:hAnsi="Times New Roman"/>
          <w:sz w:val="14"/>
          <w:szCs w:val="14"/>
          <w:color w:val="auto"/>
        </w:rPr>
        <w:t>The table below sets forth certain historical financial data regarding our Company. This information is derived in part from, and should be read in conjunction with, our consolidated financial statements included in Item 8 of this 2017 Annual Report, and the related notes to the consolidated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b w:val="1"/>
                <w:bCs w:val="1"/>
                <w:i w:val="1"/>
                <w:iCs w:val="1"/>
                <w:color w:val="auto"/>
              </w:rPr>
              <w:t>($ in thousands, except per share data)</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2015</w:t>
            </w:r>
            <w:r>
              <w:rPr>
                <w:rFonts w:ascii="Times New Roman" w:cs="Times New Roman" w:eastAsia="Times New Roman" w:hAnsi="Times New Roman"/>
                <w:sz w:val="5"/>
                <w:szCs w:val="5"/>
                <w:b w:val="1"/>
                <w:bCs w:val="1"/>
                <w:color w:val="auto"/>
              </w:rPr>
              <w:t>(2)</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2014</w:t>
            </w:r>
            <w:r>
              <w:rPr>
                <w:rFonts w:ascii="Times New Roman" w:cs="Times New Roman" w:eastAsia="Times New Roman" w:hAnsi="Times New Roman"/>
                <w:sz w:val="5"/>
                <w:szCs w:val="5"/>
                <w:b w:val="1"/>
                <w:bCs w:val="1"/>
                <w:color w:val="auto"/>
              </w:rPr>
              <w:t>(2)</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2013</w:t>
            </w:r>
            <w:r>
              <w:rPr>
                <w:rFonts w:ascii="Times New Roman" w:cs="Times New Roman" w:eastAsia="Times New Roman" w:hAnsi="Times New Roman"/>
                <w:sz w:val="5"/>
                <w:szCs w:val="5"/>
                <w:b w:val="1"/>
                <w:bCs w:val="1"/>
                <w:color w:val="auto"/>
              </w:rPr>
              <w:t>(3)</w:t>
            </w:r>
          </w:p>
        </w:tc>
      </w:tr>
      <w:tr>
        <w:trPr>
          <w:trHeight w:val="141"/>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Statement of operations</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54"/>
        </w:trPr>
        <w:tc>
          <w:tcPr>
            <w:tcW w:w="11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2"/>
                <w:szCs w:val="12"/>
                <w:color w:val="auto"/>
              </w:rPr>
              <w:t>Revenue</w:t>
            </w:r>
          </w:p>
        </w:tc>
        <w:tc>
          <w:tcPr>
            <w:tcW w:w="2280" w:type="dxa"/>
            <w:vAlign w:val="bottom"/>
            <w:tcBorders>
              <w:top w:val="single" w:sz="8" w:color="CCEEFF"/>
            </w:tcBorders>
            <w:gridSpan w:val="2"/>
          </w:tcPr>
          <w:p>
            <w:pPr>
              <w:spacing w:after="0"/>
              <w:rPr>
                <w:sz w:val="13"/>
                <w:szCs w:val="13"/>
                <w:color w:val="auto"/>
              </w:rPr>
            </w:pPr>
          </w:p>
        </w:tc>
        <w:tc>
          <w:tcPr>
            <w:tcW w:w="320" w:type="dxa"/>
            <w:vAlign w:val="bottom"/>
            <w:tcBorders>
              <w:top w:val="single" w:sz="8" w:color="CCEEFF"/>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279,734</w:t>
            </w:r>
          </w:p>
        </w:tc>
        <w:tc>
          <w:tcPr>
            <w:tcW w:w="28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270,473</w:t>
            </w:r>
          </w:p>
        </w:tc>
        <w:tc>
          <w:tcPr>
            <w:tcW w:w="2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257,865</w:t>
            </w:r>
          </w:p>
        </w:tc>
        <w:tc>
          <w:tcPr>
            <w:tcW w:w="2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255,242</w:t>
            </w:r>
          </w:p>
        </w:tc>
        <w:tc>
          <w:tcPr>
            <w:tcW w:w="26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258,221</w:t>
            </w:r>
          </w:p>
        </w:tc>
      </w:tr>
      <w:tr>
        <w:trPr>
          <w:trHeight w:val="163"/>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20,561</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20,311</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23,696</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22,667</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20,935</w:t>
            </w:r>
          </w:p>
        </w:tc>
      </w:tr>
      <w:tr>
        <w:trPr>
          <w:trHeight w:val="163"/>
        </w:trPr>
        <w:tc>
          <w:tcPr>
            <w:tcW w:w="3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Net income attributable to RDI</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30,999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23,110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25,335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9,041</w:t>
            </w:r>
          </w:p>
        </w:tc>
      </w:tr>
      <w:tr>
        <w:trPr>
          <w:trHeight w:val="163"/>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common share</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3"/>
        </w:trPr>
        <w:tc>
          <w:tcPr>
            <w:tcW w:w="346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Net income/ attributed to RDI</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46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Basic EPS</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1.35</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0.99</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0.39</w:t>
            </w:r>
          </w:p>
        </w:tc>
      </w:tr>
      <w:tr>
        <w:trPr>
          <w:trHeight w:val="163"/>
        </w:trPr>
        <w:tc>
          <w:tcPr>
            <w:tcW w:w="3460" w:type="dxa"/>
            <w:vAlign w:val="bottom"/>
            <w:gridSpan w:val="6"/>
          </w:tcPr>
          <w:p>
            <w:pPr>
              <w:ind w:left="120"/>
              <w:spacing w:after="0"/>
              <w:rPr>
                <w:sz w:val="20"/>
                <w:szCs w:val="20"/>
                <w:color w:val="auto"/>
              </w:rPr>
            </w:pPr>
            <w:r>
              <w:rPr>
                <w:rFonts w:ascii="Times New Roman" w:cs="Times New Roman" w:eastAsia="Times New Roman" w:hAnsi="Times New Roman"/>
                <w:sz w:val="12"/>
                <w:szCs w:val="12"/>
                <w:color w:val="auto"/>
              </w:rPr>
              <w:t>Diluted EPS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0.38</w:t>
            </w:r>
          </w:p>
        </w:tc>
      </w:tr>
      <w:tr>
        <w:trPr>
          <w:trHeight w:val="152"/>
        </w:trPr>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4"/>
              </w:rPr>
              <w:t>Balance sheet</w:t>
            </w:r>
          </w:p>
        </w:tc>
        <w:tc>
          <w:tcPr>
            <w:tcW w:w="2780" w:type="dxa"/>
            <w:vAlign w:val="bottom"/>
            <w:tcBorders>
              <w:bottom w:val="single" w:sz="8" w:color="CCEEFF"/>
            </w:tcBorders>
            <w:gridSpan w:val="5"/>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54"/>
        </w:trPr>
        <w:tc>
          <w:tcPr>
            <w:tcW w:w="3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423,026</w:t>
            </w:r>
          </w:p>
        </w:tc>
        <w:tc>
          <w:tcPr>
            <w:tcW w:w="280" w:type="dxa"/>
            <w:vAlign w:val="bottom"/>
          </w:tcPr>
          <w:p>
            <w:pPr>
              <w:spacing w:after="0"/>
              <w:rPr>
                <w:sz w:val="13"/>
                <w:szCs w:val="13"/>
                <w:color w:val="auto"/>
              </w:rPr>
            </w:pP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405,766</w:t>
            </w:r>
          </w:p>
        </w:tc>
        <w:tc>
          <w:tcPr>
            <w:tcW w:w="260" w:type="dxa"/>
            <w:vAlign w:val="bottom"/>
          </w:tcPr>
          <w:p>
            <w:pPr>
              <w:spacing w:after="0"/>
              <w:rPr>
                <w:sz w:val="13"/>
                <w:szCs w:val="13"/>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372,198</w:t>
            </w:r>
          </w:p>
        </w:tc>
        <w:tc>
          <w:tcPr>
            <w:tcW w:w="260" w:type="dxa"/>
            <w:vAlign w:val="bottom"/>
          </w:tcPr>
          <w:p>
            <w:pPr>
              <w:spacing w:after="0"/>
              <w:rPr>
                <w:sz w:val="13"/>
                <w:szCs w:val="13"/>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401,586</w:t>
            </w:r>
          </w:p>
        </w:tc>
        <w:tc>
          <w:tcPr>
            <w:tcW w:w="260" w:type="dxa"/>
            <w:vAlign w:val="bottom"/>
          </w:tcPr>
          <w:p>
            <w:pPr>
              <w:spacing w:after="0"/>
              <w:rPr>
                <w:sz w:val="13"/>
                <w:szCs w:val="13"/>
                <w:color w:val="auto"/>
              </w:rPr>
            </w:pP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386,807</w:t>
            </w:r>
          </w:p>
        </w:tc>
      </w:tr>
      <w:tr>
        <w:trPr>
          <w:trHeight w:val="163"/>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debt (gross of deferred financing costs)</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134,501</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148,535</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130,941</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164,036</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168,460</w:t>
            </w:r>
          </w:p>
        </w:tc>
      </w:tr>
      <w:tr>
        <w:trPr>
          <w:trHeight w:val="249"/>
        </w:trPr>
        <w:tc>
          <w:tcPr>
            <w:tcW w:w="3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Working capital (deficit)</w:t>
            </w:r>
            <w:r>
              <w:rPr>
                <w:rFonts w:ascii="Times New Roman" w:cs="Times New Roman" w:eastAsia="Times New Roman" w:hAnsi="Times New Roman"/>
                <w:sz w:val="5"/>
                <w:szCs w:val="5"/>
                <w:color w:val="auto"/>
              </w:rPr>
              <w:t>(4)</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(46,971)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(35,581)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(15,119)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(75,067)</w:t>
            </w:r>
          </w:p>
        </w:tc>
      </w:tr>
      <w:tr>
        <w:trPr>
          <w:trHeight w:val="163"/>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181,241</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146,615</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138,951</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133,716</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123,531</w:t>
            </w:r>
          </w:p>
        </w:tc>
      </w:tr>
      <w:tr>
        <w:trPr>
          <w:trHeight w:val="152"/>
        </w:trPr>
        <w:tc>
          <w:tcPr>
            <w:tcW w:w="346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Statement of cash flows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4"/>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provided by / (used in):</w:t>
            </w: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3"/>
        </w:trPr>
        <w:tc>
          <w:tcPr>
            <w:tcW w:w="346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Operating activities</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23,851</w:t>
            </w:r>
          </w:p>
        </w:tc>
        <w:tc>
          <w:tcPr>
            <w:tcW w:w="280" w:type="dxa"/>
            <w:vAlign w:val="bottom"/>
          </w:tcPr>
          <w:p>
            <w:pPr>
              <w:spacing w:after="0"/>
              <w:rPr>
                <w:sz w:val="14"/>
                <w:szCs w:val="14"/>
                <w:color w:val="auto"/>
              </w:rPr>
            </w:pP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30,188</w:t>
            </w:r>
          </w:p>
        </w:tc>
        <w:tc>
          <w:tcPr>
            <w:tcW w:w="260" w:type="dxa"/>
            <w:vAlign w:val="bottom"/>
          </w:tcPr>
          <w:p>
            <w:pPr>
              <w:spacing w:after="0"/>
              <w:rPr>
                <w:sz w:val="14"/>
                <w:szCs w:val="14"/>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28,574</w:t>
            </w:r>
          </w:p>
        </w:tc>
        <w:tc>
          <w:tcPr>
            <w:tcW w:w="260" w:type="dxa"/>
            <w:vAlign w:val="bottom"/>
          </w:tcPr>
          <w:p>
            <w:pPr>
              <w:spacing w:after="0"/>
              <w:rPr>
                <w:sz w:val="14"/>
                <w:szCs w:val="14"/>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28,343</w:t>
            </w:r>
          </w:p>
        </w:tc>
        <w:tc>
          <w:tcPr>
            <w:tcW w:w="260" w:type="dxa"/>
            <w:vAlign w:val="bottom"/>
          </w:tcPr>
          <w:p>
            <w:pPr>
              <w:spacing w:after="0"/>
              <w:rPr>
                <w:sz w:val="14"/>
                <w:szCs w:val="14"/>
                <w:color w:val="auto"/>
              </w:rPr>
            </w:pP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25,183</w:t>
            </w:r>
          </w:p>
        </w:tc>
      </w:tr>
      <w:tr>
        <w:trPr>
          <w:trHeight w:val="163"/>
        </w:trPr>
        <w:tc>
          <w:tcPr>
            <w:tcW w:w="34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Investing activities</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(6,786)</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(42,861)</w:t>
            </w: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(29,710)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(9,898)</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(6,142)</w:t>
            </w:r>
          </w:p>
        </w:tc>
      </w:tr>
      <w:tr>
        <w:trPr>
          <w:trHeight w:val="163"/>
        </w:trPr>
        <w:tc>
          <w:tcPr>
            <w:tcW w:w="346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Financing activities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(22,055)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11,246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(27,961)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(3,275)</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(17,775)</w:t>
            </w:r>
          </w:p>
        </w:tc>
      </w:tr>
      <w:tr>
        <w:trPr>
          <w:trHeight w:val="152"/>
        </w:trPr>
        <w:tc>
          <w:tcPr>
            <w:tcW w:w="9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5"/>
              </w:rPr>
              <w:t>Other Information</w:t>
            </w:r>
          </w:p>
        </w:tc>
        <w:tc>
          <w:tcPr>
            <w:tcW w:w="2520" w:type="dxa"/>
            <w:vAlign w:val="bottom"/>
            <w:tcBorders>
              <w:bottom w:val="single" w:sz="8" w:color="CCEEFF"/>
            </w:tcBorders>
            <w:gridSpan w:val="4"/>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54"/>
        </w:trPr>
        <w:tc>
          <w:tcPr>
            <w:tcW w:w="3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EBIT</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40,530</w:t>
            </w:r>
          </w:p>
        </w:tc>
        <w:tc>
          <w:tcPr>
            <w:tcW w:w="280" w:type="dxa"/>
            <w:vAlign w:val="bottom"/>
          </w:tcPr>
          <w:p>
            <w:pPr>
              <w:spacing w:after="0"/>
              <w:rPr>
                <w:sz w:val="13"/>
                <w:szCs w:val="13"/>
                <w:color w:val="auto"/>
              </w:rPr>
            </w:pP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20,205</w:t>
            </w:r>
          </w:p>
        </w:tc>
        <w:tc>
          <w:tcPr>
            <w:tcW w:w="260" w:type="dxa"/>
            <w:vAlign w:val="bottom"/>
          </w:tcPr>
          <w:p>
            <w:pPr>
              <w:spacing w:after="0"/>
              <w:rPr>
                <w:sz w:val="13"/>
                <w:szCs w:val="13"/>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35,562</w:t>
            </w:r>
          </w:p>
        </w:tc>
        <w:tc>
          <w:tcPr>
            <w:tcW w:w="260" w:type="dxa"/>
            <w:vAlign w:val="bottom"/>
          </w:tcPr>
          <w:p>
            <w:pPr>
              <w:spacing w:after="0"/>
              <w:rPr>
                <w:sz w:val="13"/>
                <w:szCs w:val="13"/>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25,410</w:t>
            </w:r>
          </w:p>
        </w:tc>
        <w:tc>
          <w:tcPr>
            <w:tcW w:w="260" w:type="dxa"/>
            <w:vAlign w:val="bottom"/>
          </w:tcPr>
          <w:p>
            <w:pPr>
              <w:spacing w:after="0"/>
              <w:rPr>
                <w:sz w:val="13"/>
                <w:szCs w:val="13"/>
                <w:color w:val="auto"/>
              </w:rPr>
            </w:pP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24,020</w:t>
            </w:r>
          </w:p>
        </w:tc>
      </w:tr>
      <w:tr>
        <w:trPr>
          <w:trHeight w:val="163"/>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EBITDA</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57,472</w:t>
            </w:r>
          </w:p>
        </w:tc>
        <w:tc>
          <w:tcPr>
            <w:tcW w:w="2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6"/>
                <w:szCs w:val="6"/>
                <w:color w:val="auto"/>
                <w:w w:val="85"/>
              </w:rPr>
              <w:t>(1)</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35,894</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50,124</w:t>
            </w:r>
          </w:p>
        </w:tc>
        <w:tc>
          <w:tcPr>
            <w:tcW w:w="2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4"/>
                <w:szCs w:val="4"/>
                <w:color w:val="auto"/>
                <w:w w:val="84"/>
              </w:rPr>
              <w:t>(1)</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40,878</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39,217</w:t>
            </w:r>
          </w:p>
        </w:tc>
      </w:tr>
      <w:tr>
        <w:trPr>
          <w:trHeight w:val="163"/>
        </w:trPr>
        <w:tc>
          <w:tcPr>
            <w:tcW w:w="3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Debt to EBITDA Ratio</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w:t>
            </w:r>
          </w:p>
        </w:tc>
      </w:tr>
      <w:tr>
        <w:trPr>
          <w:trHeight w:val="163"/>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 (including acquisitions)</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76,708</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49,166</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53,119</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14,914</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20,082</w:t>
            </w:r>
          </w:p>
        </w:tc>
      </w:tr>
      <w:tr>
        <w:trPr>
          <w:trHeight w:val="141"/>
        </w:trPr>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3"/>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outstanding</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22,931,881</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23,178,307</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23,334,892</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23,237,076</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23,385,519</w:t>
            </w:r>
          </w:p>
        </w:tc>
      </w:tr>
      <w:tr>
        <w:trPr>
          <w:trHeight w:val="163"/>
        </w:trPr>
        <w:tc>
          <w:tcPr>
            <w:tcW w:w="346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Weighted average - basic</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23,041,190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23,431,855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23,293,696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23,431,855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23,348,003</w:t>
            </w:r>
          </w:p>
        </w:tc>
      </w:tr>
      <w:tr>
        <w:trPr>
          <w:trHeight w:val="163"/>
        </w:trPr>
        <w:tc>
          <w:tcPr>
            <w:tcW w:w="34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Weighted average - diluted</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23,247,969</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23,749,221</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23,495,618</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23,749,221</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23,520,271</w:t>
            </w:r>
          </w:p>
        </w:tc>
      </w:tr>
      <w:tr>
        <w:trPr>
          <w:trHeight w:val="175"/>
        </w:trPr>
        <w:tc>
          <w:tcPr>
            <w:tcW w:w="3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Number of employees at 12/31</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2,585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vertAlign w:val="superscript"/>
        </w:rPr>
        <w:t>(1</w:t>
      </w:r>
      <w:r>
        <w:rPr>
          <w:rFonts w:ascii="Times New Roman" w:cs="Times New Roman" w:eastAsia="Times New Roman" w:hAnsi="Times New Roman"/>
          <w:sz w:val="10"/>
          <w:szCs w:val="10"/>
          <w:i w:val="1"/>
          <w:iCs w:val="1"/>
          <w:color w:val="auto"/>
        </w:rPr>
        <w:t xml:space="preserve"> 2017 includes gain on sale of assets amounting to $9.4 million and casualty gain of $9.2 million. 2015 Includes gain on sale of assets amounting to $11.0 million.</w:t>
      </w:r>
    </w:p>
    <w:p>
      <w:pPr>
        <w:spacing w:after="0" w:line="4" w:lineRule="exact"/>
        <w:rPr>
          <w:sz w:val="20"/>
          <w:szCs w:val="20"/>
          <w:color w:val="auto"/>
        </w:rPr>
      </w:pPr>
    </w:p>
    <w:p>
      <w:pPr>
        <w:ind w:left="140" w:right="20" w:hanging="133"/>
        <w:spacing w:after="0" w:line="227" w:lineRule="auto"/>
        <w:tabs>
          <w:tab w:leader="none" w:pos="106" w:val="left"/>
        </w:tabs>
        <w:numPr>
          <w:ilvl w:val="0"/>
          <w:numId w:val="25"/>
        </w:numPr>
        <w:rPr>
          <w:rFonts w:ascii="Times New Roman" w:cs="Times New Roman" w:eastAsia="Times New Roman" w:hAnsi="Times New Roman"/>
          <w:sz w:val="12"/>
          <w:szCs w:val="12"/>
          <w:i w:val="1"/>
          <w:iCs w:val="1"/>
          <w:color w:val="auto"/>
          <w:vertAlign w:val="superscript"/>
        </w:rPr>
      </w:pPr>
      <w:r>
        <w:rPr>
          <w:rFonts w:ascii="Times New Roman" w:cs="Times New Roman" w:eastAsia="Times New Roman" w:hAnsi="Times New Roman"/>
          <w:sz w:val="10"/>
          <w:szCs w:val="10"/>
          <w:i w:val="1"/>
          <w:iCs w:val="1"/>
          <w:color w:val="auto"/>
        </w:rPr>
        <w:t>Certain 2015 and 2014 balances included the restatement impact as a result of a change in accounting principle (see Note 2 – Summary of Significant Accounting Policies – Accounting Changes). For 2014, financial information relating to our Statement of Operations were restated to conform to the restatement adjustments. For the Balance Sheet, no other changes made, except for the Stockholders’ Equity balance as of 12/31/2014, as we are not required to present the restatement numbers as of December 31, 2014.</w:t>
      </w:r>
    </w:p>
    <w:p>
      <w:pPr>
        <w:ind w:left="100" w:hanging="93"/>
        <w:spacing w:after="0"/>
        <w:tabs>
          <w:tab w:leader="none" w:pos="100" w:val="left"/>
        </w:tabs>
        <w:numPr>
          <w:ilvl w:val="0"/>
          <w:numId w:val="25"/>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2013 are periods not covered by the restatement as a result of a change in accounting principle. Except for the Stockholders’ Equity balance as of 12/31/2013, no other changes made.</w:t>
      </w:r>
    </w:p>
    <w:p>
      <w:pPr>
        <w:spacing w:after="0" w:line="4" w:lineRule="exact"/>
        <w:rPr>
          <w:rFonts w:ascii="Times New Roman" w:cs="Times New Roman" w:eastAsia="Times New Roman" w:hAnsi="Times New Roman"/>
          <w:sz w:val="10"/>
          <w:szCs w:val="10"/>
          <w:i w:val="1"/>
          <w:iCs w:val="1"/>
          <w:color w:val="auto"/>
          <w:vertAlign w:val="superscript"/>
        </w:rPr>
      </w:pPr>
    </w:p>
    <w:p>
      <w:pPr>
        <w:ind w:left="100" w:hanging="93"/>
        <w:spacing w:after="0"/>
        <w:tabs>
          <w:tab w:leader="none" w:pos="100" w:val="left"/>
        </w:tabs>
        <w:numPr>
          <w:ilvl w:val="0"/>
          <w:numId w:val="25"/>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Typically our working capital (deficit) is negative as we receive revenue from our cinema business ahead of the time that we have to pay our associated liabilities. We use the money we receive to pay down our borrowings in the first instance.</w:t>
      </w:r>
    </w:p>
    <w:p>
      <w:pPr>
        <w:spacing w:after="0" w:line="19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Both EBIT and EBITDA are non-US GAAP measures and are presented for informational purposes. They should not be construed as an alternative to net earnings (loss), as an indicator of operating performance or as an alternative to cash flow provided by operating activities as a measure of liquidity (as determined in accordance with US GAAP). These measures should be reviewed in conjunction with the relevant US GAAP financial measures. EBIT and EBITDA as we have calculated them may not be comparable to similarly titled measures reported by other companies.</w:t>
      </w:r>
    </w:p>
    <w:p>
      <w:pPr>
        <w:spacing w:after="0" w:line="105" w:lineRule="exact"/>
        <w:rPr>
          <w:sz w:val="20"/>
          <w:szCs w:val="20"/>
          <w:color w:val="auto"/>
        </w:rPr>
      </w:pPr>
    </w:p>
    <w:p>
      <w:pPr>
        <w:ind w:right="760"/>
        <w:spacing w:after="0" w:line="300" w:lineRule="auto"/>
        <w:rPr>
          <w:sz w:val="20"/>
          <w:szCs w:val="20"/>
          <w:color w:val="auto"/>
        </w:rPr>
      </w:pPr>
      <w:r>
        <w:rPr>
          <w:rFonts w:ascii="Times New Roman" w:cs="Times New Roman" w:eastAsia="Times New Roman" w:hAnsi="Times New Roman"/>
          <w:sz w:val="14"/>
          <w:szCs w:val="14"/>
          <w:color w:val="auto"/>
        </w:rPr>
        <w:t>EBIT presented above represents net income (loss) adjusted for interest expense (net of interest income), income tax expense and an adjustment of interest expense for discontinued operations, if any. EBIT is useful in evaluating our operating results for the following reasons:</w:t>
      </w:r>
    </w:p>
    <w:p>
      <w:pPr>
        <w:spacing w:after="0" w:line="86" w:lineRule="exact"/>
        <w:rPr>
          <w:sz w:val="20"/>
          <w:szCs w:val="20"/>
          <w:color w:val="auto"/>
        </w:rPr>
      </w:pPr>
    </w:p>
    <w:p>
      <w:pPr>
        <w:ind w:left="520" w:right="80" w:hanging="252"/>
        <w:spacing w:after="0" w:line="270"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removes the impact of the varying tax rates and tax regimes in the jurisdictions where we operate and the impact of tax timing differences that may vary from time-to-time and from jurisdiction-to-jurisdiction</w:t>
      </w:r>
    </w:p>
    <w:p>
      <w:pPr>
        <w:ind w:left="520" w:hanging="252"/>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removes the impact from our effective tax rate of factors not directly related to our business operations.</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removes the impact of our historically significant net loss carry-forwards.</w:t>
      </w:r>
    </w:p>
    <w:p>
      <w:pPr>
        <w:spacing w:after="0" w:line="12" w:lineRule="exact"/>
        <w:rPr>
          <w:rFonts w:ascii="Times New Roman" w:cs="Times New Roman" w:eastAsia="Times New Roman" w:hAnsi="Times New Roman"/>
          <w:sz w:val="14"/>
          <w:szCs w:val="14"/>
          <w:color w:val="auto"/>
        </w:rPr>
      </w:pPr>
    </w:p>
    <w:p>
      <w:pPr>
        <w:ind w:left="520" w:right="260" w:hanging="252"/>
        <w:spacing w:after="0" w:line="27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allows a better performance comparison between RDI and other companies. For example, it allows us to compare ourselves with other companies that may have more or less debt than we do.</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14" w:right="739" w:bottom="1440" w:gutter="0" w:footer="0" w:header="0"/>
        </w:sectPr>
      </w:pPr>
    </w:p>
    <w:bookmarkStart w:id="35" w:name="page36"/>
    <w:bookmarkEnd w:id="35"/>
    <w:p>
      <w:pPr>
        <w:ind w:right="100"/>
        <w:spacing w:after="0" w:line="300" w:lineRule="auto"/>
        <w:rPr>
          <w:sz w:val="20"/>
          <w:szCs w:val="20"/>
          <w:color w:val="auto"/>
        </w:rPr>
      </w:pPr>
      <w:r>
        <w:rPr>
          <w:rFonts w:ascii="Times New Roman" w:cs="Times New Roman" w:eastAsia="Times New Roman" w:hAnsi="Times New Roman"/>
          <w:sz w:val="14"/>
          <w:szCs w:val="14"/>
          <w:color w:val="auto"/>
        </w:rPr>
        <w:t>We define EBITDA as net income adjusted for interest expense (net of interest income), income tax expense, depreciation and amortization expense, and an adjustment of interest expense, depreciation, and amortization for discontinued operations, if any. EBITDA is useful principally for the following reasons:</w:t>
      </w:r>
    </w:p>
    <w:p>
      <w:pPr>
        <w:spacing w:after="0" w:line="96" w:lineRule="exact"/>
        <w:rPr>
          <w:sz w:val="20"/>
          <w:szCs w:val="20"/>
          <w:color w:val="auto"/>
        </w:rPr>
      </w:pPr>
    </w:p>
    <w:p>
      <w:pPr>
        <w:ind w:left="520" w:right="600" w:hanging="252"/>
        <w:spacing w:after="0" w:line="270"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an industry comparative measure of financial performance. Analysts and financial commentators who report on the cinema exhibition and real estate industries often use EBITDA to determine the valuation of a company in such industries.</w:t>
      </w:r>
    </w:p>
    <w:p>
      <w:pPr>
        <w:ind w:left="520" w:hanging="252"/>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a measure used by financial institutions to determine the credit rating of companies in cinema exhibition and real estate industries.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 of EBIT and EBITDA to net income is presented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 in thousands)</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2016</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2015</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2014</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2013</w:t>
            </w:r>
            <w:r>
              <w:rPr>
                <w:rFonts w:ascii="Times New Roman" w:cs="Times New Roman" w:eastAsia="Times New Roman" w:hAnsi="Times New Roman"/>
                <w:sz w:val="5"/>
                <w:szCs w:val="5"/>
                <w:b w:val="1"/>
                <w:bCs w:val="1"/>
                <w:color w:val="auto"/>
              </w:rPr>
              <w:t>(1)</w:t>
            </w:r>
          </w:p>
        </w:tc>
      </w:tr>
      <w:tr>
        <w:trPr>
          <w:trHeight w:val="20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RDI</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30,999</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9,403</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23,110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25,335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9,041</w:t>
            </w:r>
          </w:p>
        </w:tc>
      </w:tr>
      <w:tr>
        <w:trPr>
          <w:trHeight w:val="163"/>
        </w:trPr>
        <w:tc>
          <w:tcPr>
            <w:tcW w:w="3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Add: Interest expense, net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6,194</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6,782</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10,037</w:t>
            </w:r>
          </w:p>
        </w:tc>
      </w:tr>
      <w:tr>
        <w:trPr>
          <w:trHeight w:val="163"/>
        </w:trPr>
        <w:tc>
          <w:tcPr>
            <w:tcW w:w="3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Add: Income tax (benefit) expense</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3,337</w:t>
            </w:r>
          </w:p>
        </w:tc>
        <w:tc>
          <w:tcPr>
            <w:tcW w:w="2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4,020</w:t>
            </w:r>
          </w:p>
        </w:tc>
        <w:tc>
          <w:tcPr>
            <w:tcW w:w="26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5,148</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(8,925)</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4,942</w:t>
            </w:r>
          </w:p>
        </w:tc>
      </w:tr>
      <w:tr>
        <w:trPr>
          <w:trHeight w:val="143"/>
        </w:trPr>
        <w:tc>
          <w:tcPr>
            <w:tcW w:w="3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EBIT</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40,530</w:t>
            </w:r>
          </w:p>
        </w:tc>
        <w:tc>
          <w:tcPr>
            <w:tcW w:w="280" w:type="dxa"/>
            <w:vAlign w:val="bottom"/>
          </w:tcPr>
          <w:p>
            <w:pPr>
              <w:spacing w:after="0"/>
              <w:rPr>
                <w:sz w:val="12"/>
                <w:szCs w:val="12"/>
                <w:color w:val="auto"/>
              </w:rPr>
            </w:pPr>
          </w:p>
        </w:tc>
        <w:tc>
          <w:tcPr>
            <w:tcW w:w="76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20,205</w:t>
            </w:r>
          </w:p>
        </w:tc>
        <w:tc>
          <w:tcPr>
            <w:tcW w:w="260" w:type="dxa"/>
            <w:vAlign w:val="bottom"/>
          </w:tcPr>
          <w:p>
            <w:pPr>
              <w:spacing w:after="0"/>
              <w:rPr>
                <w:sz w:val="12"/>
                <w:szCs w:val="12"/>
                <w:color w:val="auto"/>
              </w:rPr>
            </w:pPr>
          </w:p>
        </w:tc>
        <w:tc>
          <w:tcPr>
            <w:tcW w:w="76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35,562</w:t>
            </w:r>
          </w:p>
        </w:tc>
        <w:tc>
          <w:tcPr>
            <w:tcW w:w="260" w:type="dxa"/>
            <w:vAlign w:val="bottom"/>
          </w:tcPr>
          <w:p>
            <w:pPr>
              <w:spacing w:after="0"/>
              <w:rPr>
                <w:sz w:val="12"/>
                <w:szCs w:val="12"/>
                <w:color w:val="auto"/>
              </w:rPr>
            </w:pP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25,410</w:t>
            </w:r>
          </w:p>
        </w:tc>
        <w:tc>
          <w:tcPr>
            <w:tcW w:w="260" w:type="dxa"/>
            <w:vAlign w:val="bottom"/>
          </w:tcPr>
          <w:p>
            <w:pPr>
              <w:spacing w:after="0"/>
              <w:rPr>
                <w:sz w:val="12"/>
                <w:szCs w:val="12"/>
                <w:color w:val="auto"/>
              </w:rPr>
            </w:pP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24,020</w:t>
            </w:r>
          </w:p>
        </w:tc>
      </w:tr>
      <w:tr>
        <w:trPr>
          <w:trHeight w:val="163"/>
        </w:trPr>
        <w:tc>
          <w:tcPr>
            <w:tcW w:w="3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Add: Depreciation and amortization</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16,942</w:t>
            </w:r>
          </w:p>
        </w:tc>
        <w:tc>
          <w:tcPr>
            <w:tcW w:w="2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15,689</w:t>
            </w:r>
          </w:p>
        </w:tc>
        <w:tc>
          <w:tcPr>
            <w:tcW w:w="26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14,562</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15,468</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15,197</w:t>
            </w:r>
          </w:p>
        </w:tc>
      </w:tr>
      <w:tr>
        <w:trPr>
          <w:trHeight w:val="134"/>
        </w:trPr>
        <w:tc>
          <w:tcPr>
            <w:tcW w:w="3200" w:type="dxa"/>
            <w:vAlign w:val="bottom"/>
            <w:tcBorders>
              <w:bottom w:val="single" w:sz="8" w:color="auto"/>
            </w:tcBorders>
          </w:tcPr>
          <w:p>
            <w:pPr>
              <w:spacing w:after="0" w:line="132" w:lineRule="exact"/>
              <w:rPr>
                <w:sz w:val="20"/>
                <w:szCs w:val="20"/>
                <w:color w:val="auto"/>
              </w:rPr>
            </w:pPr>
            <w:r>
              <w:rPr>
                <w:rFonts w:ascii="Times New Roman" w:cs="Times New Roman" w:eastAsia="Times New Roman" w:hAnsi="Times New Roman"/>
                <w:sz w:val="12"/>
                <w:szCs w:val="12"/>
                <w:color w:val="auto"/>
              </w:rPr>
              <w:t>EBITDA</w:t>
            </w:r>
          </w:p>
        </w:tc>
        <w:tc>
          <w:tcPr>
            <w:tcW w:w="260" w:type="dxa"/>
            <w:vAlign w:val="bottom"/>
          </w:tcPr>
          <w:p>
            <w:pPr>
              <w:spacing w:after="0"/>
              <w:rPr>
                <w:sz w:val="11"/>
                <w:szCs w:val="11"/>
                <w:color w:val="auto"/>
              </w:rPr>
            </w:pPr>
          </w:p>
        </w:tc>
        <w:tc>
          <w:tcPr>
            <w:tcW w:w="320" w:type="dxa"/>
            <w:vAlign w:val="bottom"/>
            <w:tcBorders>
              <w:bottom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57,472</w:t>
            </w:r>
          </w:p>
        </w:tc>
        <w:tc>
          <w:tcPr>
            <w:tcW w:w="280" w:type="dxa"/>
            <w:vAlign w:val="bottom"/>
          </w:tcPr>
          <w:p>
            <w:pPr>
              <w:spacing w:after="0"/>
              <w:rPr>
                <w:sz w:val="11"/>
                <w:szCs w:val="11"/>
                <w:color w:val="auto"/>
              </w:rPr>
            </w:pPr>
          </w:p>
        </w:tc>
        <w:tc>
          <w:tcPr>
            <w:tcW w:w="760" w:type="dxa"/>
            <w:vAlign w:val="bottom"/>
            <w:tcBorders>
              <w:bottom w:val="single" w:sz="8" w:color="auto"/>
            </w:tcBorders>
          </w:tcPr>
          <w:p>
            <w:pPr>
              <w:jc w:val="right"/>
              <w:ind w:right="522"/>
              <w:spacing w:after="0" w:line="132"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35,894</w:t>
            </w:r>
          </w:p>
        </w:tc>
        <w:tc>
          <w:tcPr>
            <w:tcW w:w="260" w:type="dxa"/>
            <w:vAlign w:val="bottom"/>
          </w:tcPr>
          <w:p>
            <w:pPr>
              <w:spacing w:after="0"/>
              <w:rPr>
                <w:sz w:val="11"/>
                <w:szCs w:val="11"/>
                <w:color w:val="auto"/>
              </w:rPr>
            </w:pPr>
          </w:p>
        </w:tc>
        <w:tc>
          <w:tcPr>
            <w:tcW w:w="760" w:type="dxa"/>
            <w:vAlign w:val="bottom"/>
            <w:tcBorders>
              <w:bottom w:val="single" w:sz="8" w:color="auto"/>
            </w:tcBorders>
          </w:tcPr>
          <w:p>
            <w:pPr>
              <w:jc w:val="right"/>
              <w:ind w:right="522"/>
              <w:spacing w:after="0" w:line="132"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50,124</w:t>
            </w:r>
          </w:p>
        </w:tc>
        <w:tc>
          <w:tcPr>
            <w:tcW w:w="260" w:type="dxa"/>
            <w:vAlign w:val="bottom"/>
          </w:tcPr>
          <w:p>
            <w:pPr>
              <w:spacing w:after="0"/>
              <w:rPr>
                <w:sz w:val="11"/>
                <w:szCs w:val="11"/>
                <w:color w:val="auto"/>
              </w:rPr>
            </w:pPr>
          </w:p>
        </w:tc>
        <w:tc>
          <w:tcPr>
            <w:tcW w:w="320" w:type="dxa"/>
            <w:vAlign w:val="bottom"/>
            <w:tcBorders>
              <w:bottom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40,878</w:t>
            </w:r>
          </w:p>
        </w:tc>
        <w:tc>
          <w:tcPr>
            <w:tcW w:w="260" w:type="dxa"/>
            <w:vAlign w:val="bottom"/>
          </w:tcPr>
          <w:p>
            <w:pPr>
              <w:spacing w:after="0"/>
              <w:rPr>
                <w:sz w:val="11"/>
                <w:szCs w:val="11"/>
                <w:color w:val="auto"/>
              </w:rPr>
            </w:pPr>
          </w:p>
        </w:tc>
        <w:tc>
          <w:tcPr>
            <w:tcW w:w="320" w:type="dxa"/>
            <w:vAlign w:val="bottom"/>
            <w:tcBorders>
              <w:bottom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39,217</w:t>
            </w:r>
          </w:p>
        </w:tc>
      </w:tr>
    </w:tbl>
    <w:p>
      <w:pPr>
        <w:spacing w:after="0" w:line="93" w:lineRule="exact"/>
        <w:rPr>
          <w:sz w:val="20"/>
          <w:szCs w:val="20"/>
          <w:color w:val="auto"/>
        </w:rPr>
      </w:pPr>
    </w:p>
    <w:p>
      <w:pPr>
        <w:ind w:left="100" w:hanging="93"/>
        <w:spacing w:after="0"/>
        <w:tabs>
          <w:tab w:leader="none" w:pos="100" w:val="left"/>
        </w:tabs>
        <w:numPr>
          <w:ilvl w:val="0"/>
          <w:numId w:val="28"/>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2013 are periods not covered by the restatement as a result of a change in accounting principle.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266" w:right="7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7 – Management’s Discussions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133350</wp:posOffset>
            </wp:positionV>
            <wp:extent cx="6626225" cy="3511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351155"/>
                    </a:xfrm>
                    <a:prstGeom prst="rect">
                      <a:avLst/>
                    </a:prstGeom>
                    <a:noFill/>
                  </pic:spPr>
                </pic:pic>
              </a:graphicData>
            </a:graphic>
          </wp:anchor>
        </w:drawing>
      </w:r>
    </w:p>
    <w:p>
      <w:pPr>
        <w:spacing w:after="0" w:line="283" w:lineRule="exact"/>
        <w:rPr>
          <w:sz w:val="20"/>
          <w:szCs w:val="20"/>
          <w:color w:val="auto"/>
        </w:rPr>
      </w:pPr>
    </w:p>
    <w:p>
      <w:pPr>
        <w:ind w:left="200" w:right="240"/>
        <w:spacing w:after="0" w:line="262" w:lineRule="auto"/>
        <w:rPr>
          <w:sz w:val="20"/>
          <w:szCs w:val="20"/>
          <w:color w:val="auto"/>
        </w:rPr>
      </w:pPr>
      <w:r>
        <w:rPr>
          <w:rFonts w:ascii="Times New Roman" w:cs="Times New Roman" w:eastAsia="Times New Roman" w:hAnsi="Times New Roman"/>
          <w:sz w:val="10"/>
          <w:szCs w:val="10"/>
          <w:i w:val="1"/>
          <w:iCs w:val="1"/>
          <w:color w:val="auto"/>
        </w:rPr>
        <w:t>This MD&amp;A should be read in conjunction with the accompanying consolidated financial statements included in Part II, Item 8 (Financial Statements and Supplementary Data). The foregoing discussions and analyses contain certain forward-looking statements. Please refer to the “Forward Looking Statements” included as a preface in Part I, Item 1A – Risk Factors of this 2017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INDEX</w:t>
            </w:r>
          </w:p>
        </w:tc>
        <w:tc>
          <w:tcPr>
            <w:tcW w:w="3980" w:type="dxa"/>
            <w:vAlign w:val="bottom"/>
            <w:gridSpan w:val="3"/>
          </w:tcPr>
          <w:p>
            <w:pPr>
              <w:jc w:val="center"/>
              <w:ind w:left="3248"/>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78"/>
        </w:trPr>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5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3660" w:type="dxa"/>
            <w:vAlign w:val="bottom"/>
            <w:gridSpan w:val="12"/>
            <w:shd w:val="clear" w:color="auto" w:fill="CCEEFF"/>
          </w:tcPr>
          <w:p>
            <w:pPr>
              <w:spacing w:after="0"/>
              <w:rPr>
                <w:rFonts w:ascii="Times New Roman" w:cs="Times New Roman" w:eastAsia="Times New Roman" w:hAnsi="Times New Roman"/>
                <w:sz w:val="14"/>
                <w:szCs w:val="14"/>
                <w:color w:val="0000EE"/>
              </w:rPr>
            </w:pPr>
            <w:hyperlink w:anchor="page37">
              <w:r>
                <w:rPr>
                  <w:rFonts w:ascii="Times New Roman" w:cs="Times New Roman" w:eastAsia="Times New Roman" w:hAnsi="Times New Roman"/>
                  <w:sz w:val="14"/>
                  <w:szCs w:val="14"/>
                  <w:color w:val="0000EE"/>
                </w:rPr>
                <w:t>Business Overview</w:t>
              </w:r>
            </w:hyperlink>
          </w:p>
        </w:tc>
        <w:tc>
          <w:tcPr>
            <w:tcW w:w="3780" w:type="dxa"/>
            <w:vAlign w:val="bottom"/>
            <w:gridSpan w:val="2"/>
            <w:shd w:val="clear" w:color="auto" w:fill="CCEEFF"/>
          </w:tcPr>
          <w:p>
            <w:pPr>
              <w:jc w:val="center"/>
              <w:ind w:left="3448"/>
              <w:spacing w:after="0"/>
              <w:rPr>
                <w:sz w:val="20"/>
                <w:szCs w:val="20"/>
                <w:color w:val="auto"/>
              </w:rPr>
            </w:pPr>
            <w:r>
              <w:rPr>
                <w:rFonts w:ascii="Times New Roman" w:cs="Times New Roman" w:eastAsia="Times New Roman" w:hAnsi="Times New Roman"/>
                <w:sz w:val="14"/>
                <w:szCs w:val="14"/>
                <w:color w:val="auto"/>
                <w:w w:val="99"/>
              </w:rPr>
              <w:t>37</w:t>
            </w:r>
          </w:p>
        </w:tc>
        <w:tc>
          <w:tcPr>
            <w:tcW w:w="200" w:type="dxa"/>
            <w:vAlign w:val="bottom"/>
            <w:shd w:val="clear" w:color="auto" w:fill="CCEEFF"/>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5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3660" w:type="dxa"/>
            <w:vAlign w:val="bottom"/>
            <w:gridSpan w:val="12"/>
          </w:tcPr>
          <w:p>
            <w:pPr>
              <w:spacing w:after="0"/>
              <w:rPr>
                <w:rFonts w:ascii="Times New Roman" w:cs="Times New Roman" w:eastAsia="Times New Roman" w:hAnsi="Times New Roman"/>
                <w:sz w:val="14"/>
                <w:szCs w:val="14"/>
                <w:color w:val="0000EE"/>
              </w:rPr>
            </w:pPr>
            <w:hyperlink w:anchor="page39">
              <w:r>
                <w:rPr>
                  <w:rFonts w:ascii="Times New Roman" w:cs="Times New Roman" w:eastAsia="Times New Roman" w:hAnsi="Times New Roman"/>
                  <w:sz w:val="14"/>
                  <w:szCs w:val="14"/>
                  <w:color w:val="0000EE"/>
                </w:rPr>
                <w:t>Recent Developments</w:t>
              </w:r>
            </w:hyperlink>
          </w:p>
        </w:tc>
        <w:tc>
          <w:tcPr>
            <w:tcW w:w="3780" w:type="dxa"/>
            <w:vAlign w:val="bottom"/>
            <w:gridSpan w:val="2"/>
          </w:tcPr>
          <w:p>
            <w:pPr>
              <w:jc w:val="center"/>
              <w:ind w:left="3448"/>
              <w:spacing w:after="0"/>
              <w:rPr>
                <w:sz w:val="20"/>
                <w:szCs w:val="20"/>
                <w:color w:val="auto"/>
              </w:rPr>
            </w:pPr>
            <w:r>
              <w:rPr>
                <w:rFonts w:ascii="Times New Roman" w:cs="Times New Roman" w:eastAsia="Times New Roman" w:hAnsi="Times New Roman"/>
                <w:sz w:val="14"/>
                <w:szCs w:val="14"/>
                <w:color w:val="auto"/>
                <w:w w:val="99"/>
              </w:rPr>
              <w:t>39</w:t>
            </w:r>
          </w:p>
        </w:tc>
        <w:tc>
          <w:tcPr>
            <w:tcW w:w="20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3660" w:type="dxa"/>
            <w:vAlign w:val="bottom"/>
            <w:gridSpan w:val="12"/>
            <w:shd w:val="clear" w:color="auto" w:fill="CCEEFF"/>
          </w:tcPr>
          <w:p>
            <w:pPr>
              <w:spacing w:after="0"/>
              <w:rPr>
                <w:rFonts w:ascii="Times New Roman" w:cs="Times New Roman" w:eastAsia="Times New Roman" w:hAnsi="Times New Roman"/>
                <w:sz w:val="14"/>
                <w:szCs w:val="14"/>
                <w:color w:val="0000EE"/>
              </w:rPr>
            </w:pPr>
            <w:hyperlink w:anchor="page43">
              <w:r>
                <w:rPr>
                  <w:rFonts w:ascii="Times New Roman" w:cs="Times New Roman" w:eastAsia="Times New Roman" w:hAnsi="Times New Roman"/>
                  <w:sz w:val="14"/>
                  <w:szCs w:val="14"/>
                  <w:color w:val="0000EE"/>
                </w:rPr>
                <w:t>Results of Operations</w:t>
              </w:r>
            </w:hyperlink>
          </w:p>
        </w:tc>
        <w:tc>
          <w:tcPr>
            <w:tcW w:w="3780" w:type="dxa"/>
            <w:vAlign w:val="bottom"/>
            <w:gridSpan w:val="2"/>
            <w:shd w:val="clear" w:color="auto" w:fill="CCEEFF"/>
          </w:tcPr>
          <w:p>
            <w:pPr>
              <w:jc w:val="center"/>
              <w:ind w:left="3448"/>
              <w:spacing w:after="0"/>
              <w:rPr>
                <w:sz w:val="20"/>
                <w:szCs w:val="20"/>
                <w:color w:val="auto"/>
              </w:rPr>
            </w:pPr>
            <w:r>
              <w:rPr>
                <w:rFonts w:ascii="Times New Roman" w:cs="Times New Roman" w:eastAsia="Times New Roman" w:hAnsi="Times New Roman"/>
                <w:sz w:val="14"/>
                <w:szCs w:val="14"/>
                <w:color w:val="auto"/>
                <w:w w:val="99"/>
              </w:rPr>
              <w:t>43</w:t>
            </w:r>
          </w:p>
        </w:tc>
        <w:tc>
          <w:tcPr>
            <w:tcW w:w="200" w:type="dxa"/>
            <w:vAlign w:val="bottom"/>
            <w:shd w:val="clear" w:color="auto" w:fill="CCEEFF"/>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5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3660" w:type="dxa"/>
            <w:vAlign w:val="bottom"/>
            <w:gridSpan w:val="12"/>
          </w:tcPr>
          <w:p>
            <w:pPr>
              <w:spacing w:after="0"/>
              <w:rPr>
                <w:rFonts w:ascii="Times New Roman" w:cs="Times New Roman" w:eastAsia="Times New Roman" w:hAnsi="Times New Roman"/>
                <w:sz w:val="14"/>
                <w:szCs w:val="14"/>
                <w:color w:val="0000EE"/>
              </w:rPr>
            </w:pPr>
            <w:hyperlink w:anchor="page44">
              <w:r>
                <w:rPr>
                  <w:rFonts w:ascii="Times New Roman" w:cs="Times New Roman" w:eastAsia="Times New Roman" w:hAnsi="Times New Roman"/>
                  <w:sz w:val="14"/>
                  <w:szCs w:val="14"/>
                  <w:color w:val="0000EE"/>
                </w:rPr>
                <w:t>Business Segment Results – 2017 vs 2016</w:t>
              </w:r>
            </w:hyperlink>
          </w:p>
        </w:tc>
        <w:tc>
          <w:tcPr>
            <w:tcW w:w="3780" w:type="dxa"/>
            <w:vAlign w:val="bottom"/>
            <w:gridSpan w:val="2"/>
          </w:tcPr>
          <w:p>
            <w:pPr>
              <w:jc w:val="center"/>
              <w:ind w:left="3448"/>
              <w:spacing w:after="0"/>
              <w:rPr>
                <w:sz w:val="20"/>
                <w:szCs w:val="20"/>
                <w:color w:val="auto"/>
              </w:rPr>
            </w:pPr>
            <w:r>
              <w:rPr>
                <w:rFonts w:ascii="Times New Roman" w:cs="Times New Roman" w:eastAsia="Times New Roman" w:hAnsi="Times New Roman"/>
                <w:sz w:val="14"/>
                <w:szCs w:val="14"/>
                <w:color w:val="auto"/>
                <w:w w:val="99"/>
              </w:rPr>
              <w:t>45</w:t>
            </w:r>
          </w:p>
        </w:tc>
        <w:tc>
          <w:tcPr>
            <w:tcW w:w="20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3660" w:type="dxa"/>
            <w:vAlign w:val="bottom"/>
            <w:gridSpan w:val="12"/>
            <w:shd w:val="clear" w:color="auto" w:fill="CCEEFF"/>
          </w:tcPr>
          <w:p>
            <w:pPr>
              <w:spacing w:after="0"/>
              <w:rPr>
                <w:rFonts w:ascii="Times New Roman" w:cs="Times New Roman" w:eastAsia="Times New Roman" w:hAnsi="Times New Roman"/>
                <w:sz w:val="14"/>
                <w:szCs w:val="14"/>
                <w:color w:val="0000EE"/>
              </w:rPr>
            </w:pPr>
            <w:hyperlink w:anchor="page47">
              <w:r>
                <w:rPr>
                  <w:rFonts w:ascii="Times New Roman" w:cs="Times New Roman" w:eastAsia="Times New Roman" w:hAnsi="Times New Roman"/>
                  <w:sz w:val="14"/>
                  <w:szCs w:val="14"/>
                  <w:color w:val="0000EE"/>
                </w:rPr>
                <w:t>Non-Segment Results – 2017 vs 2016</w:t>
              </w:r>
            </w:hyperlink>
          </w:p>
        </w:tc>
        <w:tc>
          <w:tcPr>
            <w:tcW w:w="3780" w:type="dxa"/>
            <w:vAlign w:val="bottom"/>
            <w:gridSpan w:val="2"/>
            <w:shd w:val="clear" w:color="auto" w:fill="CCEEFF"/>
          </w:tcPr>
          <w:p>
            <w:pPr>
              <w:jc w:val="center"/>
              <w:ind w:left="3448"/>
              <w:spacing w:after="0"/>
              <w:rPr>
                <w:sz w:val="20"/>
                <w:szCs w:val="20"/>
                <w:color w:val="auto"/>
              </w:rPr>
            </w:pPr>
            <w:r>
              <w:rPr>
                <w:rFonts w:ascii="Times New Roman" w:cs="Times New Roman" w:eastAsia="Times New Roman" w:hAnsi="Times New Roman"/>
                <w:sz w:val="14"/>
                <w:szCs w:val="14"/>
                <w:color w:val="auto"/>
                <w:w w:val="99"/>
              </w:rPr>
              <w:t>48</w:t>
            </w:r>
          </w:p>
        </w:tc>
        <w:tc>
          <w:tcPr>
            <w:tcW w:w="200" w:type="dxa"/>
            <w:vAlign w:val="bottom"/>
            <w:shd w:val="clear" w:color="auto" w:fill="CCEEFF"/>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5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3660" w:type="dxa"/>
            <w:vAlign w:val="bottom"/>
            <w:gridSpan w:val="12"/>
          </w:tcPr>
          <w:p>
            <w:pPr>
              <w:spacing w:after="0"/>
              <w:rPr>
                <w:rFonts w:ascii="Times New Roman" w:cs="Times New Roman" w:eastAsia="Times New Roman" w:hAnsi="Times New Roman"/>
                <w:sz w:val="14"/>
                <w:szCs w:val="14"/>
                <w:color w:val="0000EE"/>
              </w:rPr>
            </w:pPr>
            <w:hyperlink w:anchor="page49">
              <w:r>
                <w:rPr>
                  <w:rFonts w:ascii="Times New Roman" w:cs="Times New Roman" w:eastAsia="Times New Roman" w:hAnsi="Times New Roman"/>
                  <w:sz w:val="14"/>
                  <w:szCs w:val="14"/>
                  <w:color w:val="0000EE"/>
                </w:rPr>
                <w:t>Business Segment Results – 2016 vs 2015</w:t>
              </w:r>
            </w:hyperlink>
          </w:p>
        </w:tc>
        <w:tc>
          <w:tcPr>
            <w:tcW w:w="3780" w:type="dxa"/>
            <w:vAlign w:val="bottom"/>
            <w:gridSpan w:val="2"/>
          </w:tcPr>
          <w:p>
            <w:pPr>
              <w:jc w:val="center"/>
              <w:ind w:left="3448"/>
              <w:spacing w:after="0"/>
              <w:rPr>
                <w:sz w:val="20"/>
                <w:szCs w:val="20"/>
                <w:color w:val="auto"/>
              </w:rPr>
            </w:pPr>
            <w:r>
              <w:rPr>
                <w:rFonts w:ascii="Times New Roman" w:cs="Times New Roman" w:eastAsia="Times New Roman" w:hAnsi="Times New Roman"/>
                <w:sz w:val="14"/>
                <w:szCs w:val="14"/>
                <w:color w:val="auto"/>
                <w:w w:val="99"/>
              </w:rPr>
              <w:t>49</w:t>
            </w:r>
          </w:p>
        </w:tc>
        <w:tc>
          <w:tcPr>
            <w:tcW w:w="20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3660" w:type="dxa"/>
            <w:vAlign w:val="bottom"/>
            <w:gridSpan w:val="12"/>
            <w:shd w:val="clear" w:color="auto" w:fill="CCEEFF"/>
          </w:tcPr>
          <w:p>
            <w:pPr>
              <w:spacing w:after="0"/>
              <w:rPr>
                <w:rFonts w:ascii="Times New Roman" w:cs="Times New Roman" w:eastAsia="Times New Roman" w:hAnsi="Times New Roman"/>
                <w:sz w:val="14"/>
                <w:szCs w:val="14"/>
                <w:color w:val="0000EE"/>
              </w:rPr>
            </w:pPr>
            <w:hyperlink w:anchor="page51">
              <w:r>
                <w:rPr>
                  <w:rFonts w:ascii="Times New Roman" w:cs="Times New Roman" w:eastAsia="Times New Roman" w:hAnsi="Times New Roman"/>
                  <w:sz w:val="14"/>
                  <w:szCs w:val="14"/>
                  <w:color w:val="0000EE"/>
                </w:rPr>
                <w:t>Non-Segments Results – 2016 vs 2015</w:t>
              </w:r>
            </w:hyperlink>
          </w:p>
        </w:tc>
        <w:tc>
          <w:tcPr>
            <w:tcW w:w="3780" w:type="dxa"/>
            <w:vAlign w:val="bottom"/>
            <w:gridSpan w:val="2"/>
            <w:shd w:val="clear" w:color="auto" w:fill="CCEEFF"/>
          </w:tcPr>
          <w:p>
            <w:pPr>
              <w:jc w:val="center"/>
              <w:ind w:left="3448"/>
              <w:spacing w:after="0"/>
              <w:rPr>
                <w:sz w:val="20"/>
                <w:szCs w:val="20"/>
                <w:color w:val="auto"/>
              </w:rPr>
            </w:pPr>
            <w:r>
              <w:rPr>
                <w:rFonts w:ascii="Times New Roman" w:cs="Times New Roman" w:eastAsia="Times New Roman" w:hAnsi="Times New Roman"/>
                <w:sz w:val="14"/>
                <w:szCs w:val="14"/>
                <w:color w:val="auto"/>
                <w:w w:val="99"/>
              </w:rPr>
              <w:t>51</w:t>
            </w:r>
          </w:p>
        </w:tc>
        <w:tc>
          <w:tcPr>
            <w:tcW w:w="200" w:type="dxa"/>
            <w:vAlign w:val="bottom"/>
            <w:shd w:val="clear" w:color="auto" w:fill="CCEEFF"/>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5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3660" w:type="dxa"/>
            <w:vAlign w:val="bottom"/>
            <w:gridSpan w:val="12"/>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Liquidity and Capital Resources</w:t>
              </w:r>
            </w:hyperlink>
          </w:p>
        </w:tc>
        <w:tc>
          <w:tcPr>
            <w:tcW w:w="3780" w:type="dxa"/>
            <w:vAlign w:val="bottom"/>
            <w:gridSpan w:val="2"/>
          </w:tcPr>
          <w:p>
            <w:pPr>
              <w:jc w:val="center"/>
              <w:ind w:left="3448"/>
              <w:spacing w:after="0"/>
              <w:rPr>
                <w:sz w:val="20"/>
                <w:szCs w:val="20"/>
                <w:color w:val="auto"/>
              </w:rPr>
            </w:pPr>
            <w:r>
              <w:rPr>
                <w:rFonts w:ascii="Times New Roman" w:cs="Times New Roman" w:eastAsia="Times New Roman" w:hAnsi="Times New Roman"/>
                <w:sz w:val="14"/>
                <w:szCs w:val="14"/>
                <w:color w:val="auto"/>
                <w:w w:val="99"/>
              </w:rPr>
              <w:t>52</w:t>
            </w:r>
          </w:p>
        </w:tc>
        <w:tc>
          <w:tcPr>
            <w:tcW w:w="20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3660" w:type="dxa"/>
            <w:vAlign w:val="bottom"/>
            <w:gridSpan w:val="12"/>
            <w:shd w:val="clear" w:color="auto" w:fill="CCEEFF"/>
          </w:tcPr>
          <w:p>
            <w:pPr>
              <w:spacing w:after="0"/>
              <w:rPr>
                <w:rFonts w:ascii="Times New Roman" w:cs="Times New Roman" w:eastAsia="Times New Roman" w:hAnsi="Times New Roman"/>
                <w:sz w:val="14"/>
                <w:szCs w:val="14"/>
                <w:color w:val="0000EE"/>
              </w:rPr>
            </w:pPr>
            <w:hyperlink w:anchor="page54">
              <w:r>
                <w:rPr>
                  <w:rFonts w:ascii="Times New Roman" w:cs="Times New Roman" w:eastAsia="Times New Roman" w:hAnsi="Times New Roman"/>
                  <w:sz w:val="14"/>
                  <w:szCs w:val="14"/>
                  <w:color w:val="0000EE"/>
                </w:rPr>
                <w:t>Contractual Obligations, Commitments and Contingencies</w:t>
              </w:r>
            </w:hyperlink>
          </w:p>
        </w:tc>
        <w:tc>
          <w:tcPr>
            <w:tcW w:w="3780" w:type="dxa"/>
            <w:vAlign w:val="bottom"/>
            <w:gridSpan w:val="2"/>
            <w:shd w:val="clear" w:color="auto" w:fill="CCEEFF"/>
          </w:tcPr>
          <w:p>
            <w:pPr>
              <w:jc w:val="center"/>
              <w:ind w:left="3448"/>
              <w:spacing w:after="0"/>
              <w:rPr>
                <w:sz w:val="20"/>
                <w:szCs w:val="20"/>
                <w:color w:val="auto"/>
              </w:rPr>
            </w:pPr>
            <w:r>
              <w:rPr>
                <w:rFonts w:ascii="Times New Roman" w:cs="Times New Roman" w:eastAsia="Times New Roman" w:hAnsi="Times New Roman"/>
                <w:sz w:val="14"/>
                <w:szCs w:val="14"/>
                <w:color w:val="auto"/>
                <w:w w:val="99"/>
              </w:rPr>
              <w:t>54</w:t>
            </w:r>
          </w:p>
        </w:tc>
        <w:tc>
          <w:tcPr>
            <w:tcW w:w="200" w:type="dxa"/>
            <w:vAlign w:val="bottom"/>
            <w:shd w:val="clear" w:color="auto" w:fill="CCEEFF"/>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5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r>
      <w:tr>
        <w:trPr>
          <w:trHeight w:val="195"/>
        </w:trPr>
        <w:tc>
          <w:tcPr>
            <w:tcW w:w="100" w:type="dxa"/>
            <w:vAlign w:val="bottom"/>
          </w:tcPr>
          <w:p>
            <w:pPr>
              <w:spacing w:after="0"/>
              <w:rPr>
                <w:sz w:val="16"/>
                <w:szCs w:val="16"/>
                <w:color w:val="auto"/>
              </w:rPr>
            </w:pPr>
          </w:p>
        </w:tc>
        <w:tc>
          <w:tcPr>
            <w:tcW w:w="3660" w:type="dxa"/>
            <w:vAlign w:val="bottom"/>
            <w:gridSpan w:val="12"/>
          </w:tcPr>
          <w:p>
            <w:pPr>
              <w:spacing w:after="0"/>
              <w:rPr>
                <w:rFonts w:ascii="Times New Roman" w:cs="Times New Roman" w:eastAsia="Times New Roman" w:hAnsi="Times New Roman"/>
                <w:sz w:val="14"/>
                <w:szCs w:val="14"/>
                <w:color w:val="0000EE"/>
              </w:rPr>
            </w:pPr>
            <w:hyperlink w:anchor="page54">
              <w:r>
                <w:rPr>
                  <w:rFonts w:ascii="Times New Roman" w:cs="Times New Roman" w:eastAsia="Times New Roman" w:hAnsi="Times New Roman"/>
                  <w:sz w:val="14"/>
                  <w:szCs w:val="14"/>
                  <w:color w:val="0000EE"/>
                </w:rPr>
                <w:t>Financial Risk Management</w:t>
              </w:r>
            </w:hyperlink>
          </w:p>
        </w:tc>
        <w:tc>
          <w:tcPr>
            <w:tcW w:w="3780" w:type="dxa"/>
            <w:vAlign w:val="bottom"/>
            <w:gridSpan w:val="2"/>
          </w:tcPr>
          <w:p>
            <w:pPr>
              <w:jc w:val="center"/>
              <w:ind w:left="3448"/>
              <w:spacing w:after="0"/>
              <w:rPr>
                <w:sz w:val="20"/>
                <w:szCs w:val="20"/>
                <w:color w:val="auto"/>
              </w:rPr>
            </w:pPr>
            <w:r>
              <w:rPr>
                <w:rFonts w:ascii="Times New Roman" w:cs="Times New Roman" w:eastAsia="Times New Roman" w:hAnsi="Times New Roman"/>
                <w:sz w:val="14"/>
                <w:szCs w:val="14"/>
                <w:color w:val="auto"/>
                <w:w w:val="99"/>
              </w:rPr>
              <w:t>54</w:t>
            </w:r>
          </w:p>
        </w:tc>
        <w:tc>
          <w:tcPr>
            <w:tcW w:w="200" w:type="dxa"/>
            <w:vAlign w:val="bottom"/>
          </w:tcPr>
          <w:p>
            <w:pPr>
              <w:spacing w:after="0"/>
              <w:rPr>
                <w:sz w:val="16"/>
                <w:szCs w:val="16"/>
                <w:color w:val="auto"/>
              </w:rPr>
            </w:pPr>
          </w:p>
        </w:tc>
      </w:tr>
      <w:tr>
        <w:trPr>
          <w:trHeight w:val="78"/>
        </w:trPr>
        <w:tc>
          <w:tcPr>
            <w:tcW w:w="10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195"/>
        </w:trPr>
        <w:tc>
          <w:tcPr>
            <w:tcW w:w="100" w:type="dxa"/>
            <w:vAlign w:val="bottom"/>
            <w:shd w:val="clear" w:color="auto" w:fill="CCEEFF"/>
          </w:tcPr>
          <w:p>
            <w:pPr>
              <w:spacing w:after="0"/>
              <w:rPr>
                <w:sz w:val="16"/>
                <w:szCs w:val="16"/>
                <w:color w:val="auto"/>
              </w:rPr>
            </w:pPr>
          </w:p>
        </w:tc>
        <w:tc>
          <w:tcPr>
            <w:tcW w:w="3660" w:type="dxa"/>
            <w:vAlign w:val="bottom"/>
            <w:gridSpan w:val="12"/>
            <w:shd w:val="clear" w:color="auto" w:fill="CCEEFF"/>
          </w:tcPr>
          <w:p>
            <w:pPr>
              <w:spacing w:after="0"/>
              <w:rPr>
                <w:rFonts w:ascii="Times New Roman" w:cs="Times New Roman" w:eastAsia="Times New Roman" w:hAnsi="Times New Roman"/>
                <w:sz w:val="14"/>
                <w:szCs w:val="14"/>
                <w:color w:val="0000EE"/>
              </w:rPr>
            </w:pPr>
            <w:hyperlink w:anchor="page55">
              <w:r>
                <w:rPr>
                  <w:rFonts w:ascii="Times New Roman" w:cs="Times New Roman" w:eastAsia="Times New Roman" w:hAnsi="Times New Roman"/>
                  <w:sz w:val="14"/>
                  <w:szCs w:val="14"/>
                  <w:color w:val="0000EE"/>
                </w:rPr>
                <w:t>Critical Accounting Estimates</w:t>
              </w:r>
            </w:hyperlink>
          </w:p>
        </w:tc>
        <w:tc>
          <w:tcPr>
            <w:tcW w:w="3780" w:type="dxa"/>
            <w:vAlign w:val="bottom"/>
            <w:gridSpan w:val="2"/>
            <w:shd w:val="clear" w:color="auto" w:fill="CCEEFF"/>
          </w:tcPr>
          <w:p>
            <w:pPr>
              <w:jc w:val="center"/>
              <w:ind w:left="3448"/>
              <w:spacing w:after="0"/>
              <w:rPr>
                <w:sz w:val="20"/>
                <w:szCs w:val="20"/>
                <w:color w:val="auto"/>
              </w:rPr>
            </w:pPr>
            <w:r>
              <w:rPr>
                <w:rFonts w:ascii="Times New Roman" w:cs="Times New Roman" w:eastAsia="Times New Roman" w:hAnsi="Times New Roman"/>
                <w:sz w:val="14"/>
                <w:szCs w:val="14"/>
                <w:color w:val="auto"/>
                <w:w w:val="99"/>
              </w:rPr>
              <w:t>55</w:t>
            </w:r>
          </w:p>
        </w:tc>
        <w:tc>
          <w:tcPr>
            <w:tcW w:w="200" w:type="dxa"/>
            <w:vAlign w:val="bottom"/>
            <w:shd w:val="clear" w:color="auto" w:fill="CCEEFF"/>
          </w:tcPr>
          <w:p>
            <w:pPr>
              <w:spacing w:after="0"/>
              <w:rPr>
                <w:sz w:val="16"/>
                <w:szCs w:val="16"/>
                <w:color w:val="auto"/>
              </w:rPr>
            </w:pP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5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56"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4"/>
          <w:szCs w:val="14"/>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spacing w:after="0" w:line="86" w:lineRule="exact"/>
        <w:rPr>
          <w:sz w:val="20"/>
          <w:szCs w:val="20"/>
          <w:color w:val="auto"/>
        </w:rPr>
      </w:pPr>
    </w:p>
    <w:p>
      <w:pPr>
        <w:ind w:left="520" w:hanging="25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Cinema exhibition, through our 59, including one managed only cinema multiplex cinemas; and,</w:t>
      </w:r>
    </w:p>
    <w:p>
      <w:pPr>
        <w:spacing w:after="0" w:line="27"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including real estate development and the rental of retail, commercial and live theater assets.</w:t>
      </w:r>
    </w:p>
    <w:p>
      <w:pPr>
        <w:spacing w:after="0" w:line="8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color w:val="auto"/>
        </w:rPr>
        <w:t>We believe that these two business segments can complement one another, as we can use the comparatively consistent cash flows generated by our cinema operations to fund the front-end cash demands of our real estate development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our worldwide cinema exhibition businesses under various brands:</w:t>
      </w:r>
    </w:p>
    <w:p>
      <w:pPr>
        <w:spacing w:after="0" w:line="154" w:lineRule="exact"/>
        <w:rPr>
          <w:sz w:val="20"/>
          <w:szCs w:val="20"/>
          <w:color w:val="auto"/>
        </w:rPr>
      </w:pPr>
    </w:p>
    <w:p>
      <w:pPr>
        <w:ind w:left="520" w:hanging="25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U.S., under the following brands: Reading Cinemas, Angelika Film Centers, Consolidated Theatres, and City Cinemas;</w:t>
      </w:r>
    </w:p>
    <w:p>
      <w:pPr>
        <w:spacing w:after="0" w:line="27"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Australia, under the Reading Cinemas brand; and,</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New Zealand, under the Reading Cinemas and Rialto brands.</w:t>
      </w: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260"/>
          </w:cols>
          <w:pgMar w:left="740" w:top="114" w:right="8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auto"/>
        </w:rPr>
        <w:t>Our Business Strategy: Applying a Synergistic Approach</w:t>
      </w:r>
    </w:p>
    <w:p>
      <w:pPr>
        <w:spacing w:after="0" w:line="15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4"/>
          <w:szCs w:val="14"/>
          <w:color w:val="auto"/>
        </w:rPr>
        <w:t>We believe the cinema business to be one that will likely continue to generate fairly consistent cash flows in the years ahead, even in a recessionary or inflationary environment. This is based on our belief that people will continue to spend a reasonable portion of their entertainment dollars on entertainment outside of the home and that, when compared to other forms of outside-the-home entertainment, movies continue to be a popular and competitively priced option. We believe the cinema exhibition business to be a mature business with most markets either adequately screened or over-screened and we see growth in our cinema business coming principally from (i) the enhancement of our existing cinemas (for example, by the addition of luxury recliner seating and expanding our food and beverage program), (ii) the development in select markets of specialty cinemas and where applicable, new cinemas in underserved markets, and (iii) the opportunistic acquisition of already existing cinemas. From time-to-time, we might invest in the securities of other companies, where we believe the business or assets of those companies to be attractive or to offer synergies to our existing entertainment and real estate businesses. We continue to focus on the development and redevelopment of our existing assets (particularly our real estate assets in (i) New York, (ii) Brisbane and Sydney in Australia, and (iii) Wellington, New Zealand, and our Angelika Film Center chain), as well as to continue to be opportunistic in identifying and endeavoring to acquire undervalued assets, particularly assets with proven cash flow and that we believe to be resistant to recessionary trends.</w:t>
      </w:r>
    </w:p>
    <w:p>
      <w:pPr>
        <w:spacing w:after="0" w:line="12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We see ourselves principally as a geographically diversified real estate and cinema exhibition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cash-generating cinema operations and our cash-consuming real estate investment and development activities. We believe that, by blending the cash generating capabilities of a cinema operation with the investment and development opportunities of our real estate operations, our business strategy is unique among public companies.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Industry Outlook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Cinema Exhibition</w:t>
      </w:r>
    </w:p>
    <w:p>
      <w:pPr>
        <w:spacing w:after="0" w:line="3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4"/>
          <w:szCs w:val="14"/>
          <w:color w:val="auto"/>
        </w:rPr>
        <w:t>Along with most of our industry, we have completed the conversion of all of our U.S., Australia, and New Zealand cinema operations to digital exhibition. We believe that a substantial part of this cost of conversion has been or will be recovered by the receipt of “virtual print fees” paid by film distributors for the use of such digital projection equipment.</w:t>
      </w:r>
    </w:p>
    <w:p>
      <w:pPr>
        <w:spacing w:after="0" w:line="11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The “in-home” entertainment industry has experienced significant leaps in recent periods in both the quality and affordability of in-home entertainment systems and in the accessibility to and quality of entertainment programming through alternative film distribution channels, such as network, cable, satellite, internet distribution channels, and Blu-ray/DVD. The success of these alternative distribution channels puts additional pressure on film distributors to reduce and/or eliminate the time period between theatrical and secondary release dates. These are issues common to both our U.S. and international cinema operations.</w:t>
      </w:r>
    </w:p>
    <w:p>
      <w:pPr>
        <w:spacing w:after="0" w:line="10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Certain new entrants to the cinema exhibition market, as well as certain of our historic competitors, have begun to develop new, and to reposition existing, cinemas that offer a broader selection of premium seating and food and beverage choices. These include, in some cases, food service to the seat and the offering of alcoholic beverages. We have for some years offered premium seating, café food selections and alcoholic beverages in certain cinemas. Based on our experience, we believe that we can compete effectively with this emerging competition. We are currently reviewing the potential for further expanding our offerings at a variety of our cinemas.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summary discussion of the competitive aspects of our two cinema exhibition markets:</w:t>
      </w:r>
    </w:p>
    <w:p>
      <w:pPr>
        <w:spacing w:after="0" w:line="162" w:lineRule="exact"/>
        <w:rPr>
          <w:sz w:val="20"/>
          <w:szCs w:val="20"/>
          <w:color w:val="auto"/>
        </w:rPr>
      </w:pPr>
    </w:p>
    <w:p>
      <w:pPr>
        <w:ind w:left="520" w:hanging="252"/>
        <w:spacing w:after="0" w:line="27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North America</w:t>
      </w:r>
      <w:r>
        <w:rPr>
          <w:rFonts w:ascii="Times New Roman" w:cs="Times New Roman" w:eastAsia="Times New Roman" w:hAnsi="Times New Roman"/>
          <w:sz w:val="14"/>
          <w:szCs w:val="14"/>
          <w:color w:val="auto"/>
        </w:rPr>
        <w:t>: We face strong competition in North America as distributors may find it more commercially appealing to deal with major exhibitors, rather than to deal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independents such as us. This competitive disadvantage has increased significantly in recent periods, with the development of mega-circuits such as Regal and AMC, who are able to offer distributors access to screens on a truly nationwide basis, or, on the other hand, to limit access if their desires with respect to film supply are not satisfied.</w:t>
      </w:r>
    </w:p>
    <w:p>
      <w:pPr>
        <w:spacing w:after="0" w:line="225" w:lineRule="exact"/>
        <w:rPr>
          <w:rFonts w:ascii="Times New Roman" w:cs="Times New Roman" w:eastAsia="Times New Roman" w:hAnsi="Times New Roman"/>
          <w:sz w:val="14"/>
          <w:szCs w:val="14"/>
          <w:color w:val="auto"/>
        </w:rPr>
      </w:pPr>
    </w:p>
    <w:p>
      <w:pPr>
        <w:ind w:left="520" w:right="2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AMC has now completed its acquisition of the 4</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largest exhibitor in the U.S., Carmike Cinemas, making it the largest circuit in the U.S. and when considered with its parent (Dalian Wanda), the largest exhibitor in the world. Just recently, Regal has been acquired by Cineworld, a major European cinema circuit operator. The restructuring and consolidation undertaken in the industry is decreasing the number of exhibitors in the market, and the emergence of increasingly attractive “in-home” and mobile entertainment alternatives and the continued growth of in-home and mobile viewing options is resulting in pressure for shortened release windows.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3" w:right="759" w:bottom="1440" w:gutter="0" w:footer="0" w:header="0"/>
        </w:sectPr>
      </w:pPr>
    </w:p>
    <w:bookmarkStart w:id="38" w:name="page39"/>
    <w:bookmarkEnd w:id="38"/>
    <w:p>
      <w:pPr>
        <w:ind w:left="520" w:right="40" w:hanging="252"/>
        <w:spacing w:after="0" w:line="266"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Australia / New Zealand</w:t>
      </w:r>
      <w:r>
        <w:rPr>
          <w:rFonts w:ascii="Times New Roman" w:cs="Times New Roman" w:eastAsia="Times New Roman" w:hAnsi="Times New Roman"/>
          <w:sz w:val="14"/>
          <w:szCs w:val="14"/>
          <w:color w:val="auto"/>
        </w:rPr>
        <w:t>: The film exhibition industry in Australia and New Zealand is highly concentrated in that Village, Event, and Hoyts (the “Major Exhibitors”)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approximately 76% of the cinema box office in Australia, while Event and Hoyts control approximately 53% of New Zealand’s cinema box office. The industry is also somewhat vertically integrated in that one of the Major Exhibitors, Roadshow Film Distributors (part of Village), also serves as a distributor of film in Australia and New Zealand for Warner Bros.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 shared facility arrangements, and have historically not engaged in head-to-head competition.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Estate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discussion of the competitive aspects of the markets where we own real estate properties is as follows:</w:t>
      </w:r>
    </w:p>
    <w:p>
      <w:pPr>
        <w:spacing w:after="0" w:line="136" w:lineRule="exact"/>
        <w:rPr>
          <w:sz w:val="20"/>
          <w:szCs w:val="20"/>
          <w:color w:val="auto"/>
        </w:rPr>
      </w:pPr>
    </w:p>
    <w:p>
      <w:pPr>
        <w:ind w:left="520" w:right="140" w:hanging="252"/>
        <w:spacing w:after="0" w:line="269"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North America</w:t>
      </w:r>
      <w:r>
        <w:rPr>
          <w:rFonts w:ascii="Times New Roman" w:cs="Times New Roman" w:eastAsia="Times New Roman" w:hAnsi="Times New Roman"/>
          <w:sz w:val="14"/>
          <w:szCs w:val="14"/>
          <w:color w:val="auto"/>
        </w:rPr>
        <w:t>: We believe that U.S. retail real estate owners will continue to reuse the space vacated by anchor retailers to offer a variety of entertainment options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ultimately enhance the customer experience. Online marketplaces will offer a platform to brands, designers, and artists to find physical retail space for a short duration. This will likely spur a broader subleasing phenomenon. Subleasing will likely be bigger than leasing, however physical stores will remain, although their form and functionality will continue to evolve. Credit availability may be a concern going forward, due to the continued low CMBS issuances and banks tightening the lending standards across all commercial real estate loan categories due to increased federal scrutiny.</w:t>
      </w:r>
    </w:p>
    <w:p>
      <w:pPr>
        <w:spacing w:after="0" w:line="54" w:lineRule="exact"/>
        <w:rPr>
          <w:rFonts w:ascii="Times New Roman" w:cs="Times New Roman" w:eastAsia="Times New Roman" w:hAnsi="Times New Roman"/>
          <w:sz w:val="14"/>
          <w:szCs w:val="14"/>
          <w:color w:val="auto"/>
        </w:rPr>
      </w:pPr>
    </w:p>
    <w:p>
      <w:pPr>
        <w:ind w:left="520" w:right="4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office space is likely to reduce as corporations adapt to employees’ “live, work, and play” behavior and leverage technology to automate tasks. The leasing of large office spaces and sub-leasing them on demand for a wide variety of short-term rentals, ranging from day offices, hourly use of office space or meeting rooms, to virtual offices and other uses, will be a continuing growth trend. In essence, office space demand will tilt in favor of open, flexible, co-sharing spaces and the per-employee office space requirement is likely to shrink. As a result there will be a higher demand for dynamically configurable spaces.</w:t>
      </w:r>
    </w:p>
    <w:p>
      <w:pPr>
        <w:spacing w:after="0" w:line="51"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 business plan is aligned with these real estate trends – to expand our U.S. cinema offering, offer premium retail locations and versatile office product.</w:t>
      </w:r>
    </w:p>
    <w:p>
      <w:pPr>
        <w:spacing w:after="0" w:line="97" w:lineRule="exact"/>
        <w:rPr>
          <w:rFonts w:ascii="Times New Roman" w:cs="Times New Roman" w:eastAsia="Times New Roman" w:hAnsi="Times New Roman"/>
          <w:sz w:val="14"/>
          <w:szCs w:val="14"/>
          <w:color w:val="auto"/>
        </w:rPr>
      </w:pPr>
    </w:p>
    <w:p>
      <w:pPr>
        <w:ind w:left="520" w:right="100" w:hanging="252"/>
        <w:spacing w:after="0" w:line="269"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Australia and New Zealand</w:t>
      </w:r>
      <w:r>
        <w:rPr>
          <w:rFonts w:ascii="Times New Roman" w:cs="Times New Roman" w:eastAsia="Times New Roman" w:hAnsi="Times New Roman"/>
          <w:sz w:val="14"/>
          <w:szCs w:val="14"/>
          <w:color w:val="auto"/>
        </w:rPr>
        <w:t>: Over the past few years, there has been a noted stabilization in real estate market activity resulting in some increases to commercial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and we have a number of projects commencing. Once developed, we remain optimistic that our Australian and New Zealand holdings will continue to provide value and cash flows to our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Recent developments in our two business segments are discussed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Cinema Exhibition</w:t>
      </w:r>
    </w:p>
    <w:p>
      <w:pPr>
        <w:spacing w:after="0" w:line="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Our cinema revenue consists primarily of admissions, F&amp;B, advertising and theater rentals. Cinema operating expense consists of the costs directly attributable to the operation of the cinemas, including film rent expense, operating costs, and occupancy costs. Cinema revenue and expense fluctuate with the availability of quality first run films and the numbers of weeks such first run films stay in the market. For a breakdown of our current cinema assets that we own and/or manage, please see Part I, Item 1 – </w:t>
      </w:r>
      <w:r>
        <w:rPr>
          <w:rFonts w:ascii="Times New Roman" w:cs="Times New Roman" w:eastAsia="Times New Roman" w:hAnsi="Times New Roman"/>
          <w:sz w:val="14"/>
          <w:szCs w:val="14"/>
          <w:i w:val="1"/>
          <w:iCs w:val="1"/>
          <w:color w:val="auto"/>
        </w:rPr>
        <w:t>Our Business</w:t>
      </w:r>
      <w:r>
        <w:rPr>
          <w:rFonts w:ascii="Times New Roman" w:cs="Times New Roman" w:eastAsia="Times New Roman" w:hAnsi="Times New Roman"/>
          <w:sz w:val="14"/>
          <w:szCs w:val="14"/>
          <w:color w:val="auto"/>
        </w:rPr>
        <w:t xml:space="preserve"> of this 2017 Annual Report.</w:t>
      </w:r>
    </w:p>
    <w:p>
      <w:pPr>
        <w:spacing w:after="0" w:line="112"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4"/>
          <w:szCs w:val="14"/>
          <w:color w:val="auto"/>
        </w:rPr>
        <w:t>While our capital projects in recent years have been focused in growing our real estate segment, we have also achieved some considerable improvements in our cinema exhibition portfolio, as discussed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Cinema Additions (including re-openings)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 are the latest additions to our cinema portfolio since 2015:</w:t>
      </w:r>
    </w:p>
    <w:p>
      <w:pPr>
        <w:spacing w:after="0" w:line="136" w:lineRule="exact"/>
        <w:rPr>
          <w:sz w:val="20"/>
          <w:szCs w:val="20"/>
          <w:color w:val="auto"/>
        </w:rPr>
      </w:pPr>
    </w:p>
    <w:p>
      <w:pPr>
        <w:ind w:left="520" w:right="280" w:hanging="252"/>
        <w:spacing w:after="0" w:line="280"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Opening a new state-of-the-art eight-screen in Newmarket, Brisbane, Australia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December 14, 2017, at the completion of our additional work at our Newmarket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Village, Brisbane location, we opened an eight screen Reading Cinemas offering one TITAN LUXE with DOLBY ATMOS sound and recliner seating, and three Gold Lounge auditoriums featuring recliner seating, as well as offering an expanded F&amp;B menu.</w:t>
      </w:r>
    </w:p>
    <w:p>
      <w:pPr>
        <w:spacing w:after="0" w:line="43" w:lineRule="exact"/>
        <w:rPr>
          <w:rFonts w:ascii="Times New Roman" w:cs="Times New Roman" w:eastAsia="Times New Roman" w:hAnsi="Times New Roman"/>
          <w:sz w:val="14"/>
          <w:szCs w:val="14"/>
          <w:color w:val="auto"/>
        </w:rPr>
      </w:pPr>
    </w:p>
    <w:p>
      <w:pPr>
        <w:ind w:left="520" w:right="20" w:hanging="252"/>
        <w:spacing w:after="0" w:line="273"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U.S. Refurbishments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2017, we continued to expend capital expenditure on refurbishment as detailed in our strategic plan. Significant renovation through the U.S. circuit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resulted in seven locations having refurbishment work performed: the Cal Oaks, Valley Plaza and Grossmont locations in California; the Ward and Pearlridge locations in Hawaii; the Paris location in New York and the Manville location in New Jersey. Further, at Cal Oaks, we additionally determined to create and implement our new dine-in concept, Spotlight.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3" w:right="739" w:bottom="1440" w:gutter="0" w:footer="0" w:header="0"/>
        </w:sectPr>
      </w:pPr>
    </w:p>
    <w:bookmarkStart w:id="39" w:name="page40"/>
    <w:bookmarkEnd w:id="39"/>
    <w:p>
      <w:pPr>
        <w:ind w:left="520" w:hanging="252"/>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AU and NZ Refurbishments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2017, we partially renovated six theaters: Belmont, Rouse Hill, West Lakes, Harbourtown, Courtenay Central and Napier.</w:t>
      </w:r>
    </w:p>
    <w:p>
      <w:pPr>
        <w:spacing w:after="0" w:line="99" w:lineRule="exact"/>
        <w:rPr>
          <w:rFonts w:ascii="Times New Roman" w:cs="Times New Roman" w:eastAsia="Times New Roman" w:hAnsi="Times New Roman"/>
          <w:sz w:val="14"/>
          <w:szCs w:val="14"/>
          <w:color w:val="auto"/>
        </w:rPr>
      </w:pPr>
    </w:p>
    <w:p>
      <w:pPr>
        <w:ind w:left="520" w:right="120" w:hanging="252"/>
        <w:spacing w:after="0" w:line="269"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Opening a new state-of-the-art eight-screen cinema (Olino by Consolidated Theatres) in West Oahu, Hawaii</w:t>
      </w:r>
      <w:r>
        <w:rPr>
          <w:rFonts w:ascii="Times New Roman" w:cs="Times New Roman" w:eastAsia="Times New Roman" w:hAnsi="Times New Roman"/>
          <w:sz w:val="14"/>
          <w:szCs w:val="14"/>
          <w:color w:val="auto"/>
        </w:rPr>
        <w:t>. On October 21, 2016, we opened our ninth theater and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first to break ground since 2001 in the state of Hawaii. The cinema is located at Ka Makana Ali’i, a 1.4 million square foot regional mall in West Oahu, anchored by Macy’s. Each of Olino’s well-appointed auditoriums feature luxurious electric recliner seats, expansive wall-to-wall screens and pristine digital projection by Barco, the leader in digital cinema technology. Expanding on the cutting edge technology from the iconic premium large format TITAN XC (Extreme Cinema) at Ward Theatres, Olino introduced a new premium TITAN XC experience, TITAN LUXE.</w:t>
      </w:r>
    </w:p>
    <w:p>
      <w:pPr>
        <w:spacing w:after="0" w:line="52" w:lineRule="exact"/>
        <w:rPr>
          <w:rFonts w:ascii="Times New Roman" w:cs="Times New Roman" w:eastAsia="Times New Roman" w:hAnsi="Times New Roman"/>
          <w:sz w:val="14"/>
          <w:szCs w:val="14"/>
          <w:color w:val="auto"/>
        </w:rPr>
      </w:pPr>
    </w:p>
    <w:p>
      <w:pPr>
        <w:ind w:left="520" w:right="320" w:hanging="252"/>
        <w:spacing w:after="0" w:line="280"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Opening of Reading Cinemas LynnMall</w:t>
      </w:r>
      <w:r>
        <w:rPr>
          <w:rFonts w:ascii="Times New Roman" w:cs="Times New Roman" w:eastAsia="Times New Roman" w:hAnsi="Times New Roman"/>
          <w:sz w:val="14"/>
          <w:szCs w:val="14"/>
          <w:color w:val="auto"/>
        </w:rPr>
        <w:t>. In November 2015, we opened the new state-of-the-art eight-screen Reading Cinemas LynnMall, our first Reading branded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Auckland cinema complex, in New Lynn, New Zealand. The cinema is located in LynnMall Shopping Centre, anchored by Farmers Department Store, Countdown Supermarket and our own Reading Cinemas.</w:t>
      </w:r>
    </w:p>
    <w:p>
      <w:pPr>
        <w:spacing w:after="0" w:line="43" w:lineRule="exact"/>
        <w:rPr>
          <w:rFonts w:ascii="Times New Roman" w:cs="Times New Roman" w:eastAsia="Times New Roman" w:hAnsi="Times New Roman"/>
          <w:sz w:val="14"/>
          <w:szCs w:val="14"/>
          <w:color w:val="auto"/>
        </w:rPr>
      </w:pPr>
    </w:p>
    <w:p>
      <w:pPr>
        <w:ind w:left="520" w:right="200" w:hanging="252"/>
        <w:spacing w:after="0" w:line="303"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Re-opening of refurbished cinemas</w:t>
      </w:r>
      <w:r>
        <w:rPr>
          <w:rFonts w:ascii="Times New Roman" w:cs="Times New Roman" w:eastAsia="Times New Roman" w:hAnsi="Times New Roman"/>
          <w:sz w:val="14"/>
          <w:szCs w:val="14"/>
          <w:color w:val="auto"/>
        </w:rPr>
        <w:t>. In September 2015, we reopened a completely refurbished state-of-the-art cinema complex in Harbourtown, Australia. In October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2015, we reopened the twelve-screen Angelika Film Center &amp; Cafe, a state-of-the-art luxury cinema, located at Carmel Mountain Plaza in San Diego,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Cinema Closures</w:t>
      </w:r>
    </w:p>
    <w:p>
      <w:pPr>
        <w:spacing w:after="0" w:line="32"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4"/>
          <w:szCs w:val="14"/>
          <w:color w:val="auto"/>
        </w:rPr>
        <w:t>We evaluate the performance of each of our cinemas and in some instances, we may decide to close an operation when it is not economically viable to continue operate from the location. Here are the recent closures in our cinema business:</w:t>
      </w:r>
    </w:p>
    <w:p>
      <w:pPr>
        <w:spacing w:after="0" w:line="99" w:lineRule="exact"/>
        <w:rPr>
          <w:sz w:val="20"/>
          <w:szCs w:val="20"/>
          <w:color w:val="auto"/>
        </w:rPr>
      </w:pPr>
    </w:p>
    <w:p>
      <w:pPr>
        <w:ind w:left="520" w:right="100" w:hanging="252"/>
        <w:spacing w:after="0" w:line="303"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Gaslamp Cinema in San Diego, California</w:t>
      </w:r>
      <w:r>
        <w:rPr>
          <w:rFonts w:ascii="Times New Roman" w:cs="Times New Roman" w:eastAsia="Times New Roman" w:hAnsi="Times New Roman"/>
          <w:sz w:val="14"/>
          <w:szCs w:val="14"/>
          <w:color w:val="auto"/>
        </w:rPr>
        <w:t>. This location was closed on January 31, 2016 and we paid the landlord a $1.0 million negotiated termination fee, which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less expensive than continuing to operate an unprofitable theater at this location.</w:t>
      </w:r>
    </w:p>
    <w:p>
      <w:pPr>
        <w:spacing w:after="0" w:line="27"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Redbank Cinema in Queensland Australia</w:t>
      </w:r>
      <w:r>
        <w:rPr>
          <w:rFonts w:ascii="Times New Roman" w:cs="Times New Roman" w:eastAsia="Times New Roman" w:hAnsi="Times New Roman"/>
          <w:sz w:val="14"/>
          <w:szCs w:val="14"/>
          <w:color w:val="auto"/>
        </w:rPr>
        <w:t>. In October 2015, at the end of our lease period, we closed our under preforming Redbank cinema.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Upgrades to our Film Exhibition Technology and Theatre Amenities</w:t>
      </w:r>
    </w:p>
    <w:p>
      <w:pPr>
        <w:spacing w:after="0" w:line="3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As discussed previously, we continue to focus in areas of the matured cinema business where we believe we have growth potential and ultimately, provide long-term value to our stockholders. These are the (i) upgrading of our existing cinemas and (ii) developing new cinemas to provide our customers with premium offerings, including state-of-the-art presentation (including sound, lounges and bar service) and luxury seating. As of December 31, 2017, the upgrades to our theater circuits’ film exhibition technology and amenities are summarized in the following table (excluding our managed cinema):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920" w:type="dxa"/>
            <w:vAlign w:val="bottom"/>
          </w:tcPr>
          <w:p>
            <w:pPr>
              <w:spacing w:after="0"/>
              <w:rPr>
                <w:sz w:val="12"/>
                <w:szCs w:val="12"/>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Location Count</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Screen Count</w:t>
            </w:r>
          </w:p>
        </w:tc>
      </w:tr>
      <w:tr>
        <w:trPr>
          <w:trHeight w:val="152"/>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Screen Format</w:t>
            </w:r>
          </w:p>
        </w:tc>
        <w:tc>
          <w:tcPr>
            <w:tcW w:w="13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r>
      <w:tr>
        <w:trPr>
          <w:trHeight w:val="163"/>
        </w:trPr>
        <w:tc>
          <w:tcPr>
            <w:tcW w:w="3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Digital (all cinemas in our theatre circuit)</w:t>
            </w: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58</w:t>
            </w:r>
          </w:p>
        </w:tc>
        <w:tc>
          <w:tcPr>
            <w:tcW w:w="2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473</w:t>
            </w:r>
          </w:p>
        </w:tc>
      </w:tr>
      <w:tr>
        <w:trPr>
          <w:trHeight w:val="163"/>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IMAX</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r>
      <w:tr>
        <w:trPr>
          <w:trHeight w:val="163"/>
        </w:trPr>
        <w:tc>
          <w:tcPr>
            <w:tcW w:w="3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Titan XC and LUXE, with Dolby ATMOS sound system</w:t>
            </w: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2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15</w:t>
            </w:r>
          </w:p>
        </w:tc>
      </w:tr>
      <w:tr>
        <w:trPr>
          <w:trHeight w:val="16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Dine-in Service (for international operations)</w:t>
            </w: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3"/>
        </w:trPr>
        <w:tc>
          <w:tcPr>
            <w:tcW w:w="3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Gold Lounge</w:t>
            </w:r>
            <w:r>
              <w:rPr>
                <w:rFonts w:ascii="Times New Roman" w:cs="Times New Roman" w:eastAsia="Times New Roman" w:hAnsi="Times New Roman"/>
                <w:sz w:val="5"/>
                <w:szCs w:val="5"/>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2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22</w:t>
            </w:r>
          </w:p>
        </w:tc>
      </w:tr>
      <w:tr>
        <w:trPr>
          <w:trHeight w:val="163"/>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Premium</w:t>
            </w:r>
            <w:r>
              <w:rPr>
                <w:rFonts w:ascii="Times New Roman" w:cs="Times New Roman" w:eastAsia="Times New Roman" w:hAnsi="Times New Roman"/>
                <w:sz w:val="5"/>
                <w:szCs w:val="5"/>
                <w:color w:val="auto"/>
              </w:rPr>
              <w:t>(2)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2"/>
              </w:rPr>
              <w:t>14</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xml:space="preserve">Upgraded Food &amp; Beverage menu </w:t>
            </w:r>
            <w:r>
              <w:rPr>
                <w:rFonts w:ascii="Times New Roman" w:cs="Times New Roman" w:eastAsia="Times New Roman" w:hAnsi="Times New Roman"/>
                <w:sz w:val="12"/>
                <w:szCs w:val="12"/>
                <w:color w:val="auto"/>
              </w:rPr>
              <w:t>(for U.S. operations)</w:t>
            </w:r>
            <w:r>
              <w:rPr>
                <w:rFonts w:ascii="Times New Roman" w:cs="Times New Roman" w:eastAsia="Times New Roman" w:hAnsi="Times New Roman"/>
                <w:sz w:val="5"/>
                <w:szCs w:val="5"/>
                <w:color w:val="auto"/>
              </w:rPr>
              <w:t>(3)</w:t>
            </w: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2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0"/>
              </w:rPr>
              <w:t>n/a</w:t>
            </w:r>
          </w:p>
        </w:tc>
      </w:tr>
      <w:tr>
        <w:trPr>
          <w:trHeight w:val="16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 xml:space="preserve">Premium Seating </w:t>
            </w:r>
            <w:r>
              <w:rPr>
                <w:rFonts w:ascii="Times New Roman" w:cs="Times New Roman" w:eastAsia="Times New Roman" w:hAnsi="Times New Roman"/>
                <w:sz w:val="12"/>
                <w:szCs w:val="12"/>
                <w:color w:val="auto"/>
              </w:rPr>
              <w:t>(recliner seating features)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112</w:t>
            </w: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Liquor Licenses Obtained</w:t>
            </w:r>
            <w:r>
              <w:rPr>
                <w:rFonts w:ascii="Times New Roman" w:cs="Times New Roman" w:eastAsia="Times New Roman" w:hAnsi="Times New Roman"/>
                <w:sz w:val="5"/>
                <w:szCs w:val="5"/>
                <w:color w:val="auto"/>
              </w:rPr>
              <w:t>(4)</w:t>
            </w: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26</w:t>
            </w:r>
          </w:p>
        </w:tc>
        <w:tc>
          <w:tcPr>
            <w:tcW w:w="2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0"/>
              </w:rPr>
              <w:t>n/a</w:t>
            </w:r>
          </w:p>
        </w:tc>
      </w:tr>
    </w:tbl>
    <w:p>
      <w:pPr>
        <w:spacing w:after="0" w:line="70" w:lineRule="exact"/>
        <w:rPr>
          <w:sz w:val="20"/>
          <w:szCs w:val="20"/>
          <w:color w:val="auto"/>
        </w:rPr>
      </w:pPr>
    </w:p>
    <w:p>
      <w:pPr>
        <w:ind w:left="100" w:hanging="93"/>
        <w:spacing w:after="0"/>
        <w:tabs>
          <w:tab w:leader="none" w:pos="100" w:val="left"/>
        </w:tabs>
        <w:numPr>
          <w:ilvl w:val="0"/>
          <w:numId w:val="37"/>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b w:val="1"/>
          <w:bCs w:val="1"/>
          <w:color w:val="auto"/>
        </w:rPr>
        <w:t>Gold Lounge</w:t>
      </w:r>
      <w:r>
        <w:rPr>
          <w:rFonts w:ascii="Times New Roman" w:cs="Times New Roman" w:eastAsia="Times New Roman" w:hAnsi="Times New Roman"/>
          <w:sz w:val="9"/>
          <w:szCs w:val="9"/>
          <w:color w:val="auto"/>
        </w:rPr>
        <w:t>: This is our "</w:t>
      </w:r>
      <w:r>
        <w:rPr>
          <w:rFonts w:ascii="Times New Roman" w:cs="Times New Roman" w:eastAsia="Times New Roman" w:hAnsi="Times New Roman"/>
          <w:sz w:val="9"/>
          <w:szCs w:val="9"/>
          <w:i w:val="1"/>
          <w:iCs w:val="1"/>
          <w:color w:val="auto"/>
        </w:rPr>
        <w:t>First Class Full Dine-in Service</w:t>
      </w:r>
      <w:r>
        <w:rPr>
          <w:rFonts w:ascii="Times New Roman" w:cs="Times New Roman" w:eastAsia="Times New Roman" w:hAnsi="Times New Roman"/>
          <w:sz w:val="9"/>
          <w:szCs w:val="9"/>
          <w:color w:val="auto"/>
        </w:rPr>
        <w:t>" in our Australian and New Zealand cinemas, which includes upgraded F&amp;B menu (with alcoholic beverages), luxury recliner seating features (intimate 30-40 seat cinemas) and waiter service.</w:t>
      </w:r>
    </w:p>
    <w:p>
      <w:pPr>
        <w:spacing w:after="0" w:line="16" w:lineRule="exact"/>
        <w:rPr>
          <w:rFonts w:ascii="Times New Roman" w:cs="Times New Roman" w:eastAsia="Times New Roman" w:hAnsi="Times New Roman"/>
          <w:sz w:val="10"/>
          <w:szCs w:val="10"/>
          <w:color w:val="auto"/>
          <w:vertAlign w:val="superscript"/>
        </w:rPr>
      </w:pPr>
    </w:p>
    <w:p>
      <w:pPr>
        <w:ind w:left="140" w:right="220" w:hanging="133"/>
        <w:spacing w:after="0" w:line="216" w:lineRule="auto"/>
        <w:tabs>
          <w:tab w:leader="none" w:pos="102" w:val="left"/>
        </w:tabs>
        <w:numPr>
          <w:ilvl w:val="0"/>
          <w:numId w:val="3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b w:val="1"/>
          <w:bCs w:val="1"/>
          <w:color w:val="auto"/>
        </w:rPr>
        <w:t>Premium Service</w:t>
      </w:r>
      <w:r>
        <w:rPr>
          <w:rFonts w:ascii="Times New Roman" w:cs="Times New Roman" w:eastAsia="Times New Roman" w:hAnsi="Times New Roman"/>
          <w:sz w:val="10"/>
          <w:szCs w:val="10"/>
          <w:color w:val="auto"/>
        </w:rPr>
        <w:t>: This is our "</w:t>
      </w:r>
      <w:r>
        <w:rPr>
          <w:rFonts w:ascii="Times New Roman" w:cs="Times New Roman" w:eastAsia="Times New Roman" w:hAnsi="Times New Roman"/>
          <w:sz w:val="10"/>
          <w:szCs w:val="10"/>
          <w:i w:val="1"/>
          <w:iCs w:val="1"/>
          <w:color w:val="auto"/>
        </w:rPr>
        <w:t>Business Class Dine-in Service</w:t>
      </w:r>
      <w:r>
        <w:rPr>
          <w:rFonts w:ascii="Times New Roman" w:cs="Times New Roman" w:eastAsia="Times New Roman" w:hAnsi="Times New Roman"/>
          <w:sz w:val="10"/>
          <w:szCs w:val="10"/>
          <w:color w:val="auto"/>
        </w:rPr>
        <w:t>" in our Australian and New Zealand cinemas, which includes upgraded F&amp;B menu (with alcoholic beverages) and luxury recliner seating features (less intimate 80-seat cinemas), but no</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waiter service.</w:t>
      </w:r>
    </w:p>
    <w:p>
      <w:pPr>
        <w:ind w:left="140" w:right="20" w:hanging="133"/>
        <w:spacing w:after="0" w:line="216" w:lineRule="auto"/>
        <w:tabs>
          <w:tab w:leader="none" w:pos="102" w:val="left"/>
        </w:tabs>
        <w:numPr>
          <w:ilvl w:val="0"/>
          <w:numId w:val="3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b w:val="1"/>
          <w:bCs w:val="1"/>
          <w:color w:val="auto"/>
        </w:rPr>
        <w:t xml:space="preserve">Upgraded Food &amp; Beverage Menu: </w:t>
      </w:r>
      <w:r>
        <w:rPr>
          <w:rFonts w:ascii="Times New Roman" w:cs="Times New Roman" w:eastAsia="Times New Roman" w:hAnsi="Times New Roman"/>
          <w:sz w:val="10"/>
          <w:szCs w:val="10"/>
          <w:color w:val="auto"/>
        </w:rPr>
        <w:t>Contrary to our offerings in Australia and New Zealand, our upgraded F&amp;B offerings in the U.S. cinemas are available in a common counter in each of our cinema locations rather than a dine-in service at each screen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room. We have worked with renowned former Food Network executives and chefs to curate a menu of locally inspired and freshly prepared items.</w:t>
      </w:r>
    </w:p>
    <w:p>
      <w:pPr>
        <w:ind w:left="140" w:right="60" w:hanging="133"/>
        <w:spacing w:after="0" w:line="219" w:lineRule="auto"/>
        <w:tabs>
          <w:tab w:leader="none" w:pos="102" w:val="left"/>
        </w:tabs>
        <w:numPr>
          <w:ilvl w:val="0"/>
          <w:numId w:val="3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b w:val="1"/>
          <w:bCs w:val="1"/>
          <w:color w:val="auto"/>
        </w:rPr>
        <w:t xml:space="preserve">Liquor Licenses: </w:t>
      </w:r>
      <w:r>
        <w:rPr>
          <w:rFonts w:ascii="Times New Roman" w:cs="Times New Roman" w:eastAsia="Times New Roman" w:hAnsi="Times New Roman"/>
          <w:sz w:val="10"/>
          <w:szCs w:val="10"/>
          <w:color w:val="auto"/>
        </w:rPr>
        <w:t>Licenses are applicable at each cinema location, rather than each theatre room (except for our Hawaii licenses, where we are licensed for particular auditoriums). In March 2017, we were awarded the liquor license for our Cal Oaks</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Cinema in California, as well as obtaining a license for the newly opened Cinema at Newmarket making it to a total of 26 cinema locations with liquor licenses in our global circuit. For accounting purposes, we have capitalized the costs of successfully purchasing or applying for liquor licenses meeting certain thresholds as an intangible asset due to long-term economic benefits derived on future sales of alcoholic beverages.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Real Estate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2017, our operating property consisted of the following:</w:t>
      </w:r>
    </w:p>
    <w:p>
      <w:pPr>
        <w:spacing w:after="0" w:line="149" w:lineRule="exact"/>
        <w:rPr>
          <w:sz w:val="20"/>
          <w:szCs w:val="20"/>
          <w:color w:val="auto"/>
        </w:rPr>
      </w:pPr>
    </w:p>
    <w:p>
      <w:pPr>
        <w:ind w:left="520" w:right="40" w:hanging="252"/>
        <w:spacing w:after="0" w:line="270"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Newmarket, Queensland ETC, our Belmont, Western Australia ETC, our Auburn, New South Wales ETC, our Townsville, Queensland ETC and our Wellington, New Zealand ETC;</w:t>
      </w:r>
    </w:p>
    <w:p>
      <w:pPr>
        <w:ind w:left="520" w:hanging="252"/>
        <w:spacing w:after="0" w:line="277"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(2) single-auditorium live theaters in Manhattan (Minetta Lane and Orpheum) and a four-auditorium live theater complex (including the accompanying ancillary retail and commercial tenants) in Chicago (The Royal George); and,</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3" w:right="759" w:bottom="1440" w:gutter="0" w:footer="0" w:header="0"/>
        </w:sectPr>
      </w:pPr>
    </w:p>
    <w:bookmarkStart w:id="40" w:name="page41"/>
    <w:bookmarkEnd w:id="40"/>
    <w:p>
      <w:pPr>
        <w:ind w:left="520" w:hanging="252"/>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ancillary retail and commercial tenants at some of our non-ETC cinema properties.</w:t>
      </w:r>
    </w:p>
    <w:p>
      <w:pPr>
        <w:spacing w:after="0" w:line="154" w:lineRule="exact"/>
        <w:rPr>
          <w:sz w:val="20"/>
          <w:szCs w:val="20"/>
          <w:color w:val="auto"/>
        </w:rPr>
      </w:pPr>
    </w:p>
    <w:p>
      <w:pPr>
        <w:ind w:right="460"/>
        <w:spacing w:after="0" w:line="300" w:lineRule="auto"/>
        <w:rPr>
          <w:sz w:val="20"/>
          <w:szCs w:val="20"/>
          <w:color w:val="auto"/>
        </w:rPr>
      </w:pPr>
      <w:r>
        <w:rPr>
          <w:rFonts w:ascii="Times New Roman" w:cs="Times New Roman" w:eastAsia="Times New Roman" w:hAnsi="Times New Roman"/>
          <w:sz w:val="14"/>
          <w:szCs w:val="14"/>
          <w:color w:val="auto"/>
        </w:rPr>
        <w:t>At the beginning of January 2016, we ceased our live theatre business at our Union Square property in New York, terminated all tenant leases and prepared the property for redevelopment. Accordingly, this property is no longer treated as an operating property.</w:t>
      </w:r>
    </w:p>
    <w:p>
      <w:pPr>
        <w:spacing w:after="0" w:line="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 addition, we had various parcels of unimproved real estate held for development in Australia and New Zealand and certain unimproved land in the United States including some that was used in our legacy activities. We also own an 8,300 square foot commercial building in Melbourne, which serves as our administrative headquarters for Australia and New Zealand, approximately 36% of which is leased to an unrelated third party. During 2016, we bought a new property in Culver City, California which became our new Corporate Headquarters in Los Angeles (refer to “</w:t>
      </w:r>
      <w:r>
        <w:rPr>
          <w:rFonts w:ascii="Times New Roman" w:cs="Times New Roman" w:eastAsia="Times New Roman" w:hAnsi="Times New Roman"/>
          <w:sz w:val="14"/>
          <w:szCs w:val="14"/>
          <w:i w:val="1"/>
          <w:iCs w:val="1"/>
          <w:color w:val="auto"/>
        </w:rPr>
        <w:t>Strategic Acquisitions</w:t>
      </w:r>
      <w:r>
        <w:rPr>
          <w:rFonts w:ascii="Times New Roman" w:cs="Times New Roman" w:eastAsia="Times New Roman" w:hAnsi="Times New Roman"/>
          <w:sz w:val="14"/>
          <w:szCs w:val="14"/>
          <w:color w:val="auto"/>
        </w:rPr>
        <w:t>” section below for more details).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key real estate transactions in recent years are as follows: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Strategic Acquisitions</w:t>
      </w:r>
    </w:p>
    <w:p>
      <w:pPr>
        <w:spacing w:after="0" w:line="101" w:lineRule="exact"/>
        <w:rPr>
          <w:sz w:val="20"/>
          <w:szCs w:val="20"/>
          <w:color w:val="auto"/>
        </w:rPr>
      </w:pPr>
    </w:p>
    <w:p>
      <w:pPr>
        <w:ind w:left="520" w:right="20" w:hanging="252"/>
        <w:spacing w:after="0" w:line="26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Purchase of New Corporate Headquarters Building in Los Angeles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11, 2016, we purchased a 24,000 square foot office building with 72 parking spaces located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5995 Sepulveda Boulevard in Culver City, California (a Los Angeles suburb) for $11.2 million cash and financed the property with a $9.9 million 10-year, fixed-rate mortgage loan. We currently use approximately 50% of the leasable area for our headquarters offices and we plan to lease the remainder to unaffiliated third parties.</w:t>
      </w:r>
    </w:p>
    <w:p>
      <w:pPr>
        <w:ind w:left="520" w:hanging="252"/>
        <w:spacing w:after="0" w:line="262"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Purchase of Cannon Park properties in Queensland, Australia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December 2015, we acquired two adjoining properties in Townsville, Queensland, Australia for a total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$24.1 million (AU$33.4 million). The total gross leasable area of the two adjoining properties, the Cannon Park City Centre and the Cannon Park Discount Centre, is 133,000 square feet. The Cannon Park City Centre is anchored by a Reading Cinema, which is owned by our 75% owned subsidiary, Australia Country Cinemas, and had three mini-major tenants and ten specialty family oriented restaurant tenants at the time of the acquisition. The Cannon Park Discount Centre is anchored by Kingpin Bowling and supported by four other retailers. The properties are located approximately 0.6 miles from downtown Townsville, the fourth largest city in Queensland, Australia. This acquisition is consistent with our business plan to own, where practical, the land underlying our entertainment assets. We are now operating these properties as a single ETC.</w:t>
      </w:r>
    </w:p>
    <w:p>
      <w:pPr>
        <w:spacing w:after="0" w:line="160" w:lineRule="exact"/>
        <w:rPr>
          <w:rFonts w:ascii="Times New Roman" w:cs="Times New Roman" w:eastAsia="Times New Roman" w:hAnsi="Times New Roman"/>
          <w:sz w:val="14"/>
          <w:szCs w:val="14"/>
          <w:color w:val="auto"/>
        </w:rPr>
      </w:pPr>
    </w:p>
    <w:p>
      <w:pPr>
        <w:ind w:left="520" w:right="280" w:hanging="252"/>
        <w:spacing w:after="0" w:line="268"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Purchase of Property in Newmarket, Australia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November 2015, we acquired a commercial building in Newmarket adjacent to our Newmarket shopping complex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currently improved with an office building. The total cost of the acquisition was $5.5 million (AU$7.6 million). Our intention is that this parcel will ultimately be integrated into our Newmarket Shopping Center.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Opportunistic Sales</w:t>
      </w:r>
    </w:p>
    <w:p>
      <w:pPr>
        <w:spacing w:after="0" w:line="101" w:lineRule="exact"/>
        <w:rPr>
          <w:sz w:val="20"/>
          <w:szCs w:val="20"/>
          <w:color w:val="auto"/>
        </w:rPr>
      </w:pPr>
    </w:p>
    <w:p>
      <w:pPr>
        <w:ind w:left="520" w:right="100" w:hanging="252"/>
        <w:spacing w:after="0" w:line="263"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Sale of Landholding in Burwood, Australia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December 14, 2017, we received the final payment for Burwood of $28.1 million (AU$36.6 million), on June 19, 2017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received $16.6 million (AU$21.8 million) as a partial payment and on May 23, 2014 we received $5.9 million (AU$6.5 million) as the initial deposit. The total sales price of $50.6 million (AU$64.9 million) was $57,000 (AU$75,000) less than the original contract price due to an earlier settlement being negotiated with the purchaser. We originally entered into a contract to sell our undeveloped 50.6-acre parcel in Burwood, Victoria, Australia, to an affiliate of Australand Holdings Limited for a purchase price of $50.7 million (AU$65.0 million) in May 2014.</w:t>
      </w:r>
    </w:p>
    <w:p>
      <w:pPr>
        <w:spacing w:after="0" w:line="2" w:lineRule="exact"/>
        <w:rPr>
          <w:rFonts w:ascii="Times New Roman" w:cs="Times New Roman" w:eastAsia="Times New Roman" w:hAnsi="Times New Roman"/>
          <w:sz w:val="14"/>
          <w:szCs w:val="14"/>
          <w:color w:val="auto"/>
        </w:rPr>
      </w:pPr>
    </w:p>
    <w:p>
      <w:pPr>
        <w:ind w:left="520" w:hanging="252"/>
        <w:spacing w:after="0" w:line="258"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Sale of Properties in Taupo, New Zealand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31, 2015, we entered into sale agreements to sell both of our Lake Taupo properties to the same purchaser. The first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 agreement for 138 Lake Terrace, an improved 20 unit motor inn, was settled on May 6, 2015 for $1.6 million (NZ$2.2 million). Settlement of $831,000</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(NZ$1.2 million) was received on March 31, 2016 in regards the second sale agreement for 142 Lake Terrace, an unimproved vacant parcel of land.</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Sale of Doheny Condominium in Los Angeles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February 25, 2015, we sold our Los Angeles condominium for $3.0 million resulting in a $2.8 million gain on sale.</w:t>
      </w:r>
    </w:p>
    <w:p>
      <w:pPr>
        <w:spacing w:after="0" w:line="12" w:lineRule="exact"/>
        <w:rPr>
          <w:rFonts w:ascii="Times New Roman" w:cs="Times New Roman" w:eastAsia="Times New Roman" w:hAnsi="Times New Roman"/>
          <w:sz w:val="14"/>
          <w:szCs w:val="14"/>
          <w:color w:val="auto"/>
        </w:rPr>
      </w:pPr>
    </w:p>
    <w:p>
      <w:pPr>
        <w:ind w:left="520" w:right="720" w:hanging="252"/>
        <w:spacing w:after="0" w:line="277"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Sale of Landholding in Moonee Ponds, Australia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2013, we entered into a purchase and sale agreement to sell our 3.3-acre properties in Moonee Ponds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$17.5 million (AU$23.0 million) which closed on April 16, 2015.</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380"/>
          </w:cols>
          <w:pgMar w:left="740" w:top="125" w:right="7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Value-creating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engaged in several real estate development projects to take our properties to their highest and best use. The most notable of these value-creating projects are as follows:</w:t>
      </w:r>
    </w:p>
    <w:p>
      <w:pPr>
        <w:spacing w:after="0" w:line="162" w:lineRule="exact"/>
        <w:rPr>
          <w:sz w:val="20"/>
          <w:szCs w:val="20"/>
          <w:color w:val="auto"/>
        </w:rPr>
      </w:pPr>
    </w:p>
    <w:p>
      <w:pPr>
        <w:ind w:left="520" w:hanging="252"/>
        <w:spacing w:after="0" w:line="265"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Redevelopment of Union Square Property in New York, USA</w:t>
      </w:r>
      <w:r>
        <w:rPr>
          <w:rFonts w:ascii="Times New Roman" w:cs="Times New Roman" w:eastAsia="Times New Roman" w:hAnsi="Times New Roman"/>
          <w:sz w:val="14"/>
          <w:szCs w:val="14"/>
          <w:color w:val="auto"/>
        </w:rPr>
        <w:t>. We secured construction financing for our Union Square property in December 2016 and have entered into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guaranteed maximum price construction management agreement with an affiliate of CNY. Construction is now more than 50% complete on this re-development project. We anticipate that the project will be ready for tenant fit-out in the third quarter of this year. Retail and office leasing interest to date has been strong and we are currently in discussions with quality tenants. This redevelopment will add approximately 23,000 square footage of rentable space to the current square footage of the building for an approximate total of 73,322 square feet of rentable space, inclusive of anticipated BOMA (Building Owners and Managers Association) adjustments and subject to lease negotiations and the final tenant mix. During the year ended December 31, 2017 we have invested $17.8 million in new capital expenditures relating to the Union Square re-development project, bringing our total investment in the project to $32.5 million (including direct costs incurred in obtaining the related construction financing) out of a total projected investment of $74.5 million.</w:t>
      </w:r>
    </w:p>
    <w:p>
      <w:pPr>
        <w:spacing w:after="0" w:line="139" w:lineRule="exact"/>
        <w:rPr>
          <w:rFonts w:ascii="Times New Roman" w:cs="Times New Roman" w:eastAsia="Times New Roman" w:hAnsi="Times New Roman"/>
          <w:sz w:val="14"/>
          <w:szCs w:val="14"/>
          <w:color w:val="auto"/>
        </w:rPr>
      </w:pPr>
    </w:p>
    <w:p>
      <w:pPr>
        <w:ind w:left="520" w:right="240" w:hanging="252"/>
        <w:spacing w:after="0" w:line="303"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Expansion Project for our Newmarket Shopping Center at an affluent suburb of Brisbane, Australia</w:t>
      </w:r>
      <w:r>
        <w:rPr>
          <w:rFonts w:ascii="Times New Roman" w:cs="Times New Roman" w:eastAsia="Times New Roman" w:hAnsi="Times New Roman"/>
          <w:sz w:val="14"/>
          <w:szCs w:val="14"/>
          <w:color w:val="auto"/>
        </w:rPr>
        <w:t>. In December 2017 we opened our eight-screen Reading Cinema,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10,150 square feet of additional retail space and 124 parking spaces.</w:t>
      </w:r>
    </w:p>
    <w:p>
      <w:pPr>
        <w:spacing w:after="0" w:line="114" w:lineRule="exact"/>
        <w:rPr>
          <w:rFonts w:ascii="Times New Roman" w:cs="Times New Roman" w:eastAsia="Times New Roman" w:hAnsi="Times New Roman"/>
          <w:sz w:val="14"/>
          <w:szCs w:val="14"/>
          <w:color w:val="auto"/>
        </w:rPr>
      </w:pPr>
    </w:p>
    <w:p>
      <w:pPr>
        <w:ind w:left="520" w:right="60" w:hanging="252"/>
        <w:spacing w:after="0" w:line="264"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Courtenay Central Redesign/Expansion/Temporary Closure and the related demolition of adjacent parking building for our Courtenay Central ETC in Wellington, New Zealand</w:t>
      </w:r>
      <w:r>
        <w:rPr>
          <w:rFonts w:ascii="Times New Roman" w:cs="Times New Roman" w:eastAsia="Times New Roman" w:hAnsi="Times New Roman"/>
          <w:sz w:val="14"/>
          <w:szCs w:val="14"/>
          <w:color w:val="auto"/>
        </w:rPr>
        <w:t>. We continue to make progress on our supermarket development project at our Courtenay Central ETC in Wellington, New Zealand. On November 14, 2016,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Wellington experienced a severe 7.8 magnitude earthquake. That earthquake rendered our Tory Street parking building unsafe and ultimately led to the demolition of that building and the temporary closure of our adjacent ETC, which reopened on March 29, 2017. Our supermarket tenant remains committed to the site but has delayed construction in order to upgrade to a “premium” offering. Under the agreement to lease, our tenant is responsible for any increase in our costs resulting from those design changes. In light of the demolition of the existing parking building (a major portion of the cost of which is covered by insurance), we are undertaking a comprehensive redesign analysis, intended to increase the amount of retail leasable space at the center and to better coordinate the interface between the parking building and the remainder of the center. While we work on a redesign of the property, we have activated the building with several temporary “pop-up” retail offerings. We are currently working on plans and in discussions with tenants regarding the construction of additional retail space at the site.</w:t>
      </w:r>
    </w:p>
    <w:p>
      <w:pPr>
        <w:spacing w:after="0" w:line="143" w:lineRule="exact"/>
        <w:rPr>
          <w:rFonts w:ascii="Times New Roman" w:cs="Times New Roman" w:eastAsia="Times New Roman" w:hAnsi="Times New Roman"/>
          <w:sz w:val="14"/>
          <w:szCs w:val="14"/>
          <w:color w:val="auto"/>
        </w:rPr>
      </w:pPr>
    </w:p>
    <w:p>
      <w:pPr>
        <w:ind w:left="52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2017, our Insurer completed the examination of our insurance claim with respect to the parking building and shopping center earthquake damage and related business interruption. We received a final settlement of US$20.0 million in May 2017, reaching the policy maximum of US$25.0 million for the loss event. As a result, we recorded a gain of $9.2 million (NZ$12.7 million) representing excess insurance recoveries over the recorded property value during the second quarter ended June 30, 2017. This amount is recorded net of demolition costs incurred and an allocation to lost profits, covered within the same insurance policy.</w:t>
      </w:r>
    </w:p>
    <w:p>
      <w:pPr>
        <w:spacing w:after="0" w:line="138" w:lineRule="exact"/>
        <w:rPr>
          <w:sz w:val="20"/>
          <w:szCs w:val="20"/>
          <w:color w:val="auto"/>
        </w:rPr>
      </w:pPr>
    </w:p>
    <w:p>
      <w:pPr>
        <w:ind w:left="520"/>
        <w:spacing w:after="0" w:line="279" w:lineRule="auto"/>
        <w:rPr>
          <w:sz w:val="20"/>
          <w:szCs w:val="20"/>
          <w:color w:val="auto"/>
        </w:rPr>
      </w:pPr>
      <w:r>
        <w:rPr>
          <w:rFonts w:ascii="Times New Roman" w:cs="Times New Roman" w:eastAsia="Times New Roman" w:hAnsi="Times New Roman"/>
          <w:sz w:val="14"/>
          <w:szCs w:val="14"/>
          <w:color w:val="auto"/>
        </w:rPr>
        <w:t>During the quarter ended June 30, 2017, we recorded a gain on business interruption recoveries of $1.5 million (NZ$2.1 million), presented as part of the relevant segment revenue lines in our Consolidated Statement of Operations for that quarter. While the earthquake has opened up possibilities to reconfigure our Courtenay Central property, the gains recorded during the quarter ended June 30, 2017 do not compensate for the lost time value of the delay of our development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19 – Insurance Recoveries on Impairment and Related Losses due to Earthquake</w:t>
      </w:r>
      <w:r>
        <w:rPr>
          <w:rFonts w:ascii="Times New Roman" w:cs="Times New Roman" w:eastAsia="Times New Roman" w:hAnsi="Times New Roman"/>
          <w:sz w:val="14"/>
          <w:szCs w:val="14"/>
          <w:color w:val="auto"/>
        </w:rPr>
        <w:t xml:space="preserve"> for further details on the impact of the earthquake incident.</w:t>
      </w:r>
    </w:p>
    <w:p>
      <w:pPr>
        <w:spacing w:after="0" w:line="186" w:lineRule="exact"/>
        <w:rPr>
          <w:sz w:val="20"/>
          <w:szCs w:val="20"/>
          <w:color w:val="auto"/>
        </w:rPr>
      </w:pPr>
    </w:p>
    <w:p>
      <w:pPr>
        <w:ind w:left="520" w:hanging="252"/>
        <w:spacing w:after="0" w:line="269"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Cinema 1,2,3 Redevelopment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in June 2017, we entered into an exclusive dealing and pre-development agreement with our adjoining neighbors, 260-264 LLC, to jointly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 the properties, currently home to Cinemas 1,2,3 and Anassa Taverna. Under the terms of the agreement, Reading and 260-264 LLC will work together on a comprehensive mixed-use plan to co-develop the properties located on 3rd Avenue, between 59th Street and 60th Streets, in New York City. The parties have completed an initial feasibility study, analyzing various retail, entertainment and residential uses for the site and are working on the terms of a final agreement for the development of the combined property.</w:t>
      </w:r>
    </w:p>
    <w:p>
      <w:pPr>
        <w:spacing w:after="0" w:line="106" w:lineRule="exact"/>
        <w:rPr>
          <w:rFonts w:ascii="Times New Roman" w:cs="Times New Roman" w:eastAsia="Times New Roman" w:hAnsi="Times New Roman"/>
          <w:sz w:val="14"/>
          <w:szCs w:val="14"/>
          <w:color w:val="auto"/>
        </w:rPr>
      </w:pPr>
    </w:p>
    <w:p>
      <w:pPr>
        <w:ind w:left="520" w:right="20" w:hanging="252"/>
        <w:spacing w:after="0" w:line="273"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Manukau Land Rezoning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in August 2016, the Auckland City Council re-zoned 64.0 acres of our 70.4 acre property in Manukau from agricultural to light industrial use.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remaining 6.4 acres were already zoned for heavy industrial use. Now that our zoning enhancement goal is achieved, we are reviewing our options with respect to the value realization opportunities and commercial exploitation of this asset. We see this property as a future value realization opportunity for us. This tract is adjacent to the Auckland Airport which has recently been expanding towards our property.</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1" w:right="7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Matters</w:t>
      </w:r>
    </w:p>
    <w:p>
      <w:pPr>
        <w:spacing w:after="0" w:line="156" w:lineRule="exact"/>
        <w:rPr>
          <w:sz w:val="20"/>
          <w:szCs w:val="20"/>
          <w:color w:val="auto"/>
        </w:rPr>
      </w:pPr>
    </w:p>
    <w:p>
      <w:pPr>
        <w:ind w:left="520" w:hanging="252"/>
        <w:spacing w:after="0" w:line="273"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$25-million Stock Repurchase Program.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prior repurchase program was completed at the end of 2016. The new repurchase program approved on March 2, 2017 allows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Reading to repurchase its Class A Stock from time to time in accordance with the requirements of the Securities and Exchange Commission on the open market, in block trades and in privately negotiated transactions, depending on market conditions and other factors. The Board’s authorization is for a two-year period, expiring March 1, 2019, or earlier should the full repurchase authorization be used.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Financing Strategy</w:t>
      </w:r>
    </w:p>
    <w:p>
      <w:pPr>
        <w:spacing w:after="0" w:line="168" w:lineRule="exact"/>
        <w:rPr>
          <w:sz w:val="20"/>
          <w:szCs w:val="20"/>
          <w:color w:val="auto"/>
        </w:rPr>
      </w:pPr>
    </w:p>
    <w:p>
      <w:pPr>
        <w:jc w:val="both"/>
        <w:ind w:left="260" w:right="60"/>
        <w:spacing w:after="0" w:line="272" w:lineRule="auto"/>
        <w:rPr>
          <w:sz w:val="20"/>
          <w:szCs w:val="20"/>
          <w:color w:val="auto"/>
        </w:rPr>
      </w:pPr>
      <w:r>
        <w:rPr>
          <w:rFonts w:ascii="Times New Roman" w:cs="Times New Roman" w:eastAsia="Times New Roman" w:hAnsi="Times New Roman"/>
          <w:sz w:val="14"/>
          <w:szCs w:val="14"/>
          <w:color w:val="auto"/>
        </w:rPr>
        <w:t>Our treasury management is focused on concerted cash management using cash balances to reduce debt. We have used cash generated from operations and other excess cash, to the extent not needed for any capital expenditures, to pay down our loans and credit facilities providing us some flexibility on our available loan facilities for future use and thereby, reducing interest charges. On a periodic basis, we review the maturities of our borrowing arrangements and negotiate for renewals and extensions where necessary in the current circumstances.</w:t>
      </w:r>
    </w:p>
    <w:p>
      <w:pPr>
        <w:spacing w:after="0" w:line="105" w:lineRule="exact"/>
        <w:rPr>
          <w:sz w:val="20"/>
          <w:szCs w:val="20"/>
          <w:color w:val="auto"/>
        </w:rPr>
      </w:pPr>
    </w:p>
    <w:p>
      <w:pPr>
        <w:ind w:left="260" w:right="80"/>
        <w:spacing w:after="0" w:line="272" w:lineRule="auto"/>
        <w:rPr>
          <w:sz w:val="20"/>
          <w:szCs w:val="20"/>
          <w:color w:val="auto"/>
        </w:rPr>
      </w:pPr>
      <w:r>
        <w:rPr>
          <w:rFonts w:ascii="Times New Roman" w:cs="Times New Roman" w:eastAsia="Times New Roman" w:hAnsi="Times New Roman"/>
          <w:sz w:val="14"/>
          <w:szCs w:val="14"/>
          <w:color w:val="auto"/>
        </w:rPr>
        <w:t>Over the past twelve months, we extended the maturity, in April 2017 of the NZ$35.0 million (US$24.9 million) general/non-construction credit line and the NZ$18.0 million (US$12.8 million) construction credit line of our Westpac Corporate Credit Facility to December 31, 2018, from March 31, 2018. Subsequently, in June 2017, we fully paid our loan balance using the cash received from insurance settlement relating to Courtenay Central property damage; we then further extended the maturity, in December 2017 of the NZ$35.0 million (US$24.9 million) general/non-construction credit line of our Westpac Corporate Credit Facility to December 31, 2019.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 complete list and further details of our value creation projects, see Part I, Item 2 – </w:t>
      </w:r>
      <w:r>
        <w:rPr>
          <w:rFonts w:ascii="Times New Roman" w:cs="Times New Roman" w:eastAsia="Times New Roman" w:hAnsi="Times New Roman"/>
          <w:sz w:val="14"/>
          <w:szCs w:val="14"/>
          <w:i w:val="1"/>
          <w:iCs w:val="1"/>
          <w:color w:val="auto"/>
        </w:rPr>
        <w:t>Properties</w:t>
      </w:r>
      <w:r>
        <w:rPr>
          <w:rFonts w:ascii="Times New Roman" w:cs="Times New Roman" w:eastAsia="Times New Roman" w:hAnsi="Times New Roman"/>
          <w:sz w:val="14"/>
          <w:szCs w:val="14"/>
          <w:color w:val="auto"/>
        </w:rPr>
        <w:t xml:space="preserve"> under the heading “</w:t>
      </w:r>
      <w:r>
        <w:rPr>
          <w:rFonts w:ascii="Times New Roman" w:cs="Times New Roman" w:eastAsia="Times New Roman" w:hAnsi="Times New Roman"/>
          <w:sz w:val="14"/>
          <w:szCs w:val="14"/>
          <w:i w:val="1"/>
          <w:iCs w:val="1"/>
          <w:color w:val="auto"/>
        </w:rPr>
        <w:t>Investment and Development Property”</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OVERALL RESULTS OF OPERATIONS</w:t>
      </w:r>
    </w:p>
    <w:p>
      <w:pPr>
        <w:spacing w:after="0" w:line="18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At December 31, 2017, we wholly owned and operated 55 cinemas with 444 screens, had interests in certain unconsolidated joint ventures and entities that own an additional 3 cinemas with 29 screens and managed 1 cinema with 4 screens. During the period, we also (i) owned and operated five ETCs in Australia and New Zealand, (ii) owned the fee interests in three developed commercial properties in Manhattan and Chicago improved with live theaters, which have six stages and, in Chicago, an ancillary retail and commercial space, (iii) owned the fee interests in the Union Square building in Manhattan that we are redeveloping, which had, until the end of 2015, operated as a live theater and rental property, (iv) owned through a 75% owned limited liability company the fee interests underlying one of our Manhattan cinemas, (v) held for development approximately 70.4 acres located in New Zealand, and (vi) owned through a 50% owned and controlled limited liability company of a 202-acre property that is zoned for the development of approximately 150 acres for single-family residential use (550 homes) and approximately 50 acres for high density mixed use in the U.S. and (vii) owned approximately 200 acres in Pennsylvania and New Jersey from our legacy business.</w:t>
      </w:r>
    </w:p>
    <w:p>
      <w:pPr>
        <w:spacing w:after="0" w:line="296"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4"/>
          <w:szCs w:val="14"/>
          <w:color w:val="auto"/>
        </w:rPr>
        <w:t>The Company transacts business in Australia and New Zealand and is subject to risks associated with changing foreign currency exchange rates. During the current year, compared to the prior year, the Australian dollar and New Zealand dollar weakened against the U.S. dollars by 3.1% and 2.0%, respectively.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1" w:right="7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The following table sets forth the overall results of operations for the three years ended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right"/>
              <w:ind w:right="582"/>
              <w:spacing w:after="0"/>
              <w:rPr>
                <w:sz w:val="20"/>
                <w:szCs w:val="20"/>
                <w:color w:val="auto"/>
              </w:rPr>
            </w:pPr>
            <w:r>
              <w:rPr>
                <w:rFonts w:ascii="Times New Roman" w:cs="Times New Roman" w:eastAsia="Times New Roman" w:hAnsi="Times New Roman"/>
                <w:sz w:val="12"/>
                <w:szCs w:val="12"/>
                <w:b w:val="1"/>
                <w:bCs w:val="1"/>
                <w:color w:val="auto"/>
              </w:rPr>
              <w:t>% Change -</w:t>
            </w: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of</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of</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 of</w:t>
            </w:r>
          </w:p>
        </w:tc>
        <w:tc>
          <w:tcPr>
            <w:tcW w:w="1860" w:type="dxa"/>
            <w:vAlign w:val="bottom"/>
            <w:tcBorders>
              <w:bottom w:val="single" w:sz="8" w:color="auto"/>
            </w:tcBorders>
            <w:gridSpan w:val="3"/>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Favorable / (Unfavorable)</w:t>
            </w:r>
          </w:p>
        </w:tc>
        <w:tc>
          <w:tcPr>
            <w:tcW w:w="0" w:type="dxa"/>
            <w:vAlign w:val="bottom"/>
          </w:tcPr>
          <w:p>
            <w:pPr>
              <w:spacing w:after="0"/>
              <w:rPr>
                <w:sz w:val="1"/>
                <w:szCs w:val="1"/>
                <w:color w:val="auto"/>
              </w:rPr>
            </w:pPr>
          </w:p>
        </w:tc>
      </w:tr>
      <w:tr>
        <w:trPr>
          <w:trHeight w:val="87"/>
        </w:trPr>
        <w:tc>
          <w:tcPr>
            <w:tcW w:w="30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6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vMerge w:val="restart"/>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vMerge w:val="restart"/>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2016</w:t>
            </w:r>
          </w:p>
        </w:tc>
        <w:tc>
          <w:tcPr>
            <w:tcW w:w="1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vMerge w:val="restart"/>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2015</w:t>
            </w: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2017 vs. 2016</w:t>
            </w:r>
          </w:p>
        </w:tc>
        <w:tc>
          <w:tcPr>
            <w:tcW w:w="340" w:type="dxa"/>
            <w:vAlign w:val="bottom"/>
            <w:vMerge w:val="restart"/>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2016 vs. 2015</w:t>
            </w:r>
          </w:p>
        </w:tc>
        <w:tc>
          <w:tcPr>
            <w:tcW w:w="0" w:type="dxa"/>
            <w:vAlign w:val="bottom"/>
          </w:tcPr>
          <w:p>
            <w:pPr>
              <w:spacing w:after="0"/>
              <w:rPr>
                <w:sz w:val="1"/>
                <w:szCs w:val="1"/>
                <w:color w:val="auto"/>
              </w:rPr>
            </w:pPr>
          </w:p>
        </w:tc>
      </w:tr>
      <w:tr>
        <w:trPr>
          <w:trHeight w:val="142"/>
        </w:trPr>
        <w:tc>
          <w:tcPr>
            <w:tcW w:w="30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RESULTS</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Cinema exhibition operating income</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32,970</w:t>
            </w:r>
          </w:p>
        </w:tc>
        <w:tc>
          <w:tcPr>
            <w:tcW w:w="140" w:type="dxa"/>
            <w:vAlign w:val="bottom"/>
          </w:tcPr>
          <w:p>
            <w:pPr>
              <w:spacing w:after="0"/>
              <w:rPr>
                <w:sz w:val="15"/>
                <w:szCs w:val="15"/>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12 %</w:t>
            </w:r>
          </w:p>
        </w:tc>
        <w:tc>
          <w:tcPr>
            <w:tcW w:w="140" w:type="dxa"/>
            <w:vAlign w:val="bottom"/>
          </w:tcPr>
          <w:p>
            <w:pPr>
              <w:spacing w:after="0"/>
              <w:rPr>
                <w:sz w:val="15"/>
                <w:szCs w:val="15"/>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35,498</w:t>
            </w:r>
          </w:p>
        </w:tc>
        <w:tc>
          <w:tcPr>
            <w:tcW w:w="160" w:type="dxa"/>
            <w:vAlign w:val="bottom"/>
          </w:tcPr>
          <w:p>
            <w:pPr>
              <w:spacing w:after="0"/>
              <w:rPr>
                <w:sz w:val="15"/>
                <w:szCs w:val="15"/>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13 %</w:t>
            </w:r>
          </w:p>
        </w:tc>
        <w:tc>
          <w:tcPr>
            <w:tcW w:w="140" w:type="dxa"/>
            <w:vAlign w:val="bottom"/>
          </w:tcPr>
          <w:p>
            <w:pPr>
              <w:spacing w:after="0"/>
              <w:rPr>
                <w:sz w:val="15"/>
                <w:szCs w:val="15"/>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32,118</w:t>
            </w:r>
          </w:p>
        </w:tc>
        <w:tc>
          <w:tcPr>
            <w:tcW w:w="140" w:type="dxa"/>
            <w:vAlign w:val="bottom"/>
          </w:tcPr>
          <w:p>
            <w:pPr>
              <w:spacing w:after="0"/>
              <w:rPr>
                <w:sz w:val="15"/>
                <w:szCs w:val="15"/>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12 %</w:t>
            </w:r>
          </w:p>
        </w:tc>
        <w:tc>
          <w:tcPr>
            <w:tcW w:w="140" w:type="dxa"/>
            <w:vAlign w:val="bottom"/>
          </w:tcPr>
          <w:p>
            <w:pPr>
              <w:spacing w:after="0"/>
              <w:rPr>
                <w:sz w:val="15"/>
                <w:szCs w:val="15"/>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(7)%</w:t>
            </w:r>
          </w:p>
        </w:tc>
        <w:tc>
          <w:tcPr>
            <w:tcW w:w="340" w:type="dxa"/>
            <w:vAlign w:val="bottom"/>
          </w:tcPr>
          <w:p>
            <w:pPr>
              <w:spacing w:after="0"/>
              <w:rPr>
                <w:sz w:val="15"/>
                <w:szCs w:val="15"/>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11 %</w:t>
            </w:r>
          </w:p>
        </w:tc>
        <w:tc>
          <w:tcPr>
            <w:tcW w:w="0" w:type="dxa"/>
            <w:vAlign w:val="bottom"/>
          </w:tcPr>
          <w:p>
            <w:pPr>
              <w:spacing w:after="0"/>
              <w:rPr>
                <w:sz w:val="1"/>
                <w:szCs w:val="1"/>
                <w:color w:val="auto"/>
              </w:rPr>
            </w:pPr>
          </w:p>
        </w:tc>
      </w:tr>
      <w:tr>
        <w:trPr>
          <w:trHeight w:val="174"/>
        </w:trPr>
        <w:tc>
          <w:tcPr>
            <w:tcW w:w="3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Real estate operating income</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8,011</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6,929</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6,796</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3 %</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16 %</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2 %</w:t>
            </w:r>
          </w:p>
        </w:tc>
        <w:tc>
          <w:tcPr>
            <w:tcW w:w="0" w:type="dxa"/>
            <w:vAlign w:val="bottom"/>
          </w:tcPr>
          <w:p>
            <w:pPr>
              <w:spacing w:after="0"/>
              <w:rPr>
                <w:sz w:val="1"/>
                <w:szCs w:val="1"/>
                <w:color w:val="auto"/>
              </w:rPr>
            </w:pPr>
          </w:p>
        </w:tc>
      </w:tr>
      <w:tr>
        <w:trPr>
          <w:trHeight w:val="174"/>
        </w:trPr>
        <w:tc>
          <w:tcPr>
            <w:tcW w:w="32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NON-SEGMENT RESULTS</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(473)</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(294)</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(20)%</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74"/>
        </w:trPr>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2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(19,947)</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(7)%</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(21,721)</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(14,924)</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(6)%</w:t>
            </w:r>
          </w:p>
        </w:tc>
        <w:tc>
          <w:tcPr>
            <w:tcW w:w="140" w:type="dxa"/>
            <w:vAlign w:val="bottom"/>
          </w:tcPr>
          <w:p>
            <w:pPr>
              <w:spacing w:after="0"/>
              <w:rPr>
                <w:sz w:val="15"/>
                <w:szCs w:val="15"/>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8 %</w:t>
            </w:r>
          </w:p>
        </w:tc>
        <w:tc>
          <w:tcPr>
            <w:tcW w:w="340" w:type="dxa"/>
            <w:vAlign w:val="bottom"/>
          </w:tcPr>
          <w:p>
            <w:pPr>
              <w:spacing w:after="0"/>
              <w:rPr>
                <w:sz w:val="15"/>
                <w:szCs w:val="15"/>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74"/>
        </w:trPr>
        <w:tc>
          <w:tcPr>
            <w:tcW w:w="3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Interest expense, net</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(6,194)</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(6,782)</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(7,304)</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9 %</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7 %</w:t>
            </w:r>
          </w:p>
        </w:tc>
        <w:tc>
          <w:tcPr>
            <w:tcW w:w="0" w:type="dxa"/>
            <w:vAlign w:val="bottom"/>
          </w:tcPr>
          <w:p>
            <w:pPr>
              <w:spacing w:after="0"/>
              <w:rPr>
                <w:sz w:val="1"/>
                <w:szCs w:val="1"/>
                <w:color w:val="auto"/>
              </w:rPr>
            </w:pPr>
          </w:p>
        </w:tc>
      </w:tr>
      <w:tr>
        <w:trPr>
          <w:trHeight w:val="174"/>
        </w:trPr>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Equity earnings of unconsolidated joint ventures</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815</w:t>
            </w:r>
          </w:p>
        </w:tc>
        <w:tc>
          <w:tcPr>
            <w:tcW w:w="140" w:type="dxa"/>
            <w:vAlign w:val="bottom"/>
          </w:tcPr>
          <w:p>
            <w:pPr>
              <w:spacing w:after="0"/>
              <w:rPr>
                <w:sz w:val="15"/>
                <w:szCs w:val="15"/>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c>
          <w:tcPr>
            <w:tcW w:w="160" w:type="dxa"/>
            <w:vAlign w:val="bottom"/>
          </w:tcPr>
          <w:p>
            <w:pPr>
              <w:spacing w:after="0"/>
              <w:rPr>
                <w:sz w:val="15"/>
                <w:szCs w:val="15"/>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1,204</w:t>
            </w:r>
          </w:p>
        </w:tc>
        <w:tc>
          <w:tcPr>
            <w:tcW w:w="140" w:type="dxa"/>
            <w:vAlign w:val="bottom"/>
          </w:tcPr>
          <w:p>
            <w:pPr>
              <w:spacing w:after="0"/>
              <w:rPr>
                <w:sz w:val="15"/>
                <w:szCs w:val="15"/>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0 %</w:t>
            </w:r>
          </w:p>
        </w:tc>
        <w:tc>
          <w:tcPr>
            <w:tcW w:w="140" w:type="dxa"/>
            <w:vAlign w:val="bottom"/>
          </w:tcPr>
          <w:p>
            <w:pPr>
              <w:spacing w:after="0"/>
              <w:rPr>
                <w:sz w:val="15"/>
                <w:szCs w:val="15"/>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(18)%</w:t>
            </w:r>
          </w:p>
        </w:tc>
        <w:tc>
          <w:tcPr>
            <w:tcW w:w="340" w:type="dxa"/>
            <w:vAlign w:val="bottom"/>
          </w:tcPr>
          <w:p>
            <w:pPr>
              <w:spacing w:after="0"/>
              <w:rPr>
                <w:sz w:val="15"/>
                <w:szCs w:val="15"/>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74"/>
        </w:trPr>
        <w:tc>
          <w:tcPr>
            <w:tcW w:w="3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Gain on sale of assets</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9,360</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11,023</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4 %</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&gt; 100%</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(96)%</w:t>
            </w:r>
          </w:p>
        </w:tc>
        <w:tc>
          <w:tcPr>
            <w:tcW w:w="0" w:type="dxa"/>
            <w:vAlign w:val="bottom"/>
          </w:tcPr>
          <w:p>
            <w:pPr>
              <w:spacing w:after="0"/>
              <w:rPr>
                <w:sz w:val="1"/>
                <w:szCs w:val="1"/>
                <w:color w:val="auto"/>
              </w:rPr>
            </w:pPr>
          </w:p>
        </w:tc>
      </w:tr>
      <w:tr>
        <w:trPr>
          <w:trHeight w:val="174"/>
        </w:trPr>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Casualty gain (loss)</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9,217</w:t>
            </w:r>
          </w:p>
        </w:tc>
        <w:tc>
          <w:tcPr>
            <w:tcW w:w="140" w:type="dxa"/>
            <w:vAlign w:val="bottom"/>
          </w:tcPr>
          <w:p>
            <w:pPr>
              <w:spacing w:after="0"/>
              <w:rPr>
                <w:sz w:val="15"/>
                <w:szCs w:val="15"/>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(1,421)</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w:t>
            </w:r>
          </w:p>
        </w:tc>
        <w:tc>
          <w:tcPr>
            <w:tcW w:w="140" w:type="dxa"/>
            <w:vAlign w:val="bottom"/>
          </w:tcPr>
          <w:p>
            <w:pPr>
              <w:spacing w:after="0"/>
              <w:rPr>
                <w:sz w:val="15"/>
                <w:szCs w:val="15"/>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(&gt; 100)%</w:t>
            </w:r>
          </w:p>
        </w:tc>
        <w:tc>
          <w:tcPr>
            <w:tcW w:w="340" w:type="dxa"/>
            <w:vAlign w:val="bottom"/>
          </w:tcPr>
          <w:p>
            <w:pPr>
              <w:spacing w:after="0"/>
              <w:rPr>
                <w:sz w:val="15"/>
                <w:szCs w:val="15"/>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income (expense)</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588</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0 %</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(440)</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i w:val="1"/>
                <w:iCs w:val="1"/>
                <w:color w:val="auto"/>
              </w:rPr>
              <w:t>nm</w:t>
            </w:r>
          </w:p>
        </w:tc>
        <w:tc>
          <w:tcPr>
            <w:tcW w:w="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(86)%</w:t>
            </w:r>
          </w:p>
        </w:tc>
        <w:tc>
          <w:tcPr>
            <w:tcW w:w="0" w:type="dxa"/>
            <w:vAlign w:val="bottom"/>
          </w:tcPr>
          <w:p>
            <w:pPr>
              <w:spacing w:after="0"/>
              <w:rPr>
                <w:sz w:val="1"/>
                <w:szCs w:val="1"/>
                <w:color w:val="auto"/>
              </w:rPr>
            </w:pPr>
          </w:p>
        </w:tc>
      </w:tr>
      <w:tr>
        <w:trPr>
          <w:trHeight w:val="164"/>
        </w:trPr>
        <w:tc>
          <w:tcPr>
            <w:tcW w:w="3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34,347</w:t>
            </w:r>
          </w:p>
        </w:tc>
        <w:tc>
          <w:tcPr>
            <w:tcW w:w="140" w:type="dxa"/>
            <w:vAlign w:val="bottom"/>
          </w:tcPr>
          <w:p>
            <w:pPr>
              <w:spacing w:after="0"/>
              <w:rPr>
                <w:sz w:val="14"/>
                <w:szCs w:val="14"/>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12 %</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13,437</w:t>
            </w:r>
          </w:p>
        </w:tc>
        <w:tc>
          <w:tcPr>
            <w:tcW w:w="160" w:type="dxa"/>
            <w:vAlign w:val="bottom"/>
          </w:tcPr>
          <w:p>
            <w:pPr>
              <w:spacing w:after="0"/>
              <w:rPr>
                <w:sz w:val="14"/>
                <w:szCs w:val="14"/>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5 %</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28,179</w:t>
            </w:r>
          </w:p>
        </w:tc>
        <w:tc>
          <w:tcPr>
            <w:tcW w:w="140" w:type="dxa"/>
            <w:vAlign w:val="bottom"/>
          </w:tcPr>
          <w:p>
            <w:pPr>
              <w:spacing w:after="0"/>
              <w:rPr>
                <w:sz w:val="14"/>
                <w:szCs w:val="14"/>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11 %</w:t>
            </w:r>
          </w:p>
        </w:tc>
        <w:tc>
          <w:tcPr>
            <w:tcW w:w="140" w:type="dxa"/>
            <w:vAlign w:val="bottom"/>
          </w:tcPr>
          <w:p>
            <w:pPr>
              <w:spacing w:after="0"/>
              <w:rPr>
                <w:sz w:val="14"/>
                <w:szCs w:val="14"/>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&gt; 100%</w:t>
            </w:r>
          </w:p>
        </w:tc>
        <w:tc>
          <w:tcPr>
            <w:tcW w:w="34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74"/>
        </w:trPr>
        <w:tc>
          <w:tcPr>
            <w:tcW w:w="3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(3,337)</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(4,020)</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(5,148)</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(2)%</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17 %</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22 %</w:t>
            </w:r>
          </w:p>
        </w:tc>
        <w:tc>
          <w:tcPr>
            <w:tcW w:w="0" w:type="dxa"/>
            <w:vAlign w:val="bottom"/>
          </w:tcPr>
          <w:p>
            <w:pPr>
              <w:spacing w:after="0"/>
              <w:rPr>
                <w:sz w:val="1"/>
                <w:szCs w:val="1"/>
                <w:color w:val="auto"/>
              </w:rPr>
            </w:pPr>
          </w:p>
        </w:tc>
      </w:tr>
      <w:tr>
        <w:trPr>
          <w:trHeight w:val="164"/>
        </w:trPr>
        <w:tc>
          <w:tcPr>
            <w:tcW w:w="3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31,010</w:t>
            </w:r>
          </w:p>
        </w:tc>
        <w:tc>
          <w:tcPr>
            <w:tcW w:w="140" w:type="dxa"/>
            <w:vAlign w:val="bottom"/>
          </w:tcPr>
          <w:p>
            <w:pPr>
              <w:spacing w:after="0"/>
              <w:rPr>
                <w:sz w:val="14"/>
                <w:szCs w:val="14"/>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11 %</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9,417</w:t>
            </w:r>
          </w:p>
        </w:tc>
        <w:tc>
          <w:tcPr>
            <w:tcW w:w="160" w:type="dxa"/>
            <w:vAlign w:val="bottom"/>
          </w:tcPr>
          <w:p>
            <w:pPr>
              <w:spacing w:after="0"/>
              <w:rPr>
                <w:sz w:val="14"/>
                <w:szCs w:val="14"/>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3 %</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23,031</w:t>
            </w:r>
          </w:p>
        </w:tc>
        <w:tc>
          <w:tcPr>
            <w:tcW w:w="140" w:type="dxa"/>
            <w:vAlign w:val="bottom"/>
          </w:tcPr>
          <w:p>
            <w:pPr>
              <w:spacing w:after="0"/>
              <w:rPr>
                <w:sz w:val="14"/>
                <w:szCs w:val="14"/>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9 %</w:t>
            </w:r>
          </w:p>
        </w:tc>
        <w:tc>
          <w:tcPr>
            <w:tcW w:w="140" w:type="dxa"/>
            <w:vAlign w:val="bottom"/>
          </w:tcPr>
          <w:p>
            <w:pPr>
              <w:spacing w:after="0"/>
              <w:rPr>
                <w:sz w:val="14"/>
                <w:szCs w:val="14"/>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&gt; 100%</w:t>
            </w:r>
          </w:p>
        </w:tc>
        <w:tc>
          <w:tcPr>
            <w:tcW w:w="34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02"/>
        </w:trPr>
        <w:tc>
          <w:tcPr>
            <w:tcW w:w="3220" w:type="dxa"/>
            <w:vAlign w:val="bottom"/>
            <w:gridSpan w:val="2"/>
            <w:shd w:val="clear" w:color="auto" w:fill="CCEEFF"/>
          </w:tcPr>
          <w:p>
            <w:pPr>
              <w:ind w:left="300"/>
              <w:spacing w:after="0" w:line="102" w:lineRule="exact"/>
              <w:rPr>
                <w:sz w:val="20"/>
                <w:szCs w:val="20"/>
                <w:color w:val="auto"/>
              </w:rPr>
            </w:pPr>
            <w:r>
              <w:rPr>
                <w:rFonts w:ascii="Times New Roman" w:cs="Times New Roman" w:eastAsia="Times New Roman" w:hAnsi="Times New Roman"/>
                <w:sz w:val="10"/>
                <w:szCs w:val="10"/>
                <w:color w:val="auto"/>
              </w:rPr>
              <w:t>Less: Net income (loss) attributable to noncontrolling</w:t>
            </w:r>
          </w:p>
        </w:tc>
        <w:tc>
          <w:tcPr>
            <w:tcW w:w="2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w:t>
            </w: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0 %</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0 %</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(0)%</w:t>
            </w:r>
          </w:p>
        </w:tc>
        <w:tc>
          <w:tcPr>
            <w:tcW w:w="140" w:type="dxa"/>
            <w:vAlign w:val="bottom"/>
            <w:shd w:val="clear" w:color="auto" w:fill="CCEEFF"/>
          </w:tcPr>
          <w:p>
            <w:pPr>
              <w:spacing w:after="0"/>
              <w:rPr>
                <w:sz w:val="8"/>
                <w:szCs w:val="8"/>
                <w:color w:val="auto"/>
              </w:rPr>
            </w:pPr>
          </w:p>
        </w:tc>
        <w:tc>
          <w:tcPr>
            <w:tcW w:w="11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i w:val="1"/>
                <w:iCs w:val="1"/>
                <w:color w:val="auto"/>
              </w:rPr>
              <w:t>nm</w:t>
            </w:r>
          </w:p>
        </w:tc>
        <w:tc>
          <w:tcPr>
            <w:tcW w:w="72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i w:val="1"/>
                <w:iCs w:val="1"/>
                <w:color w:val="auto"/>
              </w:rPr>
              <w:t>nm</w:t>
            </w:r>
          </w:p>
        </w:tc>
        <w:tc>
          <w:tcPr>
            <w:tcW w:w="0" w:type="dxa"/>
            <w:vAlign w:val="bottom"/>
          </w:tcPr>
          <w:p>
            <w:pPr>
              <w:spacing w:after="0"/>
              <w:rPr>
                <w:sz w:val="1"/>
                <w:szCs w:val="1"/>
                <w:color w:val="auto"/>
              </w:rPr>
            </w:pPr>
          </w:p>
        </w:tc>
      </w:tr>
      <w:tr>
        <w:trPr>
          <w:trHeight w:val="137"/>
        </w:trPr>
        <w:tc>
          <w:tcPr>
            <w:tcW w:w="3220" w:type="dxa"/>
            <w:vAlign w:val="bottom"/>
            <w:gridSpan w:val="2"/>
            <w:shd w:val="clear" w:color="auto" w:fill="CCEEFF"/>
          </w:tcPr>
          <w:p>
            <w:pPr>
              <w:ind w:left="300"/>
              <w:spacing w:after="0" w:line="137" w:lineRule="exact"/>
              <w:rPr>
                <w:sz w:val="20"/>
                <w:szCs w:val="20"/>
                <w:color w:val="auto"/>
              </w:rPr>
            </w:pPr>
            <w:r>
              <w:rPr>
                <w:rFonts w:ascii="Times New Roman" w:cs="Times New Roman" w:eastAsia="Times New Roman" w:hAnsi="Times New Roman"/>
                <w:sz w:val="12"/>
                <w:szCs w:val="12"/>
                <w:color w:val="auto"/>
              </w:rPr>
              <w:t>interests</w:t>
            </w:r>
          </w:p>
        </w:tc>
        <w:tc>
          <w:tcPr>
            <w:tcW w:w="2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(79)</w:t>
            </w:r>
          </w:p>
        </w:tc>
        <w:tc>
          <w:tcPr>
            <w:tcW w:w="6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Net income attributable to RDI common stockholders</w:t>
            </w:r>
          </w:p>
        </w:tc>
        <w:tc>
          <w:tcPr>
            <w:tcW w:w="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30,999</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11 %</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9,403</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3 %</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23,110</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2"/>
                <w:szCs w:val="12"/>
                <w:i w:val="1"/>
                <w:iCs w:val="1"/>
                <w:color w:val="auto"/>
              </w:rPr>
              <w:t>9 %</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2"/>
                <w:szCs w:val="12"/>
                <w:color w:val="auto"/>
              </w:rPr>
              <w:t>&gt; 100%</w:t>
            </w:r>
          </w:p>
        </w:tc>
        <w:tc>
          <w:tcPr>
            <w:tcW w:w="3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72"/>
        </w:trPr>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EPS</w:t>
            </w:r>
          </w:p>
        </w:tc>
        <w:tc>
          <w:tcPr>
            <w:tcW w:w="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1.35</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0.99</w:t>
            </w: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&gt; 100%</w:t>
            </w:r>
          </w:p>
        </w:tc>
        <w:tc>
          <w:tcPr>
            <w:tcW w:w="3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16"/>
        </w:trPr>
        <w:tc>
          <w:tcPr>
            <w:tcW w:w="3220" w:type="dxa"/>
            <w:vAlign w:val="bottom"/>
            <w:gridSpan w:val="2"/>
          </w:tcPr>
          <w:p>
            <w:pPr>
              <w:spacing w:after="0"/>
              <w:rPr>
                <w:sz w:val="20"/>
                <w:szCs w:val="20"/>
                <w:color w:val="auto"/>
              </w:rPr>
            </w:pPr>
            <w:r>
              <w:rPr>
                <w:rFonts w:ascii="Times New Roman" w:cs="Times New Roman" w:eastAsia="Times New Roman" w:hAnsi="Times New Roman"/>
                <w:sz w:val="9"/>
                <w:szCs w:val="9"/>
                <w:b w:val="1"/>
                <w:bCs w:val="1"/>
                <w:i w:val="1"/>
                <w:iCs w:val="1"/>
                <w:color w:val="auto"/>
              </w:rPr>
              <w:t xml:space="preserve">“nm” </w:t>
            </w:r>
            <w:r>
              <w:rPr>
                <w:rFonts w:ascii="Times New Roman" w:cs="Times New Roman" w:eastAsia="Times New Roman" w:hAnsi="Times New Roman"/>
                <w:sz w:val="9"/>
                <w:szCs w:val="9"/>
                <w:i w:val="1"/>
                <w:iCs w:val="1"/>
                <w:color w:val="auto"/>
              </w:rPr>
              <w:t>– not meaningful for further analysis</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2017 vs. 2016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attributable to RDI common stockholders increased by $21.6 million, or 229.7%, to $31.0 million. This increase was mainly due to: (i) a non-recurring increase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$10.6 million in casualty gain due to the recognition of the insurance settlement on the Courtenay Central parking structure earthquake damage in Wellington New Zealand (ii)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$9.0 million higher gain on property sales in 2017 compared to 2016, (iii) $1.8 million decrease in non-segment general and administrative expenses (iv) $651,000 of other income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mainly consisting of a gain on FX of $563,000 relating to short term intercompany loan balances held in foreign operations (v) a $1,082,000, increase in Real Estate segment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income and (vi) an decrease in income tax expense of $683,000. These were offset by a decrease in Cinema Exhibition segment operating income of $2.5 million mainly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relating to lower admissions in the United States and higher occupancy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2016 vs. 2015</w:t>
      </w:r>
    </w:p>
    <w:p>
      <w:pPr>
        <w:spacing w:after="0" w:line="3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Net income attributable to RDI common stockholders was lower by $13.7 million, or 59%, to $9.4 million. This reduction was mainly due to: (i) a $10.6 million higher gain on property sales in 2015 compared to 2016, (ii) a $6.8 million increase in non-segment general and administrative expenses, and (iii) a $1.4 million casualty loss relating to the 2016 Courtenay Central parking structure earthquake damage in Wellington, New Zealand. These were offset by (i) an increases in both Cinema Exhibition and Real Estate segment operating income amounting to $3.4 million and $133,000, respectively, and (ii) a decrease in income tax expense amounting to $1.1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these factors affecting our consolidated results for the three years ended December 31, 2017 are discussed in more detail in the succeeding sections.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298" w:right="7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BUSINESS SEGMENT RESULTS – 2017 vs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Presented below is the comparison of the segment operating income of our two business segments for the years ended December 31, 2017 and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2016</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3"/>
          </w:tcPr>
          <w:p>
            <w:pPr>
              <w:jc w:val="right"/>
              <w:ind w:right="662"/>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0"/>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Favorable/(Unfavorable)</w:t>
            </w: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Cinema</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w w:val="95"/>
              </w:rPr>
              <w:t>Real Estate</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Cinema</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w w:val="99"/>
              </w:rPr>
              <w:t>Real Estate</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Cinema</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0" w:type="dxa"/>
            <w:vAlign w:val="bottom"/>
          </w:tcPr>
          <w:p>
            <w:pPr>
              <w:spacing w:after="0"/>
              <w:rPr>
                <w:sz w:val="1"/>
                <w:szCs w:val="1"/>
                <w:color w:val="auto"/>
              </w:rPr>
            </w:pPr>
          </w:p>
        </w:tc>
      </w:tr>
      <w:tr>
        <w:trPr>
          <w:trHeight w:val="16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Revenues</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263,464</w:t>
            </w:r>
          </w:p>
        </w:tc>
        <w:tc>
          <w:tcPr>
            <w:tcW w:w="2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23,844</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256,922</w:t>
            </w:r>
          </w:p>
        </w:tc>
        <w:tc>
          <w:tcPr>
            <w:tcW w:w="2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20,917</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3 %</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14 %</w:t>
            </w:r>
          </w:p>
        </w:tc>
        <w:tc>
          <w:tcPr>
            <w:tcW w:w="0" w:type="dxa"/>
            <w:vAlign w:val="bottom"/>
          </w:tcPr>
          <w:p>
            <w:pPr>
              <w:spacing w:after="0"/>
              <w:rPr>
                <w:sz w:val="1"/>
                <w:szCs w:val="1"/>
                <w:color w:val="auto"/>
              </w:rPr>
            </w:pPr>
          </w:p>
        </w:tc>
      </w:tr>
      <w:tr>
        <w:trPr>
          <w:trHeight w:val="174"/>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Segment Operating Expenses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600" w:type="dxa"/>
            <w:vAlign w:val="bottom"/>
            <w:gridSpan w:val="2"/>
            <w:shd w:val="clear" w:color="auto" w:fill="CCEEFF"/>
          </w:tcPr>
          <w:p>
            <w:pPr>
              <w:ind w:left="100"/>
              <w:spacing w:after="0" w:line="102" w:lineRule="exact"/>
              <w:rPr>
                <w:sz w:val="20"/>
                <w:szCs w:val="20"/>
                <w:color w:val="auto"/>
              </w:rPr>
            </w:pPr>
            <w:r>
              <w:rPr>
                <w:rFonts w:ascii="Times New Roman" w:cs="Times New Roman" w:eastAsia="Times New Roman" w:hAnsi="Times New Roman"/>
                <w:sz w:val="10"/>
                <w:szCs w:val="10"/>
                <w:color w:val="auto"/>
              </w:rPr>
              <w:t>Cost of services and products (excluding depreciation and</w:t>
            </w:r>
          </w:p>
        </w:tc>
        <w:tc>
          <w:tcPr>
            <w:tcW w:w="2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6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600" w:type="dxa"/>
            <w:vAlign w:val="bottom"/>
            <w:gridSpan w:val="2"/>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amortization)</w:t>
            </w:r>
          </w:p>
        </w:tc>
        <w:tc>
          <w:tcPr>
            <w:tcW w:w="2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60"/>
              <w:spacing w:after="0" w:line="137" w:lineRule="exact"/>
              <w:rPr>
                <w:sz w:val="20"/>
                <w:szCs w:val="20"/>
                <w:color w:val="auto"/>
              </w:rPr>
            </w:pPr>
            <w:r>
              <w:rPr>
                <w:rFonts w:ascii="Times New Roman" w:cs="Times New Roman" w:eastAsia="Times New Roman" w:hAnsi="Times New Roman"/>
                <w:sz w:val="12"/>
                <w:szCs w:val="12"/>
                <w:color w:val="auto"/>
              </w:rPr>
              <w:t>(215,020)</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(9,437)</w:t>
            </w:r>
          </w:p>
        </w:tc>
        <w:tc>
          <w:tcPr>
            <w:tcW w:w="260" w:type="dxa"/>
            <w:vAlign w:val="bottom"/>
            <w:shd w:val="clear" w:color="auto" w:fill="CCEEFF"/>
          </w:tcPr>
          <w:p>
            <w:pPr>
              <w:spacing w:after="0"/>
              <w:rPr>
                <w:sz w:val="11"/>
                <w:szCs w:val="11"/>
                <w:color w:val="auto"/>
              </w:rPr>
            </w:pPr>
          </w:p>
        </w:tc>
        <w:tc>
          <w:tcPr>
            <w:tcW w:w="1040" w:type="dxa"/>
            <w:vAlign w:val="bottom"/>
            <w:tcBorders>
              <w:right w:val="single" w:sz="8" w:color="CCEEFF"/>
            </w:tcBorders>
            <w:gridSpan w:val="2"/>
            <w:shd w:val="clear" w:color="auto" w:fill="CCEEFF"/>
          </w:tcPr>
          <w:p>
            <w:pPr>
              <w:jc w:val="right"/>
              <w:ind w:right="260"/>
              <w:spacing w:after="0" w:line="137" w:lineRule="exact"/>
              <w:rPr>
                <w:sz w:val="20"/>
                <w:szCs w:val="20"/>
                <w:color w:val="auto"/>
              </w:rPr>
            </w:pPr>
            <w:r>
              <w:rPr>
                <w:rFonts w:ascii="Times New Roman" w:cs="Times New Roman" w:eastAsia="Times New Roman" w:hAnsi="Times New Roman"/>
                <w:sz w:val="12"/>
                <w:szCs w:val="12"/>
                <w:color w:val="auto"/>
              </w:rPr>
              <w:t>(205,889)</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(9,044)</w:t>
            </w:r>
          </w:p>
        </w:tc>
        <w:tc>
          <w:tcPr>
            <w:tcW w:w="860" w:type="dxa"/>
            <w:vAlign w:val="bottom"/>
            <w:shd w:val="clear" w:color="auto" w:fill="CCEEFF"/>
          </w:tcPr>
          <w:p>
            <w:pPr>
              <w:jc w:val="right"/>
              <w:ind w:right="82"/>
              <w:spacing w:after="0" w:line="137" w:lineRule="exact"/>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02"/>
              <w:spacing w:after="0" w:line="137"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74"/>
        </w:trPr>
        <w:tc>
          <w:tcPr>
            <w:tcW w:w="36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(12,213)</w:t>
            </w:r>
          </w:p>
        </w:tc>
        <w:tc>
          <w:tcPr>
            <w:tcW w:w="14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(4,256)</w:t>
            </w:r>
          </w:p>
        </w:tc>
        <w:tc>
          <w:tcPr>
            <w:tcW w:w="26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(11,772)</w:t>
            </w:r>
          </w:p>
        </w:tc>
        <w:tc>
          <w:tcPr>
            <w:tcW w:w="14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(3,522)</w:t>
            </w: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74"/>
        </w:trPr>
        <w:tc>
          <w:tcPr>
            <w:tcW w:w="3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(3,261)</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(2,140)</w:t>
            </w:r>
          </w:p>
        </w:tc>
        <w:tc>
          <w:tcPr>
            <w:tcW w:w="260" w:type="dxa"/>
            <w:vAlign w:val="bottom"/>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(3,763)</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(1,422)</w:t>
            </w:r>
          </w:p>
        </w:tc>
        <w:tc>
          <w:tcPr>
            <w:tcW w:w="8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13 %</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segment expenses</w:t>
            </w:r>
          </w:p>
        </w:tc>
        <w:tc>
          <w:tcPr>
            <w:tcW w:w="2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(230,494)</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(15,833)</w:t>
            </w:r>
          </w:p>
        </w:tc>
        <w:tc>
          <w:tcPr>
            <w:tcW w:w="2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(221,424)</w:t>
            </w: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(13,988)</w:t>
            </w: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14"/>
                <w:szCs w:val="14"/>
                <w:color w:val="auto"/>
              </w:rPr>
            </w:pP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63"/>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2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32,970</w:t>
            </w: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8,011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35,498</w:t>
            </w: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6,929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16 %</w:t>
            </w:r>
          </w:p>
        </w:tc>
        <w:tc>
          <w:tcPr>
            <w:tcW w:w="0" w:type="dxa"/>
            <w:vAlign w:val="bottom"/>
          </w:tcPr>
          <w:p>
            <w:pPr>
              <w:spacing w:after="0"/>
              <w:rPr>
                <w:sz w:val="1"/>
                <w:szCs w:val="1"/>
                <w:color w:val="auto"/>
              </w:rPr>
            </w:pPr>
          </w:p>
        </w:tc>
      </w:tr>
      <w:tr>
        <w:trPr>
          <w:trHeight w:val="155"/>
        </w:trPr>
        <w:tc>
          <w:tcPr>
            <w:tcW w:w="360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Breakdown by country:</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United States</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7,207</w:t>
            </w:r>
          </w:p>
        </w:tc>
        <w:tc>
          <w:tcPr>
            <w:tcW w:w="2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12,351</w:t>
            </w:r>
          </w:p>
        </w:tc>
        <w:tc>
          <w:tcPr>
            <w:tcW w:w="2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(42)%</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73 %</w:t>
            </w:r>
          </w:p>
        </w:tc>
        <w:tc>
          <w:tcPr>
            <w:tcW w:w="0" w:type="dxa"/>
            <w:vAlign w:val="bottom"/>
          </w:tcPr>
          <w:p>
            <w:pPr>
              <w:spacing w:after="0"/>
              <w:rPr>
                <w:sz w:val="1"/>
                <w:szCs w:val="1"/>
                <w:color w:val="auto"/>
              </w:rPr>
            </w:pPr>
          </w:p>
        </w:tc>
      </w:tr>
      <w:tr>
        <w:trPr>
          <w:trHeight w:val="174"/>
        </w:trPr>
        <w:tc>
          <w:tcPr>
            <w:tcW w:w="36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Australia</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21,358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5,252</w:t>
            </w:r>
          </w:p>
        </w:tc>
        <w:tc>
          <w:tcPr>
            <w:tcW w:w="18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18 %</w:t>
            </w:r>
          </w:p>
        </w:tc>
        <w:tc>
          <w:tcPr>
            <w:tcW w:w="20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4 %</w:t>
            </w:r>
          </w:p>
        </w:tc>
        <w:tc>
          <w:tcPr>
            <w:tcW w:w="0" w:type="dxa"/>
            <w:vAlign w:val="bottom"/>
          </w:tcPr>
          <w:p>
            <w:pPr>
              <w:spacing w:after="0"/>
              <w:rPr>
                <w:sz w:val="1"/>
                <w:szCs w:val="1"/>
                <w:color w:val="auto"/>
              </w:rPr>
            </w:pPr>
          </w:p>
        </w:tc>
      </w:tr>
      <w:tr>
        <w:trPr>
          <w:trHeight w:val="174"/>
        </w:trPr>
        <w:tc>
          <w:tcPr>
            <w:tcW w:w="3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New Zealand</w:t>
            </w: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4,405</w:t>
            </w:r>
          </w:p>
        </w:tc>
        <w:tc>
          <w:tcPr>
            <w:tcW w:w="2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1,336</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5,046</w:t>
            </w:r>
          </w:p>
        </w:tc>
        <w:tc>
          <w:tcPr>
            <w:tcW w:w="2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35 %</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32,970</w:t>
            </w:r>
          </w:p>
        </w:tc>
        <w:tc>
          <w:tcPr>
            <w:tcW w:w="2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8,011</w:t>
            </w: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35,498</w:t>
            </w:r>
          </w:p>
        </w:tc>
        <w:tc>
          <w:tcPr>
            <w:tcW w:w="2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6,929</w:t>
            </w:r>
          </w:p>
        </w:tc>
        <w:tc>
          <w:tcPr>
            <w:tcW w:w="180" w:type="dxa"/>
            <w:vAlign w:val="bottom"/>
          </w:tcPr>
          <w:p>
            <w:pPr>
              <w:spacing w:after="0"/>
              <w:rPr>
                <w:sz w:val="12"/>
                <w:szCs w:val="12"/>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(7)%</w:t>
            </w:r>
          </w:p>
        </w:tc>
        <w:tc>
          <w:tcPr>
            <w:tcW w:w="200" w:type="dxa"/>
            <w:vAlign w:val="bottom"/>
          </w:tcPr>
          <w:p>
            <w:pPr>
              <w:spacing w:after="0"/>
              <w:rPr>
                <w:sz w:val="12"/>
                <w:szCs w:val="12"/>
                <w:color w:val="auto"/>
              </w:rPr>
            </w:pPr>
          </w:p>
        </w:tc>
        <w:tc>
          <w:tcPr>
            <w:tcW w:w="88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16 %</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discussion for each segment follows: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Cinema Exhibition – 2017 vs.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422"/>
              <w:spacing w:after="0"/>
              <w:rPr>
                <w:sz w:val="20"/>
                <w:szCs w:val="20"/>
                <w:color w:val="auto"/>
              </w:rPr>
            </w:pPr>
            <w:r>
              <w:rPr>
                <w:rFonts w:ascii="Times New Roman" w:cs="Times New Roman" w:eastAsia="Times New Roman" w:hAnsi="Times New Roman"/>
                <w:sz w:val="12"/>
                <w:szCs w:val="12"/>
                <w:b w:val="1"/>
                <w:bCs w:val="1"/>
                <w:color w:val="auto"/>
                <w:w w:val="97"/>
              </w:rPr>
              <w:t>2017 vs. 2016</w:t>
            </w:r>
          </w:p>
        </w:tc>
        <w:tc>
          <w:tcPr>
            <w:tcW w:w="0" w:type="dxa"/>
            <w:vAlign w:val="bottom"/>
          </w:tcPr>
          <w:p>
            <w:pPr>
              <w:spacing w:after="0"/>
              <w:rPr>
                <w:sz w:val="1"/>
                <w:szCs w:val="1"/>
                <w:color w:val="auto"/>
              </w:rPr>
            </w:pPr>
          </w:p>
        </w:tc>
      </w:tr>
      <w:tr>
        <w:trPr>
          <w:trHeight w:val="119"/>
        </w:trPr>
        <w:tc>
          <w:tcPr>
            <w:tcW w:w="322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0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vMerge w:val="restart"/>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0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00" w:type="dxa"/>
            <w:vAlign w:val="bottom"/>
            <w:vMerge w:val="restart"/>
          </w:tcPr>
          <w:p>
            <w:pPr>
              <w:spacing w:after="0"/>
              <w:rPr>
                <w:sz w:val="10"/>
                <w:szCs w:val="10"/>
                <w:color w:val="auto"/>
              </w:rPr>
            </w:pPr>
          </w:p>
        </w:tc>
        <w:tc>
          <w:tcPr>
            <w:tcW w:w="8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2016</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20" w:type="dxa"/>
            <w:vAlign w:val="bottom"/>
            <w:vMerge w:val="restart"/>
          </w:tcPr>
          <w:p>
            <w:pPr>
              <w:spacing w:after="0"/>
              <w:rPr>
                <w:sz w:val="10"/>
                <w:szCs w:val="10"/>
                <w:color w:val="auto"/>
              </w:rPr>
            </w:pPr>
          </w:p>
        </w:tc>
        <w:tc>
          <w:tcPr>
            <w:tcW w:w="1740" w:type="dxa"/>
            <w:vAlign w:val="bottom"/>
            <w:gridSpan w:val="2"/>
          </w:tcPr>
          <w:p>
            <w:pPr>
              <w:jc w:val="center"/>
              <w:ind w:right="402"/>
              <w:spacing w:after="0" w:line="120" w:lineRule="exact"/>
              <w:rPr>
                <w:sz w:val="20"/>
                <w:szCs w:val="20"/>
                <w:color w:val="auto"/>
              </w:rPr>
            </w:pPr>
            <w:r>
              <w:rPr>
                <w:rFonts w:ascii="Times New Roman" w:cs="Times New Roman" w:eastAsia="Times New Roman" w:hAnsi="Times New Roman"/>
                <w:sz w:val="12"/>
                <w:szCs w:val="12"/>
                <w:b w:val="1"/>
                <w:bCs w:val="1"/>
                <w:color w:val="auto"/>
                <w:w w:val="95"/>
              </w:rPr>
              <w:t>Favorable /</w:t>
            </w:r>
          </w:p>
        </w:tc>
        <w:tc>
          <w:tcPr>
            <w:tcW w:w="0" w:type="dxa"/>
            <w:vAlign w:val="bottom"/>
          </w:tcPr>
          <w:p>
            <w:pPr>
              <w:spacing w:after="0"/>
              <w:rPr>
                <w:sz w:val="1"/>
                <w:szCs w:val="1"/>
                <w:color w:val="auto"/>
              </w:rPr>
            </w:pPr>
          </w:p>
        </w:tc>
      </w:tr>
      <w:tr>
        <w:trPr>
          <w:trHeight w:val="140"/>
        </w:trPr>
        <w:tc>
          <w:tcPr>
            <w:tcW w:w="32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740" w:type="dxa"/>
            <w:vAlign w:val="bottom"/>
            <w:tcBorders>
              <w:bottom w:val="single" w:sz="8" w:color="auto"/>
            </w:tcBorders>
            <w:gridSpan w:val="2"/>
          </w:tcPr>
          <w:p>
            <w:pPr>
              <w:jc w:val="center"/>
              <w:ind w:right="422"/>
              <w:spacing w:after="0"/>
              <w:rPr>
                <w:sz w:val="20"/>
                <w:szCs w:val="20"/>
                <w:color w:val="auto"/>
              </w:rPr>
            </w:pPr>
            <w:r>
              <w:rPr>
                <w:rFonts w:ascii="Times New Roman" w:cs="Times New Roman" w:eastAsia="Times New Roman" w:hAnsi="Times New Roman"/>
                <w:sz w:val="12"/>
                <w:szCs w:val="12"/>
                <w:b w:val="1"/>
                <w:bCs w:val="1"/>
                <w:color w:val="auto"/>
                <w:w w:val="97"/>
              </w:rPr>
              <w:t>(Unfavorable)</w:t>
            </w:r>
          </w:p>
        </w:tc>
        <w:tc>
          <w:tcPr>
            <w:tcW w:w="0" w:type="dxa"/>
            <w:vAlign w:val="bottom"/>
          </w:tcPr>
          <w:p>
            <w:pPr>
              <w:spacing w:after="0"/>
              <w:rPr>
                <w:sz w:val="1"/>
                <w:szCs w:val="1"/>
                <w:color w:val="auto"/>
              </w:rPr>
            </w:pPr>
          </w:p>
        </w:tc>
      </w:tr>
      <w:tr>
        <w:trPr>
          <w:trHeight w:val="174"/>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Admission revenue</w:t>
            </w: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165,877</w:t>
            </w:r>
          </w:p>
        </w:tc>
        <w:tc>
          <w:tcPr>
            <w:tcW w:w="200" w:type="dxa"/>
            <w:vAlign w:val="bottom"/>
          </w:tcPr>
          <w:p>
            <w:pPr>
              <w:spacing w:after="0"/>
              <w:rPr>
                <w:sz w:val="15"/>
                <w:szCs w:val="15"/>
                <w:color w:val="auto"/>
              </w:rPr>
            </w:pPr>
          </w:p>
        </w:tc>
        <w:tc>
          <w:tcPr>
            <w:tcW w:w="86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63 </w:t>
            </w:r>
            <w:r>
              <w:rPr>
                <w:rFonts w:ascii="Times New Roman" w:cs="Times New Roman" w:eastAsia="Times New Roman" w:hAnsi="Times New Roman"/>
                <w:sz w:val="20"/>
                <w:szCs w:val="20"/>
                <w:i w:val="1"/>
                <w:iCs w:val="1"/>
                <w:color w:val="auto"/>
                <w:vertAlign w:val="superscript"/>
              </w:rPr>
              <w:t>%</w:t>
            </w:r>
          </w:p>
        </w:tc>
        <w:tc>
          <w:tcPr>
            <w:tcW w:w="200" w:type="dxa"/>
            <w:vAlign w:val="bottom"/>
          </w:tcPr>
          <w:p>
            <w:pPr>
              <w:spacing w:after="0"/>
              <w:rPr>
                <w:sz w:val="15"/>
                <w:szCs w:val="15"/>
                <w:color w:val="auto"/>
              </w:rPr>
            </w:pPr>
          </w:p>
        </w:tc>
        <w:tc>
          <w:tcPr>
            <w:tcW w:w="84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164,727</w:t>
            </w:r>
          </w:p>
        </w:tc>
        <w:tc>
          <w:tcPr>
            <w:tcW w:w="200" w:type="dxa"/>
            <w:vAlign w:val="bottom"/>
          </w:tcPr>
          <w:p>
            <w:pPr>
              <w:spacing w:after="0"/>
              <w:rPr>
                <w:sz w:val="15"/>
                <w:szCs w:val="15"/>
                <w:color w:val="auto"/>
              </w:rPr>
            </w:pPr>
          </w:p>
        </w:tc>
        <w:tc>
          <w:tcPr>
            <w:tcW w:w="900" w:type="dxa"/>
            <w:vAlign w:val="bottom"/>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64 </w:t>
            </w:r>
            <w:r>
              <w:rPr>
                <w:rFonts w:ascii="Times New Roman" w:cs="Times New Roman" w:eastAsia="Times New Roman" w:hAnsi="Times New Roman"/>
                <w:sz w:val="20"/>
                <w:szCs w:val="20"/>
                <w:i w:val="1"/>
                <w:iCs w:val="1"/>
                <w:color w:val="auto"/>
                <w:vertAlign w:val="superscript"/>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4"/>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Food &amp; beverage revenue</w:t>
            </w: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78,346</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30 </w:t>
            </w:r>
            <w:r>
              <w:rPr>
                <w:rFonts w:ascii="Times New Roman" w:cs="Times New Roman" w:eastAsia="Times New Roman" w:hAnsi="Times New Roman"/>
                <w:sz w:val="20"/>
                <w:szCs w:val="20"/>
                <w:i w:val="1"/>
                <w:iCs w:val="1"/>
                <w:color w:val="auto"/>
                <w:vertAlign w:val="superscript"/>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75,229</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29 </w:t>
            </w:r>
            <w:r>
              <w:rPr>
                <w:rFonts w:ascii="Times New Roman" w:cs="Times New Roman" w:eastAsia="Times New Roman" w:hAnsi="Times New Roman"/>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4"/>
        </w:trPr>
        <w:tc>
          <w:tcPr>
            <w:tcW w:w="3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2"/>
                <w:szCs w:val="12"/>
                <w:color w:val="auto"/>
              </w:rPr>
              <w:t>Advertising and other revenue</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19,241</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7 </w:t>
            </w:r>
            <w:r>
              <w:rPr>
                <w:rFonts w:ascii="Times New Roman" w:cs="Times New Roman" w:eastAsia="Times New Roman" w:hAnsi="Times New Roman"/>
                <w:sz w:val="20"/>
                <w:szCs w:val="20"/>
                <w:i w:val="1"/>
                <w:iCs w:val="1"/>
                <w:color w:val="auto"/>
                <w:vertAlign w:val="superscript"/>
              </w:rPr>
              <w:t>%</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16,966</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7 </w:t>
            </w:r>
            <w:r>
              <w:rPr>
                <w:rFonts w:ascii="Times New Roman" w:cs="Times New Roman" w:eastAsia="Times New Roman" w:hAnsi="Times New Roman"/>
                <w:sz w:val="20"/>
                <w:szCs w:val="20"/>
                <w:i w:val="1"/>
                <w:iCs w:val="1"/>
                <w:color w:val="auto"/>
                <w:vertAlign w:val="superscript"/>
              </w:rPr>
              <w:t>%</w:t>
            </w:r>
          </w:p>
        </w:tc>
        <w:tc>
          <w:tcPr>
            <w:tcW w:w="2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920" w:type="dxa"/>
            <w:vAlign w:val="bottom"/>
            <w:tcBorders>
              <w:bottom w:val="single" w:sz="8" w:color="CCEEFF"/>
            </w:tcBorders>
          </w:tcPr>
          <w:p>
            <w:pPr>
              <w:jc w:val="right"/>
              <w:ind w:right="74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4"/>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Total Segment Revenues</w:t>
            </w:r>
          </w:p>
        </w:tc>
        <w:tc>
          <w:tcPr>
            <w:tcW w:w="4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263,464</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88"/>
              <w:spacing w:after="0" w:line="154"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7"/>
                <w:szCs w:val="17"/>
                <w:i w:val="1"/>
                <w:iCs w:val="1"/>
                <w:color w:val="auto"/>
                <w:vertAlign w:val="superscript"/>
              </w:rPr>
              <w:t>%</w:t>
            </w:r>
          </w:p>
        </w:tc>
        <w:tc>
          <w:tcPr>
            <w:tcW w:w="2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256,922</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68"/>
              <w:spacing w:after="0" w:line="154"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7"/>
                <w:szCs w:val="17"/>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420" w:type="dxa"/>
            <w:vAlign w:val="bottom"/>
            <w:gridSpan w:val="2"/>
            <w:shd w:val="clear" w:color="auto" w:fill="CCEEFF"/>
          </w:tcPr>
          <w:p>
            <w:pPr>
              <w:ind w:left="180"/>
              <w:spacing w:after="0" w:line="102" w:lineRule="exact"/>
              <w:rPr>
                <w:sz w:val="20"/>
                <w:szCs w:val="20"/>
                <w:color w:val="auto"/>
              </w:rPr>
            </w:pPr>
            <w:r>
              <w:rPr>
                <w:rFonts w:ascii="Times New Roman" w:cs="Times New Roman" w:eastAsia="Times New Roman" w:hAnsi="Times New Roman"/>
                <w:sz w:val="10"/>
                <w:szCs w:val="10"/>
                <w:color w:val="auto"/>
              </w:rPr>
              <w:t>Cost of services and products (excl. depreciation and</w:t>
            </w:r>
          </w:p>
        </w:tc>
        <w:tc>
          <w:tcPr>
            <w:tcW w:w="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420" w:type="dxa"/>
            <w:vAlign w:val="bottom"/>
            <w:gridSpan w:val="2"/>
            <w:shd w:val="clear" w:color="auto" w:fill="CCEEFF"/>
          </w:tcPr>
          <w:p>
            <w:pPr>
              <w:ind w:left="180"/>
              <w:spacing w:after="0" w:line="137" w:lineRule="exact"/>
              <w:rPr>
                <w:sz w:val="20"/>
                <w:szCs w:val="20"/>
                <w:color w:val="auto"/>
              </w:rPr>
            </w:pPr>
            <w:r>
              <w:rPr>
                <w:rFonts w:ascii="Times New Roman" w:cs="Times New Roman" w:eastAsia="Times New Roman" w:hAnsi="Times New Roman"/>
                <w:sz w:val="12"/>
                <w:szCs w:val="12"/>
                <w:color w:val="auto"/>
              </w:rPr>
              <w:t>amortization)</w:t>
            </w: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Film rent and advertising cost</w:t>
            </w: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(83,009)</w:t>
            </w:r>
          </w:p>
        </w:tc>
        <w:tc>
          <w:tcPr>
            <w:tcW w:w="86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(32)</w:t>
            </w:r>
            <w:r>
              <w:rPr>
                <w:rFonts w:ascii="Times New Roman" w:cs="Times New Roman" w:eastAsia="Times New Roman" w:hAnsi="Times New Roman"/>
                <w:sz w:val="20"/>
                <w:szCs w:val="20"/>
                <w:i w:val="1"/>
                <w:iCs w:val="1"/>
                <w:color w:val="auto"/>
                <w:vertAlign w:val="superscript"/>
              </w:rPr>
              <w:t>%</w:t>
            </w:r>
          </w:p>
        </w:tc>
        <w:tc>
          <w:tcPr>
            <w:tcW w:w="200" w:type="dxa"/>
            <w:vAlign w:val="bottom"/>
          </w:tcPr>
          <w:p>
            <w:pPr>
              <w:spacing w:after="0"/>
              <w:rPr>
                <w:sz w:val="15"/>
                <w:szCs w:val="15"/>
                <w:color w:val="auto"/>
              </w:rPr>
            </w:pPr>
          </w:p>
        </w:tc>
        <w:tc>
          <w:tcPr>
            <w:tcW w:w="84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(82,873)</w:t>
            </w:r>
          </w:p>
        </w:tc>
        <w:tc>
          <w:tcPr>
            <w:tcW w:w="900" w:type="dxa"/>
            <w:vAlign w:val="bottom"/>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(32)</w:t>
            </w:r>
            <w:r>
              <w:rPr>
                <w:rFonts w:ascii="Times New Roman" w:cs="Times New Roman" w:eastAsia="Times New Roman" w:hAnsi="Times New Roman"/>
                <w:sz w:val="20"/>
                <w:szCs w:val="20"/>
                <w:i w:val="1"/>
                <w:iCs w:val="1"/>
                <w:color w:val="auto"/>
                <w:vertAlign w:val="superscript"/>
              </w:rPr>
              <w:t>%</w:t>
            </w:r>
          </w:p>
        </w:tc>
        <w:tc>
          <w:tcPr>
            <w:tcW w:w="220" w:type="dxa"/>
            <w:vAlign w:val="bottom"/>
          </w:tcPr>
          <w:p>
            <w:pPr>
              <w:spacing w:after="0"/>
              <w:rPr>
                <w:sz w:val="15"/>
                <w:szCs w:val="15"/>
                <w:color w:val="auto"/>
              </w:rPr>
            </w:pPr>
          </w:p>
        </w:tc>
        <w:tc>
          <w:tcPr>
            <w:tcW w:w="1740" w:type="dxa"/>
            <w:vAlign w:val="bottom"/>
            <w:gridSpan w:val="2"/>
          </w:tcPr>
          <w:p>
            <w:pPr>
              <w:jc w:val="right"/>
              <w:ind w:right="742"/>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74"/>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Food &amp; beverage cost</w:t>
            </w:r>
          </w:p>
        </w:tc>
        <w:tc>
          <w:tcPr>
            <w:tcW w:w="4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(16,060)</w:t>
            </w:r>
          </w:p>
        </w:tc>
        <w:tc>
          <w:tcPr>
            <w:tcW w:w="86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(6)</w:t>
            </w:r>
            <w:r>
              <w:rPr>
                <w:rFonts w:ascii="Times New Roman" w:cs="Times New Roman" w:eastAsia="Times New Roman" w:hAnsi="Times New Roman"/>
                <w:sz w:val="20"/>
                <w:szCs w:val="20"/>
                <w:i w:val="1"/>
                <w:iCs w:val="1"/>
                <w:color w:val="auto"/>
                <w:vertAlign w:val="superscript"/>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(14,734)</w:t>
            </w:r>
          </w:p>
        </w:tc>
        <w:tc>
          <w:tcPr>
            <w:tcW w:w="900" w:type="dxa"/>
            <w:vAlign w:val="bottom"/>
            <w:shd w:val="clear" w:color="auto" w:fill="CCEEFF"/>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(6)</w:t>
            </w:r>
            <w:r>
              <w:rPr>
                <w:rFonts w:ascii="Times New Roman" w:cs="Times New Roman" w:eastAsia="Times New Roman" w:hAnsi="Times New Roman"/>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17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Occupancy expense</w:t>
            </w:r>
          </w:p>
        </w:tc>
        <w:tc>
          <w:tcPr>
            <w:tcW w:w="4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(48,952)</w:t>
            </w:r>
          </w:p>
        </w:tc>
        <w:tc>
          <w:tcPr>
            <w:tcW w:w="86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(19)</w:t>
            </w:r>
            <w:r>
              <w:rPr>
                <w:rFonts w:ascii="Times New Roman" w:cs="Times New Roman" w:eastAsia="Times New Roman" w:hAnsi="Times New Roman"/>
                <w:sz w:val="20"/>
                <w:szCs w:val="20"/>
                <w:i w:val="1"/>
                <w:iCs w:val="1"/>
                <w:color w:val="auto"/>
                <w:vertAlign w:val="superscript"/>
              </w:rPr>
              <w:t>%</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(44,914)</w:t>
            </w:r>
          </w:p>
        </w:tc>
        <w:tc>
          <w:tcPr>
            <w:tcW w:w="900" w:type="dxa"/>
            <w:vAlign w:val="bottom"/>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(17)</w:t>
            </w:r>
            <w:r>
              <w:rPr>
                <w:rFonts w:ascii="Times New Roman" w:cs="Times New Roman" w:eastAsia="Times New Roman" w:hAnsi="Times New Roman"/>
                <w:sz w:val="20"/>
                <w:szCs w:val="20"/>
                <w:i w:val="1"/>
                <w:iCs w:val="1"/>
                <w:color w:val="auto"/>
                <w:vertAlign w:val="superscript"/>
              </w:rPr>
              <w:t>%</w:t>
            </w:r>
          </w:p>
        </w:tc>
        <w:tc>
          <w:tcPr>
            <w:tcW w:w="220" w:type="dxa"/>
            <w:vAlign w:val="bottom"/>
          </w:tcPr>
          <w:p>
            <w:pPr>
              <w:spacing w:after="0"/>
              <w:rPr>
                <w:sz w:val="15"/>
                <w:szCs w:val="15"/>
                <w:color w:val="auto"/>
              </w:rPr>
            </w:pPr>
          </w:p>
        </w:tc>
        <w:tc>
          <w:tcPr>
            <w:tcW w:w="1740" w:type="dxa"/>
            <w:vAlign w:val="bottom"/>
            <w:gridSpan w:val="2"/>
          </w:tcPr>
          <w:p>
            <w:pPr>
              <w:jc w:val="right"/>
              <w:ind w:right="742"/>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174"/>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Other expense</w:t>
            </w:r>
          </w:p>
        </w:tc>
        <w:tc>
          <w:tcPr>
            <w:tcW w:w="4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(66,999)</w:t>
            </w:r>
          </w:p>
        </w:tc>
        <w:tc>
          <w:tcPr>
            <w:tcW w:w="86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(25)</w:t>
            </w:r>
            <w:r>
              <w:rPr>
                <w:rFonts w:ascii="Times New Roman" w:cs="Times New Roman" w:eastAsia="Times New Roman" w:hAnsi="Times New Roman"/>
                <w:sz w:val="20"/>
                <w:szCs w:val="20"/>
                <w:i w:val="1"/>
                <w:iCs w:val="1"/>
                <w:color w:val="auto"/>
                <w:vertAlign w:val="superscript"/>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(63,367)</w:t>
            </w:r>
          </w:p>
        </w:tc>
        <w:tc>
          <w:tcPr>
            <w:tcW w:w="900" w:type="dxa"/>
            <w:vAlign w:val="bottom"/>
            <w:shd w:val="clear" w:color="auto" w:fill="CCEEFF"/>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(25)</w:t>
            </w:r>
            <w:r>
              <w:rPr>
                <w:rFonts w:ascii="Times New Roman" w:cs="Times New Roman" w:eastAsia="Times New Roman" w:hAnsi="Times New Roman"/>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rPr>
              <w:t>(6) %</w:t>
            </w:r>
          </w:p>
        </w:tc>
        <w:tc>
          <w:tcPr>
            <w:tcW w:w="0" w:type="dxa"/>
            <w:vAlign w:val="bottom"/>
          </w:tcPr>
          <w:p>
            <w:pPr>
              <w:spacing w:after="0"/>
              <w:rPr>
                <w:sz w:val="1"/>
                <w:szCs w:val="1"/>
                <w:color w:val="auto"/>
              </w:rPr>
            </w:pPr>
          </w:p>
        </w:tc>
      </w:tr>
      <w:tr>
        <w:trPr>
          <w:trHeight w:val="102"/>
        </w:trPr>
        <w:tc>
          <w:tcPr>
            <w:tcW w:w="3420" w:type="dxa"/>
            <w:vAlign w:val="bottom"/>
            <w:gridSpan w:val="2"/>
          </w:tcPr>
          <w:p>
            <w:pPr>
              <w:ind w:left="180"/>
              <w:spacing w:after="0" w:line="102" w:lineRule="exact"/>
              <w:rPr>
                <w:sz w:val="20"/>
                <w:szCs w:val="20"/>
                <w:color w:val="auto"/>
              </w:rPr>
            </w:pPr>
            <w:r>
              <w:rPr>
                <w:rFonts w:ascii="Times New Roman" w:cs="Times New Roman" w:eastAsia="Times New Roman" w:hAnsi="Times New Roman"/>
                <w:sz w:val="10"/>
                <w:szCs w:val="10"/>
                <w:color w:val="auto"/>
              </w:rPr>
              <w:t>Depreciation, amortization, and general and administrative</w:t>
            </w: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42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2"/>
                <w:szCs w:val="12"/>
                <w:color w:val="auto"/>
              </w:rPr>
              <w:t>expense</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(12,212)</w:t>
            </w:r>
          </w:p>
        </w:tc>
        <w:tc>
          <w:tcPr>
            <w:tcW w:w="86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(5)</w:t>
            </w:r>
            <w:r>
              <w:rPr>
                <w:rFonts w:ascii="Times New Roman" w:cs="Times New Roman" w:eastAsia="Times New Roman" w:hAnsi="Times New Roman"/>
                <w:sz w:val="20"/>
                <w:szCs w:val="20"/>
                <w:i w:val="1"/>
                <w:iCs w:val="1"/>
                <w:color w:val="auto"/>
                <w:vertAlign w:val="superscript"/>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(11,772)</w:t>
            </w:r>
          </w:p>
        </w:tc>
        <w:tc>
          <w:tcPr>
            <w:tcW w:w="900" w:type="dxa"/>
            <w:vAlign w:val="bottom"/>
            <w:shd w:val="clear" w:color="auto" w:fill="CCEEFF"/>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(5)</w:t>
            </w:r>
            <w:r>
              <w:rPr>
                <w:rFonts w:ascii="Times New Roman" w:cs="Times New Roman" w:eastAsia="Times New Roman" w:hAnsi="Times New Roman"/>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rPr>
              <w:t>(4) %</w:t>
            </w:r>
          </w:p>
        </w:tc>
        <w:tc>
          <w:tcPr>
            <w:tcW w:w="0" w:type="dxa"/>
            <w:vAlign w:val="bottom"/>
          </w:tcPr>
          <w:p>
            <w:pPr>
              <w:spacing w:after="0"/>
              <w:rPr>
                <w:sz w:val="1"/>
                <w:szCs w:val="1"/>
                <w:color w:val="auto"/>
              </w:rPr>
            </w:pPr>
          </w:p>
        </w:tc>
      </w:tr>
      <w:tr>
        <w:trPr>
          <w:trHeight w:val="174"/>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(3,262)</w:t>
            </w:r>
          </w:p>
        </w:tc>
        <w:tc>
          <w:tcPr>
            <w:tcW w:w="200" w:type="dxa"/>
            <w:vAlign w:val="bottom"/>
          </w:tcPr>
          <w:p>
            <w:pPr>
              <w:spacing w:after="0"/>
              <w:rPr>
                <w:sz w:val="15"/>
                <w:szCs w:val="15"/>
                <w:color w:val="auto"/>
              </w:rPr>
            </w:pPr>
          </w:p>
        </w:tc>
        <w:tc>
          <w:tcPr>
            <w:tcW w:w="86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i w:val="1"/>
                <w:iCs w:val="1"/>
                <w:color w:val="auto"/>
                <w:vertAlign w:val="superscript"/>
              </w:rPr>
              <w:t>%</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(3,764)</w:t>
            </w:r>
          </w:p>
        </w:tc>
        <w:tc>
          <w:tcPr>
            <w:tcW w:w="900" w:type="dxa"/>
            <w:vAlign w:val="bottom"/>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i w:val="1"/>
                <w:iCs w:val="1"/>
                <w:color w:val="auto"/>
                <w:vertAlign w:val="superscript"/>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3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Total Segment Expenses</w:t>
            </w: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vMerge w:val="restart"/>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(87)</w:t>
            </w:r>
            <w:r>
              <w:rPr>
                <w:rFonts w:ascii="Times New Roman" w:cs="Times New Roman" w:eastAsia="Times New Roman" w:hAnsi="Times New Roman"/>
                <w:sz w:val="20"/>
                <w:szCs w:val="20"/>
                <w:i w:val="1"/>
                <w:iCs w:val="1"/>
                <w:color w:val="auto"/>
                <w:vertAlign w:val="superscript"/>
              </w:rPr>
              <w:t>%</w:t>
            </w: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vMerge w:val="restart"/>
            <w:shd w:val="clear" w:color="auto" w:fill="CCEEFF"/>
          </w:tcPr>
          <w:p>
            <w:pPr>
              <w:jc w:val="right"/>
              <w:ind w:right="168"/>
              <w:spacing w:after="0" w:line="174" w:lineRule="exact"/>
              <w:rPr>
                <w:sz w:val="20"/>
                <w:szCs w:val="20"/>
                <w:color w:val="auto"/>
              </w:rPr>
            </w:pPr>
            <w:r>
              <w:rPr>
                <w:rFonts w:ascii="Times New Roman" w:cs="Times New Roman" w:eastAsia="Times New Roman" w:hAnsi="Times New Roman"/>
                <w:sz w:val="10"/>
                <w:szCs w:val="10"/>
                <w:i w:val="1"/>
                <w:iCs w:val="1"/>
                <w:color w:val="auto"/>
              </w:rPr>
              <w:t>(86)</w:t>
            </w:r>
            <w:r>
              <w:rPr>
                <w:rFonts w:ascii="Times New Roman" w:cs="Times New Roman" w:eastAsia="Times New Roman" w:hAnsi="Times New Roman"/>
                <w:sz w:val="20"/>
                <w:szCs w:val="20"/>
                <w:i w:val="1"/>
                <w:iCs w:val="1"/>
                <w:color w:val="auto"/>
                <w:vertAlign w:val="superscript"/>
              </w:rPr>
              <w:t>%</w:t>
            </w:r>
          </w:p>
        </w:tc>
        <w:tc>
          <w:tcPr>
            <w:tcW w:w="220" w:type="dxa"/>
            <w:vAlign w:val="bottom"/>
            <w:vMerge w:val="restart"/>
            <w:shd w:val="clear" w:color="auto" w:fill="CCEEFF"/>
          </w:tcPr>
          <w:p>
            <w:pPr>
              <w:spacing w:after="0" w:line="20" w:lineRule="exact"/>
              <w:rPr>
                <w:sz w:val="1"/>
                <w:szCs w:val="1"/>
                <w:color w:val="auto"/>
              </w:rPr>
            </w:pPr>
          </w:p>
        </w:tc>
        <w:tc>
          <w:tcPr>
            <w:tcW w:w="17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2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(230,494)</w:t>
            </w:r>
          </w:p>
        </w:tc>
        <w:tc>
          <w:tcPr>
            <w:tcW w:w="2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4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(221,424)</w:t>
            </w:r>
          </w:p>
        </w:tc>
        <w:tc>
          <w:tcPr>
            <w:tcW w:w="90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74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2"/>
                <w:szCs w:val="12"/>
                <w:color w:val="auto"/>
              </w:rPr>
              <w:t>(4) %</w:t>
            </w:r>
          </w:p>
        </w:tc>
        <w:tc>
          <w:tcPr>
            <w:tcW w:w="0" w:type="dxa"/>
            <w:vAlign w:val="bottom"/>
          </w:tcPr>
          <w:p>
            <w:pPr>
              <w:spacing w:after="0"/>
              <w:rPr>
                <w:sz w:val="1"/>
                <w:szCs w:val="1"/>
                <w:color w:val="auto"/>
              </w:rPr>
            </w:pPr>
          </w:p>
        </w:tc>
      </w:tr>
      <w:tr>
        <w:trPr>
          <w:trHeight w:val="144"/>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Operating Income</w:t>
            </w:r>
          </w:p>
        </w:tc>
        <w:tc>
          <w:tcPr>
            <w:tcW w:w="4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32,970</w:t>
            </w:r>
          </w:p>
        </w:tc>
        <w:tc>
          <w:tcPr>
            <w:tcW w:w="200" w:type="dxa"/>
            <w:vAlign w:val="bottom"/>
          </w:tcPr>
          <w:p>
            <w:pPr>
              <w:spacing w:after="0"/>
              <w:rPr>
                <w:sz w:val="12"/>
                <w:szCs w:val="12"/>
                <w:color w:val="auto"/>
              </w:rPr>
            </w:pPr>
          </w:p>
        </w:tc>
        <w:tc>
          <w:tcPr>
            <w:tcW w:w="860" w:type="dxa"/>
            <w:vAlign w:val="bottom"/>
          </w:tcPr>
          <w:p>
            <w:pPr>
              <w:jc w:val="right"/>
              <w:ind w:right="188"/>
              <w:spacing w:after="0" w:line="143" w:lineRule="exact"/>
              <w:rPr>
                <w:sz w:val="20"/>
                <w:szCs w:val="20"/>
                <w:color w:val="auto"/>
              </w:rPr>
            </w:pPr>
            <w:r>
              <w:rPr>
                <w:rFonts w:ascii="Times New Roman" w:cs="Times New Roman" w:eastAsia="Times New Roman" w:hAnsi="Times New Roman"/>
                <w:sz w:val="9"/>
                <w:szCs w:val="9"/>
                <w:i w:val="1"/>
                <w:iCs w:val="1"/>
                <w:color w:val="auto"/>
              </w:rPr>
              <w:t xml:space="preserve">13 </w:t>
            </w:r>
            <w:r>
              <w:rPr>
                <w:rFonts w:ascii="Times New Roman" w:cs="Times New Roman" w:eastAsia="Times New Roman" w:hAnsi="Times New Roman"/>
                <w:sz w:val="16"/>
                <w:szCs w:val="16"/>
                <w:i w:val="1"/>
                <w:iCs w:val="1"/>
                <w:color w:val="auto"/>
                <w:vertAlign w:val="superscript"/>
              </w:rPr>
              <w:t>%</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35,498</w:t>
            </w:r>
          </w:p>
        </w:tc>
        <w:tc>
          <w:tcPr>
            <w:tcW w:w="200" w:type="dxa"/>
            <w:vAlign w:val="bottom"/>
          </w:tcPr>
          <w:p>
            <w:pPr>
              <w:spacing w:after="0"/>
              <w:rPr>
                <w:sz w:val="12"/>
                <w:szCs w:val="12"/>
                <w:color w:val="auto"/>
              </w:rPr>
            </w:pPr>
          </w:p>
        </w:tc>
        <w:tc>
          <w:tcPr>
            <w:tcW w:w="900" w:type="dxa"/>
            <w:vAlign w:val="bottom"/>
          </w:tcPr>
          <w:p>
            <w:pPr>
              <w:jc w:val="right"/>
              <w:ind w:right="168"/>
              <w:spacing w:after="0" w:line="143" w:lineRule="exact"/>
              <w:rPr>
                <w:sz w:val="20"/>
                <w:szCs w:val="20"/>
                <w:color w:val="auto"/>
              </w:rPr>
            </w:pPr>
            <w:r>
              <w:rPr>
                <w:rFonts w:ascii="Times New Roman" w:cs="Times New Roman" w:eastAsia="Times New Roman" w:hAnsi="Times New Roman"/>
                <w:sz w:val="9"/>
                <w:szCs w:val="9"/>
                <w:i w:val="1"/>
                <w:iCs w:val="1"/>
                <w:color w:val="auto"/>
              </w:rPr>
              <w:t xml:space="preserve">14 </w:t>
            </w:r>
            <w:r>
              <w:rPr>
                <w:rFonts w:ascii="Times New Roman" w:cs="Times New Roman" w:eastAsia="Times New Roman" w:hAnsi="Times New Roman"/>
                <w:sz w:val="16"/>
                <w:szCs w:val="16"/>
                <w:i w:val="1"/>
                <w:iCs w:val="1"/>
                <w:color w:val="auto"/>
                <w:vertAlign w:val="superscript"/>
              </w:rPr>
              <w:t>%</w:t>
            </w:r>
          </w:p>
        </w:tc>
        <w:tc>
          <w:tcPr>
            <w:tcW w:w="220" w:type="dxa"/>
            <w:vAlign w:val="bottom"/>
          </w:tcPr>
          <w:p>
            <w:pPr>
              <w:spacing w:after="0"/>
              <w:rPr>
                <w:sz w:val="12"/>
                <w:szCs w:val="12"/>
                <w:color w:val="auto"/>
              </w:rPr>
            </w:pPr>
          </w:p>
        </w:tc>
        <w:tc>
          <w:tcPr>
            <w:tcW w:w="1740" w:type="dxa"/>
            <w:vAlign w:val="bottom"/>
            <w:gridSpan w:val="2"/>
          </w:tcPr>
          <w:p>
            <w:pPr>
              <w:jc w:val="right"/>
              <w:ind w:right="742"/>
              <w:spacing w:after="0"/>
              <w:rPr>
                <w:sz w:val="20"/>
                <w:szCs w:val="20"/>
                <w:color w:val="auto"/>
              </w:rPr>
            </w:pPr>
            <w:r>
              <w:rPr>
                <w:rFonts w:ascii="Times New Roman" w:cs="Times New Roman" w:eastAsia="Times New Roman" w:hAnsi="Times New Roman"/>
                <w:sz w:val="12"/>
                <w:szCs w:val="12"/>
                <w:color w:val="auto"/>
              </w:rPr>
              <w:t>(7) %</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Cinema Exhibition segment operating income</w:t>
      </w:r>
    </w:p>
    <w:p>
      <w:pPr>
        <w:spacing w:after="0" w:line="3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Cinema Exhibition segment operating income decreased by 7%, or $2.5 million, to $33.0 million for the year ended December 31, 2017 compared to December 31, 2016, primarily driven by lower admissions for our US and New Zealand operations partially offset by improved F&amp;B revenues. The higher revenues of our Australia cinemas and favorable foreign currency movements of our foreign operations helped to offset lower revenues in the U.S. Refer below for further explanations.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3" w:right="7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3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Cinema revenue increased by 3%, or $6.5 million, to $263.5 million for the year ended December 31, 2017 compared to 2016. This was primarily driven by higher admissions in our Australian circuit resulting in higher box office and F&amp;B revenue. F&amp;B revenues were also up in both the United States and New Zealand driven by increased spend per patron due to our expanded F&amp;B offering. These increases were further enhanced as a result of the appreciation of the AU and NZ dollars compared to the US dollar. These items were partially offset by lower admits in the U.S. due in part to industry-wide box office softening in 2017 and the cinema closure resulting from our cinema renovation program. Comparing the current and prior year, the Australian dollar and New Zealand dollar increased against the U.S. dollar by 3.1% and 2.0% (on average rates), respectively. Shown below is the revenue breakdown by country:</w:t>
      </w:r>
    </w:p>
    <w:tbl>
      <w:tblPr>
        <w:tblLayout w:type="fixed"/>
        <w:tblInd w:w="0" w:type="dxa"/>
        <w:tblCellMar>
          <w:top w:w="0" w:type="dxa"/>
          <w:left w:w="0" w:type="dxa"/>
          <w:bottom w:w="0" w:type="dxa"/>
          <w:right w:w="0" w:type="dxa"/>
        </w:tblCellMar>
      </w:tblPr>
      <w:tr>
        <w:trPr>
          <w:trHeight w:val="120"/>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20" w:type="dxa"/>
            <w:vAlign w:val="bottom"/>
          </w:tcPr>
          <w:p>
            <w:pPr>
              <w:spacing w:after="0"/>
              <w:rPr>
                <w:sz w:val="10"/>
                <w:szCs w:val="10"/>
                <w:color w:val="auto"/>
              </w:rPr>
            </w:pPr>
          </w:p>
        </w:tc>
        <w:tc>
          <w:tcPr>
            <w:tcW w:w="98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92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2016</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1360" w:type="dxa"/>
            <w:vAlign w:val="bottom"/>
          </w:tcPr>
          <w:p>
            <w:pPr>
              <w:jc w:val="right"/>
              <w:ind w:right="310"/>
              <w:spacing w:after="0" w:line="120" w:lineRule="exact"/>
              <w:rPr>
                <w:sz w:val="20"/>
                <w:szCs w:val="20"/>
                <w:color w:val="auto"/>
              </w:rPr>
            </w:pPr>
            <w:r>
              <w:rPr>
                <w:rFonts w:ascii="Times New Roman" w:cs="Times New Roman" w:eastAsia="Times New Roman" w:hAnsi="Times New Roman"/>
                <w:sz w:val="12"/>
                <w:szCs w:val="12"/>
                <w:b w:val="1"/>
                <w:bCs w:val="1"/>
                <w:color w:val="auto"/>
              </w:rPr>
              <w:t>2017 vs. 2016</w:t>
            </w:r>
          </w:p>
        </w:tc>
        <w:tc>
          <w:tcPr>
            <w:tcW w:w="0" w:type="dxa"/>
            <w:vAlign w:val="bottom"/>
          </w:tcPr>
          <w:p>
            <w:pPr>
              <w:spacing w:after="0"/>
              <w:rPr>
                <w:sz w:val="1"/>
                <w:szCs w:val="1"/>
                <w:color w:val="auto"/>
              </w:rPr>
            </w:pPr>
          </w:p>
        </w:tc>
      </w:tr>
      <w:tr>
        <w:trPr>
          <w:trHeight w:val="140"/>
        </w:trPr>
        <w:tc>
          <w:tcPr>
            <w:tcW w:w="35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Favorable / (Unfavorable)</w:t>
            </w:r>
          </w:p>
        </w:tc>
        <w:tc>
          <w:tcPr>
            <w:tcW w:w="0" w:type="dxa"/>
            <w:vAlign w:val="bottom"/>
          </w:tcPr>
          <w:p>
            <w:pPr>
              <w:spacing w:after="0"/>
              <w:rPr>
                <w:sz w:val="1"/>
                <w:szCs w:val="1"/>
                <w:color w:val="auto"/>
              </w:rPr>
            </w:pPr>
          </w:p>
        </w:tc>
      </w:tr>
      <w:tr>
        <w:trPr>
          <w:trHeight w:val="130"/>
        </w:trPr>
        <w:tc>
          <w:tcPr>
            <w:tcW w:w="336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United States</w:t>
            </w: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82"/>
              <w:spacing w:after="0" w:line="130"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139,078</w:t>
            </w: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ind w:right="182"/>
              <w:spacing w:after="0" w:line="130" w:lineRule="exact"/>
              <w:rPr>
                <w:sz w:val="20"/>
                <w:szCs w:val="20"/>
                <w:color w:val="auto"/>
              </w:rPr>
            </w:pPr>
            <w:r>
              <w:rPr>
                <w:rFonts w:ascii="Times New Roman" w:cs="Times New Roman" w:eastAsia="Times New Roman" w:hAnsi="Times New Roman"/>
                <w:sz w:val="12"/>
                <w:szCs w:val="12"/>
                <w:i w:val="1"/>
                <w:iCs w:val="1"/>
                <w:color w:val="auto"/>
              </w:rPr>
              <w:t>52 %</w:t>
            </w: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582"/>
              <w:spacing w:after="0" w:line="130"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139,820</w:t>
            </w:r>
          </w:p>
        </w:tc>
        <w:tc>
          <w:tcPr>
            <w:tcW w:w="2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182"/>
              <w:spacing w:after="0" w:line="130" w:lineRule="exact"/>
              <w:rPr>
                <w:sz w:val="20"/>
                <w:szCs w:val="20"/>
                <w:color w:val="auto"/>
              </w:rPr>
            </w:pPr>
            <w:r>
              <w:rPr>
                <w:rFonts w:ascii="Times New Roman" w:cs="Times New Roman" w:eastAsia="Times New Roman" w:hAnsi="Times New Roman"/>
                <w:sz w:val="12"/>
                <w:szCs w:val="12"/>
                <w:i w:val="1"/>
                <w:iCs w:val="1"/>
                <w:color w:val="auto"/>
              </w:rPr>
              <w:t>54 %</w:t>
            </w:r>
          </w:p>
        </w:tc>
        <w:tc>
          <w:tcPr>
            <w:tcW w:w="2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ind w:right="350"/>
              <w:spacing w:after="0" w:line="130" w:lineRule="exact"/>
              <w:rPr>
                <w:sz w:val="20"/>
                <w:szCs w:val="20"/>
                <w:color w:val="auto"/>
              </w:rPr>
            </w:pPr>
            <w:r>
              <w:rPr>
                <w:rFonts w:ascii="Times New Roman" w:cs="Times New Roman" w:eastAsia="Times New Roman" w:hAnsi="Times New Roman"/>
                <w:sz w:val="12"/>
                <w:szCs w:val="12"/>
                <w:color w:val="auto"/>
              </w:rPr>
              <w:t>(1)</w:t>
            </w:r>
            <w:r>
              <w:rPr>
                <w:rFonts w:ascii="Times New Roman" w:cs="Times New Roman" w:eastAsia="Times New Roman" w:hAnsi="Times New Roman"/>
                <w:sz w:val="12"/>
                <w:szCs w:val="12"/>
                <w:i w:val="1"/>
                <w:iCs w:val="1"/>
                <w:color w:val="auto"/>
              </w:rPr>
              <w:t>%</w:t>
            </w:r>
          </w:p>
        </w:tc>
        <w:tc>
          <w:tcPr>
            <w:tcW w:w="0" w:type="dxa"/>
            <w:vAlign w:val="bottom"/>
          </w:tcPr>
          <w:p>
            <w:pPr>
              <w:spacing w:after="0"/>
              <w:rPr>
                <w:sz w:val="1"/>
                <w:szCs w:val="1"/>
                <w:color w:val="auto"/>
              </w:rPr>
            </w:pPr>
          </w:p>
        </w:tc>
      </w:tr>
      <w:tr>
        <w:trPr>
          <w:trHeight w:val="141"/>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Australia</w:t>
            </w: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96,606</w:t>
            </w:r>
          </w:p>
        </w:tc>
        <w:tc>
          <w:tcPr>
            <w:tcW w:w="1100" w:type="dxa"/>
            <w:vAlign w:val="bottom"/>
            <w:gridSpan w:val="2"/>
          </w:tcPr>
          <w:p>
            <w:pPr>
              <w:jc w:val="right"/>
              <w:ind w:right="182"/>
              <w:spacing w:after="0" w:line="141" w:lineRule="exact"/>
              <w:rPr>
                <w:sz w:val="20"/>
                <w:szCs w:val="20"/>
                <w:color w:val="auto"/>
              </w:rPr>
            </w:pPr>
            <w:r>
              <w:rPr>
                <w:rFonts w:ascii="Times New Roman" w:cs="Times New Roman" w:eastAsia="Times New Roman" w:hAnsi="Times New Roman"/>
                <w:sz w:val="9"/>
                <w:szCs w:val="9"/>
                <w:i w:val="1"/>
                <w:iCs w:val="1"/>
                <w:color w:val="auto"/>
              </w:rPr>
              <w:t xml:space="preserve">37 </w:t>
            </w:r>
            <w:r>
              <w:rPr>
                <w:rFonts w:ascii="Times New Roman" w:cs="Times New Roman" w:eastAsia="Times New Roman" w:hAnsi="Times New Roman"/>
                <w:sz w:val="16"/>
                <w:szCs w:val="16"/>
                <w:i w:val="1"/>
                <w:iCs w:val="1"/>
                <w:color w:val="auto"/>
                <w:vertAlign w:val="superscript"/>
              </w:rPr>
              <w: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89,053</w:t>
            </w:r>
          </w:p>
        </w:tc>
        <w:tc>
          <w:tcPr>
            <w:tcW w:w="1160" w:type="dxa"/>
            <w:vAlign w:val="bottom"/>
            <w:gridSpan w:val="2"/>
          </w:tcPr>
          <w:p>
            <w:pPr>
              <w:jc w:val="right"/>
              <w:ind w:right="182"/>
              <w:spacing w:after="0" w:line="141" w:lineRule="exact"/>
              <w:rPr>
                <w:sz w:val="20"/>
                <w:szCs w:val="20"/>
                <w:color w:val="auto"/>
              </w:rPr>
            </w:pPr>
            <w:r>
              <w:rPr>
                <w:rFonts w:ascii="Times New Roman" w:cs="Times New Roman" w:eastAsia="Times New Roman" w:hAnsi="Times New Roman"/>
                <w:sz w:val="9"/>
                <w:szCs w:val="9"/>
                <w:i w:val="1"/>
                <w:iCs w:val="1"/>
                <w:color w:val="auto"/>
              </w:rPr>
              <w:t xml:space="preserve">35 </w:t>
            </w:r>
            <w:r>
              <w:rPr>
                <w:rFonts w:ascii="Times New Roman" w:cs="Times New Roman" w:eastAsia="Times New Roman" w:hAnsi="Times New Roman"/>
                <w:sz w:val="16"/>
                <w:szCs w:val="16"/>
                <w:i w:val="1"/>
                <w:iCs w:val="1"/>
                <w:color w:val="auto"/>
                <w:vertAlign w:val="superscript"/>
              </w:rPr>
              <w:t>%</w:t>
            </w:r>
          </w:p>
        </w:tc>
        <w:tc>
          <w:tcPr>
            <w:tcW w:w="220" w:type="dxa"/>
            <w:vAlign w:val="bottom"/>
          </w:tcPr>
          <w:p>
            <w:pPr>
              <w:spacing w:after="0"/>
              <w:rPr>
                <w:sz w:val="12"/>
                <w:szCs w:val="12"/>
                <w:color w:val="auto"/>
              </w:rPr>
            </w:pPr>
          </w:p>
        </w:tc>
        <w:tc>
          <w:tcPr>
            <w:tcW w:w="1360" w:type="dxa"/>
            <w:vAlign w:val="bottom"/>
          </w:tcPr>
          <w:p>
            <w:pPr>
              <w:jc w:val="right"/>
              <w:ind w:right="350"/>
              <w:spacing w:after="0" w:line="141" w:lineRule="exact"/>
              <w:rPr>
                <w:sz w:val="20"/>
                <w:szCs w:val="20"/>
                <w:color w:val="auto"/>
              </w:rPr>
            </w:pPr>
            <w:r>
              <w:rPr>
                <w:rFonts w:ascii="Times New Roman" w:cs="Times New Roman" w:eastAsia="Times New Roman" w:hAnsi="Times New Roman"/>
                <w:sz w:val="9"/>
                <w:szCs w:val="9"/>
                <w:color w:val="auto"/>
              </w:rPr>
              <w:t xml:space="preserve">8 </w:t>
            </w:r>
            <w:r>
              <w:rPr>
                <w:rFonts w:ascii="Times New Roman" w:cs="Times New Roman" w:eastAsia="Times New Roman" w:hAnsi="Times New Roman"/>
                <w:sz w:val="16"/>
                <w:szCs w:val="16"/>
                <w:i w:val="1"/>
                <w:iCs w:val="1"/>
                <w:color w:val="auto"/>
                <w:vertAlign w:val="superscript"/>
              </w:rPr>
              <w:t>%</w:t>
            </w:r>
          </w:p>
        </w:tc>
        <w:tc>
          <w:tcPr>
            <w:tcW w:w="0" w:type="dxa"/>
            <w:vAlign w:val="bottom"/>
          </w:tcPr>
          <w:p>
            <w:pPr>
              <w:spacing w:after="0"/>
              <w:rPr>
                <w:sz w:val="1"/>
                <w:szCs w:val="1"/>
                <w:color w:val="auto"/>
              </w:rPr>
            </w:pPr>
          </w:p>
        </w:tc>
      </w:tr>
      <w:tr>
        <w:trPr>
          <w:trHeight w:val="141"/>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Zealand</w:t>
            </w:r>
          </w:p>
        </w:tc>
        <w:tc>
          <w:tcPr>
            <w:tcW w:w="4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27,780</w:t>
            </w:r>
          </w:p>
        </w:tc>
        <w:tc>
          <w:tcPr>
            <w:tcW w:w="1100" w:type="dxa"/>
            <w:vAlign w:val="bottom"/>
            <w:gridSpan w:val="2"/>
            <w:shd w:val="clear" w:color="auto" w:fill="CCEEFF"/>
          </w:tcPr>
          <w:p>
            <w:pPr>
              <w:jc w:val="right"/>
              <w:ind w:right="182"/>
              <w:spacing w:after="0" w:line="141" w:lineRule="exact"/>
              <w:rPr>
                <w:sz w:val="20"/>
                <w:szCs w:val="20"/>
                <w:color w:val="auto"/>
              </w:rPr>
            </w:pPr>
            <w:r>
              <w:rPr>
                <w:rFonts w:ascii="Times New Roman" w:cs="Times New Roman" w:eastAsia="Times New Roman" w:hAnsi="Times New Roman"/>
                <w:sz w:val="9"/>
                <w:szCs w:val="9"/>
                <w:i w:val="1"/>
                <w:iCs w:val="1"/>
                <w:color w:val="auto"/>
              </w:rPr>
              <w:t xml:space="preserve">11 </w:t>
            </w:r>
            <w:r>
              <w:rPr>
                <w:rFonts w:ascii="Times New Roman" w:cs="Times New Roman" w:eastAsia="Times New Roman" w:hAnsi="Times New Roman"/>
                <w:sz w:val="16"/>
                <w:szCs w:val="16"/>
                <w:i w:val="1"/>
                <w:iCs w:val="1"/>
                <w:color w:val="auto"/>
                <w:vertAlign w:val="superscript"/>
              </w:rPr>
              <w:t>%</w:t>
            </w:r>
          </w:p>
        </w:tc>
        <w:tc>
          <w:tcPr>
            <w:tcW w:w="2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28,049</w:t>
            </w:r>
          </w:p>
        </w:tc>
        <w:tc>
          <w:tcPr>
            <w:tcW w:w="1160" w:type="dxa"/>
            <w:vAlign w:val="bottom"/>
            <w:gridSpan w:val="2"/>
            <w:shd w:val="clear" w:color="auto" w:fill="CCEEFF"/>
          </w:tcPr>
          <w:p>
            <w:pPr>
              <w:jc w:val="right"/>
              <w:ind w:right="182"/>
              <w:spacing w:after="0" w:line="141" w:lineRule="exact"/>
              <w:rPr>
                <w:sz w:val="20"/>
                <w:szCs w:val="20"/>
                <w:color w:val="auto"/>
              </w:rPr>
            </w:pPr>
            <w:r>
              <w:rPr>
                <w:rFonts w:ascii="Times New Roman" w:cs="Times New Roman" w:eastAsia="Times New Roman" w:hAnsi="Times New Roman"/>
                <w:sz w:val="9"/>
                <w:szCs w:val="9"/>
                <w:i w:val="1"/>
                <w:iCs w:val="1"/>
                <w:color w:val="auto"/>
              </w:rPr>
              <w:t xml:space="preserve">11 </w:t>
            </w:r>
            <w:r>
              <w:rPr>
                <w:rFonts w:ascii="Times New Roman" w:cs="Times New Roman" w:eastAsia="Times New Roman" w:hAnsi="Times New Roman"/>
                <w:sz w:val="16"/>
                <w:szCs w:val="16"/>
                <w:i w:val="1"/>
                <w:iCs w:val="1"/>
                <w:color w:val="auto"/>
                <w:vertAlign w:val="superscript"/>
              </w:rPr>
              <w:t>%</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50"/>
              <w:spacing w:after="0" w:line="141" w:lineRule="exact"/>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6"/>
                <w:szCs w:val="16"/>
                <w:i w:val="1"/>
                <w:iCs w:val="1"/>
                <w:color w:val="auto"/>
                <w:vertAlign w:val="superscript"/>
              </w:rPr>
              <w:t>%</w:t>
            </w:r>
          </w:p>
        </w:tc>
        <w:tc>
          <w:tcPr>
            <w:tcW w:w="0" w:type="dxa"/>
            <w:vAlign w:val="bottom"/>
          </w:tcPr>
          <w:p>
            <w:pPr>
              <w:spacing w:after="0"/>
              <w:rPr>
                <w:sz w:val="1"/>
                <w:szCs w:val="1"/>
                <w:color w:val="auto"/>
              </w:rPr>
            </w:pPr>
          </w:p>
        </w:tc>
      </w:tr>
      <w:tr>
        <w:trPr>
          <w:trHeight w:val="112"/>
        </w:trPr>
        <w:tc>
          <w:tcPr>
            <w:tcW w:w="358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Segment Revenues</w:t>
            </w:r>
          </w:p>
        </w:tc>
        <w:tc>
          <w:tcPr>
            <w:tcW w:w="420" w:type="dxa"/>
            <w:vAlign w:val="bottom"/>
            <w:tcBorders>
              <w:bottom w:val="single" w:sz="8" w:color="auto"/>
            </w:tcBorders>
          </w:tcPr>
          <w:p>
            <w:pPr>
              <w:jc w:val="right"/>
              <w:ind w:right="82"/>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263,464</w:t>
            </w:r>
          </w:p>
        </w:tc>
        <w:tc>
          <w:tcPr>
            <w:tcW w:w="1100" w:type="dxa"/>
            <w:vAlign w:val="bottom"/>
            <w:gridSpan w:val="2"/>
          </w:tcPr>
          <w:p>
            <w:pPr>
              <w:jc w:val="right"/>
              <w:ind w:right="182"/>
              <w:spacing w:after="0" w:line="110" w:lineRule="exact"/>
              <w:rPr>
                <w:sz w:val="20"/>
                <w:szCs w:val="20"/>
                <w:color w:val="auto"/>
              </w:rPr>
            </w:pPr>
            <w:r>
              <w:rPr>
                <w:rFonts w:ascii="Times New Roman" w:cs="Times New Roman" w:eastAsia="Times New Roman" w:hAnsi="Times New Roman"/>
                <w:sz w:val="8"/>
                <w:szCs w:val="8"/>
                <w:i w:val="1"/>
                <w:iCs w:val="1"/>
                <w:color w:val="auto"/>
              </w:rPr>
              <w:t xml:space="preserve">100 </w:t>
            </w:r>
            <w:r>
              <w:rPr>
                <w:rFonts w:ascii="Times New Roman" w:cs="Times New Roman" w:eastAsia="Times New Roman" w:hAnsi="Times New Roman"/>
                <w:sz w:val="12"/>
                <w:szCs w:val="12"/>
                <w:i w:val="1"/>
                <w:iCs w:val="1"/>
                <w:color w:val="auto"/>
                <w:vertAlign w:val="superscript"/>
              </w:rPr>
              <w:t>%</w:t>
            </w:r>
          </w:p>
        </w:tc>
        <w:tc>
          <w:tcPr>
            <w:tcW w:w="200" w:type="dxa"/>
            <w:vAlign w:val="bottom"/>
          </w:tcPr>
          <w:p>
            <w:pPr>
              <w:spacing w:after="0"/>
              <w:rPr>
                <w:sz w:val="9"/>
                <w:szCs w:val="9"/>
                <w:color w:val="auto"/>
              </w:rPr>
            </w:pPr>
          </w:p>
        </w:tc>
        <w:tc>
          <w:tcPr>
            <w:tcW w:w="920" w:type="dxa"/>
            <w:vAlign w:val="bottom"/>
            <w:tcBorders>
              <w:bottom w:val="single" w:sz="8" w:color="auto"/>
            </w:tcBorders>
          </w:tcPr>
          <w:p>
            <w:pPr>
              <w:jc w:val="right"/>
              <w:ind w:right="582"/>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256,922</w:t>
            </w:r>
          </w:p>
        </w:tc>
        <w:tc>
          <w:tcPr>
            <w:tcW w:w="1160" w:type="dxa"/>
            <w:vAlign w:val="bottom"/>
            <w:gridSpan w:val="2"/>
          </w:tcPr>
          <w:p>
            <w:pPr>
              <w:jc w:val="right"/>
              <w:ind w:right="182"/>
              <w:spacing w:after="0" w:line="110" w:lineRule="exact"/>
              <w:rPr>
                <w:sz w:val="20"/>
                <w:szCs w:val="20"/>
                <w:color w:val="auto"/>
              </w:rPr>
            </w:pPr>
            <w:r>
              <w:rPr>
                <w:rFonts w:ascii="Times New Roman" w:cs="Times New Roman" w:eastAsia="Times New Roman" w:hAnsi="Times New Roman"/>
                <w:sz w:val="8"/>
                <w:szCs w:val="8"/>
                <w:i w:val="1"/>
                <w:iCs w:val="1"/>
                <w:color w:val="auto"/>
              </w:rPr>
              <w:t xml:space="preserve">100 </w:t>
            </w:r>
            <w:r>
              <w:rPr>
                <w:rFonts w:ascii="Times New Roman" w:cs="Times New Roman" w:eastAsia="Times New Roman" w:hAnsi="Times New Roman"/>
                <w:sz w:val="12"/>
                <w:szCs w:val="12"/>
                <w:i w:val="1"/>
                <w:iCs w:val="1"/>
                <w:color w:val="auto"/>
                <w:vertAlign w:val="superscript"/>
              </w:rPr>
              <w:t>%</w:t>
            </w:r>
          </w:p>
        </w:tc>
        <w:tc>
          <w:tcPr>
            <w:tcW w:w="220" w:type="dxa"/>
            <w:vAlign w:val="bottom"/>
          </w:tcPr>
          <w:p>
            <w:pPr>
              <w:spacing w:after="0"/>
              <w:rPr>
                <w:sz w:val="9"/>
                <w:szCs w:val="9"/>
                <w:color w:val="auto"/>
              </w:rPr>
            </w:pPr>
          </w:p>
        </w:tc>
        <w:tc>
          <w:tcPr>
            <w:tcW w:w="1360" w:type="dxa"/>
            <w:vAlign w:val="bottom"/>
          </w:tcPr>
          <w:p>
            <w:pPr>
              <w:jc w:val="right"/>
              <w:ind w:right="350"/>
              <w:spacing w:after="0" w:line="110" w:lineRule="exact"/>
              <w:rPr>
                <w:sz w:val="20"/>
                <w:szCs w:val="20"/>
                <w:color w:val="auto"/>
              </w:rPr>
            </w:pPr>
            <w:r>
              <w:rPr>
                <w:rFonts w:ascii="Times New Roman" w:cs="Times New Roman" w:eastAsia="Times New Roman" w:hAnsi="Times New Roman"/>
                <w:sz w:val="8"/>
                <w:szCs w:val="8"/>
                <w:color w:val="auto"/>
              </w:rPr>
              <w:t xml:space="preserve">3 </w:t>
            </w:r>
            <w:r>
              <w:rPr>
                <w:rFonts w:ascii="Times New Roman" w:cs="Times New Roman" w:eastAsia="Times New Roman" w:hAnsi="Times New Roman"/>
                <w:sz w:val="12"/>
                <w:szCs w:val="12"/>
                <w:i w:val="1"/>
                <w:iCs w:val="1"/>
                <w:color w:val="auto"/>
                <w:vertAlign w:val="superscript"/>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200" w:right="160" w:hanging="193"/>
        <w:spacing w:after="0" w:line="270" w:lineRule="auto"/>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United States, 2017 revenues decreased by 1%, or $742,000, primarily driven by lower attendance partially due to the temporary closure of certain sites for renovations along with lower industry-wide box office attendance. This was partially offset by, improved average ticket prices, improved F&amp;B revenues and increased web sale revenues.</w:t>
      </w:r>
    </w:p>
    <w:p>
      <w:pPr>
        <w:ind w:left="200" w:right="520" w:hanging="193"/>
        <w:spacing w:after="0" w:line="258" w:lineRule="auto"/>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Australia’s cinema revenue, stated in U.S. dollars, increased by 8%, or $7.6 million, primarily due to increase in attendance, as well as a favorable movement in foreign exchange movements, offset by a reduction in average ticket prices.</w:t>
      </w:r>
    </w:p>
    <w:p>
      <w:pPr>
        <w:ind w:left="200" w:hanging="193"/>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New Zealand, cinema revenue decreased by 1%, or $269,000, mainly due to the temporary closure of our Courtenay Central ETC (which re-opened in late March 2017).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 and products (excluding depreciation and amortization)</w:t>
      </w:r>
    </w:p>
    <w:p>
      <w:pPr>
        <w:spacing w:after="0" w:line="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Cost of services and products for 2017 increased by 4%, or $9.1 million, to $215.0 million mainly attributable to higher film rent and advertising costs in Australia due to higher box office revenue, higher concession costs due to increased concession sales, additional operating costs amounting to $3.3 million associated with Olino, including an additional $1.8 million in occupancy cost compared to 2016. Further movements were driven by an increase in occupancy of $765,000 as a result of lease options exercised, increased staff costs due to minimum wage increases and a move towards enhanced food &amp; beverage offerings, and increased costs associated with the opening of our new Newmarket cinema in Brisbane, Australia. In addition, the impact of the strengthening Australian and New Zealand dollars relative to the U.S. dollar further contributed to the cost increase. These were partially offset by lower film rent and advertising costs in the United States and New Zealand due to lower box office revenue.</w:t>
      </w:r>
    </w:p>
    <w:p>
      <w:pPr>
        <w:spacing w:after="0" w:line="58"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4"/>
          <w:szCs w:val="14"/>
          <w:color w:val="auto"/>
        </w:rPr>
        <w:t>Certain costs incurred in quarters one to three of 2017 have, in quarter four, crystallized as rent liabilities to be paid, and as such have been reclassified from ‘other operating expenses’ to ‘occupancy costs’. These costs have no material impact on our financial results for the periods concerned.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services and products as a percentage of gross revenue increased by 2% in 2017 to 82% from 80% in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general and administrative expense</w:t>
      </w:r>
    </w:p>
    <w:p>
      <w:pPr>
        <w:spacing w:after="0" w:line="3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4"/>
          <w:szCs w:val="14"/>
          <w:color w:val="auto"/>
        </w:rPr>
        <w:t>Depreciation, amortization, general and administrative expense for 2017 remained unchanged compared to 2016 primarily driven by the increase in depreciation resulting from improvements in several of our cinema facilities being offset by savings in general and administrative expenses that have reduced.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294" w:right="7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auto"/>
        </w:rPr>
        <w:t>Real Estate – 2017 vs. 2016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12"/>
                <w:szCs w:val="12"/>
                <w:color w:val="auto"/>
              </w:rPr>
            </w:pPr>
          </w:p>
        </w:tc>
        <w:tc>
          <w:tcPr>
            <w:tcW w:w="880" w:type="dxa"/>
            <w:vAlign w:val="bottom"/>
            <w:vMerge w:val="restart"/>
          </w:tcPr>
          <w:p>
            <w:pPr>
              <w:jc w:val="right"/>
              <w:ind w:right="91"/>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0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2"/>
                <w:szCs w:val="12"/>
                <w:color w:val="auto"/>
              </w:rPr>
            </w:pPr>
          </w:p>
        </w:tc>
        <w:tc>
          <w:tcPr>
            <w:tcW w:w="940" w:type="dxa"/>
            <w:vAlign w:val="bottom"/>
            <w:vMerge w:val="restart"/>
          </w:tcPr>
          <w:p>
            <w:pPr>
              <w:jc w:val="right"/>
              <w:ind w:right="111"/>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20" w:type="dxa"/>
            <w:vAlign w:val="bottom"/>
            <w:vMerge w:val="restart"/>
          </w:tcPr>
          <w:p>
            <w:pPr>
              <w:spacing w:after="0"/>
              <w:rPr>
                <w:sz w:val="12"/>
                <w:szCs w:val="12"/>
                <w:color w:val="auto"/>
              </w:rPr>
            </w:pP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2017 vs. 2016</w:t>
            </w:r>
          </w:p>
        </w:tc>
        <w:tc>
          <w:tcPr>
            <w:tcW w:w="0" w:type="dxa"/>
            <w:vAlign w:val="bottom"/>
          </w:tcPr>
          <w:p>
            <w:pPr>
              <w:spacing w:after="0"/>
              <w:rPr>
                <w:sz w:val="1"/>
                <w:szCs w:val="1"/>
                <w:color w:val="auto"/>
              </w:rPr>
            </w:pPr>
          </w:p>
        </w:tc>
      </w:tr>
      <w:tr>
        <w:trPr>
          <w:trHeight w:val="140"/>
        </w:trPr>
        <w:tc>
          <w:tcPr>
            <w:tcW w:w="33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Favorable / (Unfavorable)</w:t>
            </w:r>
          </w:p>
        </w:tc>
        <w:tc>
          <w:tcPr>
            <w:tcW w:w="0" w:type="dxa"/>
            <w:vAlign w:val="bottom"/>
          </w:tcPr>
          <w:p>
            <w:pPr>
              <w:spacing w:after="0"/>
              <w:rPr>
                <w:sz w:val="1"/>
                <w:szCs w:val="1"/>
                <w:color w:val="auto"/>
              </w:rPr>
            </w:pPr>
          </w:p>
        </w:tc>
      </w:tr>
      <w:tr>
        <w:trPr>
          <w:trHeight w:val="152"/>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Live theater rental and ancillary income</w:t>
            </w: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4,417</w:t>
            </w:r>
          </w:p>
        </w:tc>
        <w:tc>
          <w:tcPr>
            <w:tcW w:w="220" w:type="dxa"/>
            <w:vAlign w:val="bottom"/>
          </w:tcPr>
          <w:p>
            <w:pPr>
              <w:spacing w:after="0"/>
              <w:rPr>
                <w:sz w:val="14"/>
                <w:szCs w:val="14"/>
                <w:color w:val="auto"/>
              </w:rPr>
            </w:pPr>
          </w:p>
        </w:tc>
        <w:tc>
          <w:tcPr>
            <w:tcW w:w="880" w:type="dxa"/>
            <w:vAlign w:val="bottom"/>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19 </w:t>
            </w:r>
            <w:r>
              <w:rPr>
                <w:rFonts w:ascii="Times New Roman" w:cs="Times New Roman" w:eastAsia="Times New Roman" w:hAnsi="Times New Roman"/>
                <w:sz w:val="18"/>
                <w:szCs w:val="18"/>
                <w:i w:val="1"/>
                <w:iCs w:val="1"/>
                <w:color w:val="auto"/>
                <w:vertAlign w:val="superscript"/>
              </w:rPr>
              <w:t>%</w:t>
            </w:r>
          </w:p>
        </w:tc>
        <w:tc>
          <w:tcPr>
            <w:tcW w:w="200" w:type="dxa"/>
            <w:vAlign w:val="bottom"/>
          </w:tcPr>
          <w:p>
            <w:pPr>
              <w:spacing w:after="0"/>
              <w:rPr>
                <w:sz w:val="14"/>
                <w:szCs w:val="14"/>
                <w:color w:val="auto"/>
              </w:rPr>
            </w:pPr>
          </w:p>
        </w:tc>
        <w:tc>
          <w:tcPr>
            <w:tcW w:w="44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2,840</w:t>
            </w:r>
          </w:p>
        </w:tc>
        <w:tc>
          <w:tcPr>
            <w:tcW w:w="220" w:type="dxa"/>
            <w:vAlign w:val="bottom"/>
          </w:tcPr>
          <w:p>
            <w:pPr>
              <w:spacing w:after="0"/>
              <w:rPr>
                <w:sz w:val="14"/>
                <w:szCs w:val="14"/>
                <w:color w:val="auto"/>
              </w:rPr>
            </w:pPr>
          </w:p>
        </w:tc>
        <w:tc>
          <w:tcPr>
            <w:tcW w:w="940" w:type="dxa"/>
            <w:vAlign w:val="bottom"/>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14 </w:t>
            </w:r>
            <w:r>
              <w:rPr>
                <w:rFonts w:ascii="Times New Roman" w:cs="Times New Roman" w:eastAsia="Times New Roman" w:hAnsi="Times New Roman"/>
                <w:sz w:val="18"/>
                <w:szCs w:val="18"/>
                <w:i w:val="1"/>
                <w:iCs w:val="1"/>
                <w:color w:val="auto"/>
                <w:vertAlign w:val="superscript"/>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Property rental income</w:t>
            </w:r>
          </w:p>
        </w:tc>
        <w:tc>
          <w:tcPr>
            <w:tcW w:w="4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19,427</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81 </w:t>
            </w:r>
            <w:r>
              <w:rPr>
                <w:rFonts w:ascii="Times New Roman" w:cs="Times New Roman" w:eastAsia="Times New Roman" w:hAnsi="Times New Roman"/>
                <w:sz w:val="18"/>
                <w:szCs w:val="18"/>
                <w:i w:val="1"/>
                <w:iCs w:val="1"/>
                <w:color w:val="auto"/>
                <w:vertAlign w:val="superscript"/>
              </w:rPr>
              <w:t>%</w:t>
            </w:r>
          </w:p>
        </w:tc>
        <w:tc>
          <w:tcPr>
            <w:tcW w:w="2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18,077</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86 </w:t>
            </w:r>
            <w:r>
              <w:rPr>
                <w:rFonts w:ascii="Times New Roman" w:cs="Times New Roman" w:eastAsia="Times New Roman" w:hAnsi="Times New Roman"/>
                <w:sz w:val="18"/>
                <w:szCs w:val="18"/>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3"/>
        </w:trPr>
        <w:tc>
          <w:tcPr>
            <w:tcW w:w="3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Total Segment Revenues</w:t>
            </w:r>
          </w:p>
        </w:tc>
        <w:tc>
          <w:tcPr>
            <w:tcW w:w="4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23,844</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jc w:val="right"/>
              <w:ind w:right="191"/>
              <w:spacing w:after="0" w:line="143"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6"/>
                <w:szCs w:val="16"/>
                <w:i w:val="1"/>
                <w:iCs w:val="1"/>
                <w:color w:val="auto"/>
                <w:vertAlign w:val="superscript"/>
              </w:rPr>
              <w:t>%</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20,917</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ind w:right="191"/>
              <w:spacing w:after="0" w:line="143"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6"/>
                <w:szCs w:val="16"/>
                <w:i w:val="1"/>
                <w:iCs w:val="1"/>
                <w:color w:val="auto"/>
                <w:vertAlign w:val="superscript"/>
              </w:rPr>
              <w:t>%</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480" w:type="dxa"/>
            <w:vAlign w:val="bottom"/>
            <w:tcBorders>
              <w:bottom w:val="single" w:sz="8" w:color="CCEEFF"/>
            </w:tcBorders>
          </w:tcPr>
          <w:p>
            <w:pPr>
              <w:jc w:val="right"/>
              <w:ind w:right="30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Cost of services and products (excl. depreciation and amortization)</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Live theater cost</w:t>
            </w: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(1,106)</w:t>
            </w:r>
          </w:p>
        </w:tc>
        <w:tc>
          <w:tcPr>
            <w:tcW w:w="880" w:type="dxa"/>
            <w:vAlign w:val="bottom"/>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(5)</w:t>
            </w:r>
            <w:r>
              <w:rPr>
                <w:rFonts w:ascii="Times New Roman" w:cs="Times New Roman" w:eastAsia="Times New Roman" w:hAnsi="Times New Roman"/>
                <w:sz w:val="18"/>
                <w:szCs w:val="18"/>
                <w:i w:val="1"/>
                <w:iCs w:val="1"/>
                <w:color w:val="auto"/>
                <w:vertAlign w:val="superscript"/>
              </w:rPr>
              <w:t>%</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(1,371)</w:t>
            </w:r>
          </w:p>
        </w:tc>
        <w:tc>
          <w:tcPr>
            <w:tcW w:w="940" w:type="dxa"/>
            <w:vAlign w:val="bottom"/>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(7)</w:t>
            </w:r>
            <w:r>
              <w:rPr>
                <w:rFonts w:ascii="Times New Roman" w:cs="Times New Roman" w:eastAsia="Times New Roman" w:hAnsi="Times New Roman"/>
                <w:sz w:val="18"/>
                <w:szCs w:val="18"/>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Property cost</w:t>
            </w:r>
          </w:p>
        </w:tc>
        <w:tc>
          <w:tcPr>
            <w:tcW w:w="4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(4,714)</w:t>
            </w:r>
          </w:p>
        </w:tc>
        <w:tc>
          <w:tcPr>
            <w:tcW w:w="880" w:type="dxa"/>
            <w:vAlign w:val="bottom"/>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(20)</w:t>
            </w:r>
            <w:r>
              <w:rPr>
                <w:rFonts w:ascii="Times New Roman" w:cs="Times New Roman" w:eastAsia="Times New Roman" w:hAnsi="Times New Roman"/>
                <w:sz w:val="18"/>
                <w:szCs w:val="18"/>
                <w:i w:val="1"/>
                <w:iCs w:val="1"/>
                <w:color w:val="auto"/>
                <w:vertAlign w:val="superscript"/>
              </w:rPr>
              <w: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(4,401)</w:t>
            </w:r>
          </w:p>
        </w:tc>
        <w:tc>
          <w:tcPr>
            <w:tcW w:w="940" w:type="dxa"/>
            <w:vAlign w:val="bottom"/>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(21)</w:t>
            </w:r>
            <w:r>
              <w:rPr>
                <w:rFonts w:ascii="Times New Roman" w:cs="Times New Roman" w:eastAsia="Times New Roman" w:hAnsi="Times New Roman"/>
                <w:sz w:val="18"/>
                <w:szCs w:val="18"/>
                <w:i w:val="1"/>
                <w:iCs w:val="1"/>
                <w:color w:val="auto"/>
                <w:vertAlign w:val="superscript"/>
              </w:rPr>
              <w:t>%</w:t>
            </w:r>
          </w:p>
        </w:tc>
        <w:tc>
          <w:tcPr>
            <w:tcW w:w="220" w:type="dxa"/>
            <w:vAlign w:val="bottom"/>
          </w:tcPr>
          <w:p>
            <w:pPr>
              <w:spacing w:after="0"/>
              <w:rPr>
                <w:sz w:val="14"/>
                <w:szCs w:val="14"/>
                <w:color w:val="auto"/>
              </w:rPr>
            </w:pP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(7) %</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Occupancy expense</w:t>
            </w:r>
          </w:p>
        </w:tc>
        <w:tc>
          <w:tcPr>
            <w:tcW w:w="4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(3,617)</w:t>
            </w:r>
          </w:p>
        </w:tc>
        <w:tc>
          <w:tcPr>
            <w:tcW w:w="880" w:type="dxa"/>
            <w:vAlign w:val="bottom"/>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(15)</w:t>
            </w:r>
            <w:r>
              <w:rPr>
                <w:rFonts w:ascii="Times New Roman" w:cs="Times New Roman" w:eastAsia="Times New Roman" w:hAnsi="Times New Roman"/>
                <w:sz w:val="18"/>
                <w:szCs w:val="18"/>
                <w:i w:val="1"/>
                <w:iCs w:val="1"/>
                <w:color w:val="auto"/>
                <w:vertAlign w:val="superscript"/>
              </w:rPr>
              <w:t>%</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(3,270)</w:t>
            </w:r>
          </w:p>
        </w:tc>
        <w:tc>
          <w:tcPr>
            <w:tcW w:w="940" w:type="dxa"/>
            <w:vAlign w:val="bottom"/>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(16)</w:t>
            </w:r>
            <w:r>
              <w:rPr>
                <w:rFonts w:ascii="Times New Roman" w:cs="Times New Roman" w:eastAsia="Times New Roman" w:hAnsi="Times New Roman"/>
                <w:sz w:val="18"/>
                <w:szCs w:val="18"/>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(11) %</w:t>
            </w:r>
          </w:p>
        </w:tc>
        <w:tc>
          <w:tcPr>
            <w:tcW w:w="0" w:type="dxa"/>
            <w:vAlign w:val="bottom"/>
          </w:tcPr>
          <w:p>
            <w:pPr>
              <w:spacing w:after="0"/>
              <w:rPr>
                <w:sz w:val="1"/>
                <w:szCs w:val="1"/>
                <w:color w:val="auto"/>
              </w:rPr>
            </w:pPr>
          </w:p>
        </w:tc>
      </w:tr>
      <w:tr>
        <w:trPr>
          <w:trHeight w:val="325"/>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Depreciation, amortization, and general and administrative expense</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(4,255)</w:t>
            </w:r>
          </w:p>
        </w:tc>
        <w:tc>
          <w:tcPr>
            <w:tcW w:w="880" w:type="dxa"/>
            <w:vAlign w:val="bottom"/>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(18)</w:t>
            </w:r>
            <w:r>
              <w:rPr>
                <w:rFonts w:ascii="Times New Roman" w:cs="Times New Roman" w:eastAsia="Times New Roman" w:hAnsi="Times New Roman"/>
                <w:sz w:val="18"/>
                <w:szCs w:val="18"/>
                <w:i w:val="1"/>
                <w:iCs w:val="1"/>
                <w:color w:val="auto"/>
                <w:vertAlign w:val="superscript"/>
              </w:rPr>
              <w:t>%</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(3,522)</w:t>
            </w:r>
          </w:p>
        </w:tc>
        <w:tc>
          <w:tcPr>
            <w:tcW w:w="940" w:type="dxa"/>
            <w:vAlign w:val="bottom"/>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(17)</w:t>
            </w:r>
            <w:r>
              <w:rPr>
                <w:rFonts w:ascii="Times New Roman" w:cs="Times New Roman" w:eastAsia="Times New Roman" w:hAnsi="Times New Roman"/>
                <w:sz w:val="18"/>
                <w:szCs w:val="18"/>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(21) %</w:t>
            </w:r>
          </w:p>
        </w:tc>
        <w:tc>
          <w:tcPr>
            <w:tcW w:w="0" w:type="dxa"/>
            <w:vAlign w:val="bottom"/>
          </w:tcPr>
          <w:p>
            <w:pPr>
              <w:spacing w:after="0"/>
              <w:rPr>
                <w:sz w:val="1"/>
                <w:szCs w:val="1"/>
                <w:color w:val="auto"/>
              </w:rPr>
            </w:pPr>
          </w:p>
        </w:tc>
      </w:tr>
      <w:tr>
        <w:trPr>
          <w:trHeight w:val="16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(2,141)</w:t>
            </w:r>
          </w:p>
        </w:tc>
        <w:tc>
          <w:tcPr>
            <w:tcW w:w="220" w:type="dxa"/>
            <w:vAlign w:val="bottom"/>
          </w:tcPr>
          <w:p>
            <w:pPr>
              <w:spacing w:after="0"/>
              <w:rPr>
                <w:sz w:val="14"/>
                <w:szCs w:val="14"/>
                <w:color w:val="auto"/>
              </w:rPr>
            </w:pPr>
          </w:p>
        </w:tc>
        <w:tc>
          <w:tcPr>
            <w:tcW w:w="880" w:type="dxa"/>
            <w:vAlign w:val="bottom"/>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(9)</w:t>
            </w:r>
            <w:r>
              <w:rPr>
                <w:rFonts w:ascii="Times New Roman" w:cs="Times New Roman" w:eastAsia="Times New Roman" w:hAnsi="Times New Roman"/>
                <w:sz w:val="18"/>
                <w:szCs w:val="18"/>
                <w:i w:val="1"/>
                <w:iCs w:val="1"/>
                <w:color w:val="auto"/>
                <w:vertAlign w:val="superscript"/>
              </w:rPr>
              <w: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(1,424)</w:t>
            </w:r>
          </w:p>
        </w:tc>
        <w:tc>
          <w:tcPr>
            <w:tcW w:w="940" w:type="dxa"/>
            <w:vAlign w:val="bottom"/>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(7)</w:t>
            </w:r>
            <w:r>
              <w:rPr>
                <w:rFonts w:ascii="Times New Roman" w:cs="Times New Roman" w:eastAsia="Times New Roman" w:hAnsi="Times New Roman"/>
                <w:sz w:val="18"/>
                <w:szCs w:val="18"/>
                <w:i w:val="1"/>
                <w:iCs w:val="1"/>
                <w:color w:val="auto"/>
                <w:vertAlign w:val="superscript"/>
              </w:rPr>
              <w:t>%</w:t>
            </w:r>
          </w:p>
        </w:tc>
        <w:tc>
          <w:tcPr>
            <w:tcW w:w="220" w:type="dxa"/>
            <w:vAlign w:val="bottom"/>
          </w:tcPr>
          <w:p>
            <w:pPr>
              <w:spacing w:after="0"/>
              <w:rPr>
                <w:sz w:val="14"/>
                <w:szCs w:val="14"/>
                <w:color w:val="auto"/>
              </w:rPr>
            </w:pP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(50) %</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Total Segment Expenses</w:t>
            </w: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vMerge w:val="restart"/>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(66)</w:t>
            </w:r>
            <w:r>
              <w:rPr>
                <w:rFonts w:ascii="Times New Roman" w:cs="Times New Roman" w:eastAsia="Times New Roman" w:hAnsi="Times New Roman"/>
                <w:sz w:val="18"/>
                <w:szCs w:val="18"/>
                <w:i w:val="1"/>
                <w:iCs w:val="1"/>
                <w:color w:val="auto"/>
                <w:vertAlign w:val="superscript"/>
              </w:rPr>
              <w:t>%</w:t>
            </w: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vMerge w:val="restart"/>
            <w:shd w:val="clear" w:color="auto" w:fill="CCEEFF"/>
          </w:tcPr>
          <w:p>
            <w:pPr>
              <w:jc w:val="right"/>
              <w:ind w:right="191"/>
              <w:spacing w:after="0" w:line="163" w:lineRule="exact"/>
              <w:rPr>
                <w:sz w:val="20"/>
                <w:szCs w:val="20"/>
                <w:color w:val="auto"/>
              </w:rPr>
            </w:pPr>
            <w:r>
              <w:rPr>
                <w:rFonts w:ascii="Times New Roman" w:cs="Times New Roman" w:eastAsia="Times New Roman" w:hAnsi="Times New Roman"/>
                <w:sz w:val="10"/>
                <w:szCs w:val="10"/>
                <w:i w:val="1"/>
                <w:iCs w:val="1"/>
                <w:color w:val="auto"/>
              </w:rPr>
              <w:t>(67)</w:t>
            </w:r>
            <w:r>
              <w:rPr>
                <w:rFonts w:ascii="Times New Roman" w:cs="Times New Roman" w:eastAsia="Times New Roman" w:hAnsi="Times New Roman"/>
                <w:sz w:val="18"/>
                <w:szCs w:val="18"/>
                <w:i w:val="1"/>
                <w:iCs w:val="1"/>
                <w:color w:val="auto"/>
                <w:vertAlign w:val="superscript"/>
              </w:rPr>
              <w:t>%</w:t>
            </w:r>
          </w:p>
        </w:tc>
        <w:tc>
          <w:tcPr>
            <w:tcW w:w="220" w:type="dxa"/>
            <w:vAlign w:val="bottom"/>
            <w:vMerge w:val="restart"/>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shd w:val="clear" w:color="auto" w:fill="CCEEFF"/>
          </w:tcPr>
          <w:p>
            <w:pPr>
              <w:spacing w:after="0"/>
              <w:rPr>
                <w:sz w:val="12"/>
                <w:szCs w:val="12"/>
                <w:color w:val="auto"/>
              </w:rPr>
            </w:pP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(15,833)</w:t>
            </w:r>
          </w:p>
        </w:tc>
        <w:tc>
          <w:tcPr>
            <w:tcW w:w="2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(13,988)</w:t>
            </w:r>
          </w:p>
        </w:tc>
        <w:tc>
          <w:tcPr>
            <w:tcW w:w="94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3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(13) %</w:t>
            </w:r>
          </w:p>
        </w:tc>
        <w:tc>
          <w:tcPr>
            <w:tcW w:w="0" w:type="dxa"/>
            <w:vAlign w:val="bottom"/>
          </w:tcPr>
          <w:p>
            <w:pPr>
              <w:spacing w:after="0"/>
              <w:rPr>
                <w:sz w:val="1"/>
                <w:szCs w:val="1"/>
                <w:color w:val="auto"/>
              </w:rPr>
            </w:pPr>
          </w:p>
        </w:tc>
      </w:tr>
      <w:tr>
        <w:trPr>
          <w:trHeight w:val="134"/>
        </w:trPr>
        <w:tc>
          <w:tcPr>
            <w:tcW w:w="35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i w:val="1"/>
                <w:iCs w:val="1"/>
                <w:color w:val="auto"/>
              </w:rPr>
              <w:t>Segment Operating Income</w:t>
            </w:r>
          </w:p>
        </w:tc>
        <w:tc>
          <w:tcPr>
            <w:tcW w:w="420" w:type="dxa"/>
            <w:vAlign w:val="bottom"/>
            <w:tcBorders>
              <w:top w:val="single" w:sz="8" w:color="auto"/>
              <w:bottom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8,011</w:t>
            </w:r>
          </w:p>
        </w:tc>
        <w:tc>
          <w:tcPr>
            <w:tcW w:w="220" w:type="dxa"/>
            <w:vAlign w:val="bottom"/>
          </w:tcPr>
          <w:p>
            <w:pPr>
              <w:spacing w:after="0"/>
              <w:rPr>
                <w:sz w:val="11"/>
                <w:szCs w:val="11"/>
                <w:color w:val="auto"/>
              </w:rPr>
            </w:pPr>
          </w:p>
        </w:tc>
        <w:tc>
          <w:tcPr>
            <w:tcW w:w="880" w:type="dxa"/>
            <w:vAlign w:val="bottom"/>
          </w:tcPr>
          <w:p>
            <w:pPr>
              <w:jc w:val="right"/>
              <w:ind w:right="191"/>
              <w:spacing w:after="0" w:line="132" w:lineRule="exact"/>
              <w:rPr>
                <w:sz w:val="20"/>
                <w:szCs w:val="20"/>
                <w:color w:val="auto"/>
              </w:rPr>
            </w:pPr>
            <w:r>
              <w:rPr>
                <w:rFonts w:ascii="Times New Roman" w:cs="Times New Roman" w:eastAsia="Times New Roman" w:hAnsi="Times New Roman"/>
                <w:sz w:val="9"/>
                <w:szCs w:val="9"/>
                <w:i w:val="1"/>
                <w:iCs w:val="1"/>
                <w:color w:val="auto"/>
              </w:rPr>
              <w:t xml:space="preserve">34 </w:t>
            </w:r>
            <w:r>
              <w:rPr>
                <w:rFonts w:ascii="Times New Roman" w:cs="Times New Roman" w:eastAsia="Times New Roman" w:hAnsi="Times New Roman"/>
                <w:sz w:val="15"/>
                <w:szCs w:val="15"/>
                <w:i w:val="1"/>
                <w:iCs w:val="1"/>
                <w:color w:val="auto"/>
                <w:vertAlign w:val="superscript"/>
              </w:rPr>
              <w:t>%</w:t>
            </w:r>
          </w:p>
        </w:tc>
        <w:tc>
          <w:tcPr>
            <w:tcW w:w="2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10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6,929</w:t>
            </w:r>
          </w:p>
        </w:tc>
        <w:tc>
          <w:tcPr>
            <w:tcW w:w="220" w:type="dxa"/>
            <w:vAlign w:val="bottom"/>
          </w:tcPr>
          <w:p>
            <w:pPr>
              <w:spacing w:after="0"/>
              <w:rPr>
                <w:sz w:val="11"/>
                <w:szCs w:val="11"/>
                <w:color w:val="auto"/>
              </w:rPr>
            </w:pPr>
          </w:p>
        </w:tc>
        <w:tc>
          <w:tcPr>
            <w:tcW w:w="940" w:type="dxa"/>
            <w:vAlign w:val="bottom"/>
          </w:tcPr>
          <w:p>
            <w:pPr>
              <w:jc w:val="right"/>
              <w:ind w:right="191"/>
              <w:spacing w:after="0" w:line="132" w:lineRule="exact"/>
              <w:rPr>
                <w:sz w:val="20"/>
                <w:szCs w:val="20"/>
                <w:color w:val="auto"/>
              </w:rPr>
            </w:pPr>
            <w:r>
              <w:rPr>
                <w:rFonts w:ascii="Times New Roman" w:cs="Times New Roman" w:eastAsia="Times New Roman" w:hAnsi="Times New Roman"/>
                <w:sz w:val="9"/>
                <w:szCs w:val="9"/>
                <w:i w:val="1"/>
                <w:iCs w:val="1"/>
                <w:color w:val="auto"/>
              </w:rPr>
              <w:t xml:space="preserve">33 </w:t>
            </w:r>
            <w:r>
              <w:rPr>
                <w:rFonts w:ascii="Times New Roman" w:cs="Times New Roman" w:eastAsia="Times New Roman" w:hAnsi="Times New Roman"/>
                <w:sz w:val="15"/>
                <w:szCs w:val="15"/>
                <w:i w:val="1"/>
                <w:iCs w:val="1"/>
                <w:color w:val="auto"/>
                <w:vertAlign w:val="superscript"/>
              </w:rPr>
              <w:t>%</w:t>
            </w:r>
          </w:p>
        </w:tc>
        <w:tc>
          <w:tcPr>
            <w:tcW w:w="22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16</w:t>
            </w:r>
          </w:p>
        </w:tc>
        <w:tc>
          <w:tcPr>
            <w:tcW w:w="480" w:type="dxa"/>
            <w:vAlign w:val="bottom"/>
          </w:tcPr>
          <w:p>
            <w:pPr>
              <w:jc w:val="right"/>
              <w:ind w:right="30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Estate segment operating income</w:t>
      </w:r>
    </w:p>
    <w:p>
      <w:pPr>
        <w:spacing w:after="0" w:line="32"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4"/>
          <w:szCs w:val="14"/>
          <w:color w:val="auto"/>
        </w:rPr>
        <w:t xml:space="preserve">Real Estate segment operating income increased by 16%, or $1.1 million, to $8.0 million for the year ended December 31, 2017 compared to 2016, primarily attributable to: an additional $1.4 million in fees recovered as part of the Stomp settlement ($1.8 million of fees recovered revenue in 2017, including the final settlement received in March 2018, less $415,000 in legal fee cost recovery recorded in 2016). For more information about the legal expense, please refer to </w:t>
      </w:r>
      <w:r>
        <w:rPr>
          <w:rFonts w:ascii="Times New Roman" w:cs="Times New Roman" w:eastAsia="Times New Roman" w:hAnsi="Times New Roman"/>
          <w:sz w:val="14"/>
          <w:szCs w:val="14"/>
          <w:i w:val="1"/>
          <w:iCs w:val="1"/>
          <w:color w:val="auto"/>
        </w:rPr>
        <w:t>Note 12 – Commitments and Contingencies</w:t>
      </w:r>
      <w:r>
        <w:rPr>
          <w:rFonts w:ascii="Times New Roman" w:cs="Times New Roman" w:eastAsia="Times New Roman" w:hAnsi="Times New Roman"/>
          <w:sz w:val="14"/>
          <w:szCs w:val="14"/>
          <w:color w:val="auto"/>
        </w:rPr>
        <w:t xml:space="preserve"> 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on this report. This was offset by an increase in general and administrative costs. Please refer below for further explanation.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3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Real estate revenue for the year ended December 31, 2017 increased by 14% or $2.9 million, mainly driven by fees recovered of $1.8 million in relation to the Stomp settlement, increased rental income as part of the expansion of our Newmarket site in Brisbane Australia, as well as additional rental income from the Newmarket office building purchased in November 2016, the recognition of business interruption insurance on our Courtenay Central property and parking structure, as well as the impact of the favorable foreign exchange rates on our Australia and New Zealand operations. This was partially offset by the decrease in property rental income attributable to Courtenay Central that was closed for most of Q1 and a reduction in revenue from our live theater operations and our Courtenay Central property and parking structure. Shown below is the revenue breakdown by country:</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0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20" w:type="dxa"/>
            <w:vAlign w:val="bottom"/>
            <w:vMerge w:val="restart"/>
          </w:tcPr>
          <w:p>
            <w:pPr>
              <w:spacing w:after="0"/>
              <w:rPr>
                <w:sz w:val="12"/>
                <w:szCs w:val="12"/>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2"/>
                <w:szCs w:val="12"/>
                <w:b w:val="1"/>
                <w:bCs w:val="1"/>
                <w:color w:val="auto"/>
              </w:rPr>
              <w:t>2017 vs. 2016</w:t>
            </w:r>
          </w:p>
        </w:tc>
        <w:tc>
          <w:tcPr>
            <w:tcW w:w="0" w:type="dxa"/>
            <w:vAlign w:val="bottom"/>
          </w:tcPr>
          <w:p>
            <w:pPr>
              <w:spacing w:after="0"/>
              <w:rPr>
                <w:sz w:val="1"/>
                <w:szCs w:val="1"/>
                <w:color w:val="auto"/>
              </w:rPr>
            </w:pPr>
          </w:p>
        </w:tc>
      </w:tr>
      <w:tr>
        <w:trPr>
          <w:trHeight w:val="140"/>
        </w:trPr>
        <w:tc>
          <w:tcPr>
            <w:tcW w:w="33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Favorable / (Unfavorable)</w:t>
            </w:r>
          </w:p>
        </w:tc>
        <w:tc>
          <w:tcPr>
            <w:tcW w:w="0" w:type="dxa"/>
            <w:vAlign w:val="bottom"/>
          </w:tcPr>
          <w:p>
            <w:pPr>
              <w:spacing w:after="0"/>
              <w:rPr>
                <w:sz w:val="1"/>
                <w:szCs w:val="1"/>
                <w:color w:val="auto"/>
              </w:rPr>
            </w:pPr>
          </w:p>
        </w:tc>
      </w:tr>
      <w:tr>
        <w:trPr>
          <w:trHeight w:val="152"/>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4,739</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8"/>
              <w:spacing w:after="0" w:line="152" w:lineRule="exact"/>
              <w:rPr>
                <w:sz w:val="20"/>
                <w:szCs w:val="20"/>
                <w:color w:val="auto"/>
              </w:rPr>
            </w:pPr>
            <w:r>
              <w:rPr>
                <w:rFonts w:ascii="Times New Roman" w:cs="Times New Roman" w:eastAsia="Times New Roman" w:hAnsi="Times New Roman"/>
                <w:sz w:val="9"/>
                <w:szCs w:val="9"/>
                <w:i w:val="1"/>
                <w:iCs w:val="1"/>
                <w:color w:val="auto"/>
              </w:rPr>
              <w:t xml:space="preserve">20 </w:t>
            </w:r>
            <w:r>
              <w:rPr>
                <w:rFonts w:ascii="Times New Roman" w:cs="Times New Roman" w:eastAsia="Times New Roman" w:hAnsi="Times New Roman"/>
                <w:sz w:val="17"/>
                <w:szCs w:val="17"/>
                <w:i w:val="1"/>
                <w:iCs w:val="1"/>
                <w:color w:val="auto"/>
                <w:vertAlign w:val="superscript"/>
              </w:rPr>
              <w:t>%</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3,271</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88"/>
              <w:spacing w:after="0" w:line="152" w:lineRule="exact"/>
              <w:rPr>
                <w:sz w:val="20"/>
                <w:szCs w:val="20"/>
                <w:color w:val="auto"/>
              </w:rPr>
            </w:pPr>
            <w:r>
              <w:rPr>
                <w:rFonts w:ascii="Times New Roman" w:cs="Times New Roman" w:eastAsia="Times New Roman" w:hAnsi="Times New Roman"/>
                <w:sz w:val="9"/>
                <w:szCs w:val="9"/>
                <w:i w:val="1"/>
                <w:iCs w:val="1"/>
                <w:color w:val="auto"/>
              </w:rPr>
              <w:t xml:space="preserve">16 </w:t>
            </w:r>
            <w:r>
              <w:rPr>
                <w:rFonts w:ascii="Times New Roman" w:cs="Times New Roman" w:eastAsia="Times New Roman" w:hAnsi="Times New Roman"/>
                <w:sz w:val="17"/>
                <w:szCs w:val="17"/>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49"/>
              <w:spacing w:after="0" w:line="152" w:lineRule="exact"/>
              <w:rPr>
                <w:sz w:val="20"/>
                <w:szCs w:val="20"/>
                <w:color w:val="auto"/>
              </w:rPr>
            </w:pPr>
            <w:r>
              <w:rPr>
                <w:rFonts w:ascii="Times New Roman" w:cs="Times New Roman" w:eastAsia="Times New Roman" w:hAnsi="Times New Roman"/>
                <w:sz w:val="9"/>
                <w:szCs w:val="9"/>
                <w:color w:val="auto"/>
              </w:rPr>
              <w:t xml:space="preserve">45 </w:t>
            </w:r>
            <w:r>
              <w:rPr>
                <w:rFonts w:ascii="Times New Roman" w:cs="Times New Roman" w:eastAsia="Times New Roman" w:hAnsi="Times New Roman"/>
                <w:sz w:val="17"/>
                <w:szCs w:val="17"/>
                <w:i w:val="1"/>
                <w:iCs w:val="1"/>
                <w:color w:val="auto"/>
                <w:vertAlign w:val="superscript"/>
              </w:rPr>
              <w:t>%</w:t>
            </w:r>
          </w:p>
        </w:tc>
        <w:tc>
          <w:tcPr>
            <w:tcW w:w="0" w:type="dxa"/>
            <w:vAlign w:val="bottom"/>
          </w:tcPr>
          <w:p>
            <w:pPr>
              <w:spacing w:after="0"/>
              <w:rPr>
                <w:sz w:val="1"/>
                <w:szCs w:val="1"/>
                <w:color w:val="auto"/>
              </w:rPr>
            </w:pPr>
          </w:p>
        </w:tc>
      </w:tr>
      <w:tr>
        <w:trPr>
          <w:trHeight w:val="163"/>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Australia</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14,945</w:t>
            </w:r>
          </w:p>
        </w:tc>
        <w:tc>
          <w:tcPr>
            <w:tcW w:w="1100" w:type="dxa"/>
            <w:vAlign w:val="bottom"/>
            <w:gridSpan w:val="2"/>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63 </w:t>
            </w:r>
            <w:r>
              <w:rPr>
                <w:rFonts w:ascii="Times New Roman" w:cs="Times New Roman" w:eastAsia="Times New Roman" w:hAnsi="Times New Roman"/>
                <w:sz w:val="18"/>
                <w:szCs w:val="18"/>
                <w:i w:val="1"/>
                <w:iCs w:val="1"/>
                <w:color w:val="auto"/>
                <w:vertAlign w:val="superscript"/>
              </w:rPr>
              <w: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13,334</w:t>
            </w:r>
          </w:p>
        </w:tc>
        <w:tc>
          <w:tcPr>
            <w:tcW w:w="1160" w:type="dxa"/>
            <w:vAlign w:val="bottom"/>
            <w:gridSpan w:val="2"/>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63 </w:t>
            </w:r>
            <w:r>
              <w:rPr>
                <w:rFonts w:ascii="Times New Roman" w:cs="Times New Roman" w:eastAsia="Times New Roman" w:hAnsi="Times New Roman"/>
                <w:sz w:val="18"/>
                <w:szCs w:val="18"/>
                <w:i w:val="1"/>
                <w:iCs w:val="1"/>
                <w:color w:val="auto"/>
                <w:vertAlign w:val="superscript"/>
              </w:rPr>
              <w:t>%</w:t>
            </w:r>
          </w:p>
        </w:tc>
        <w:tc>
          <w:tcPr>
            <w:tcW w:w="220" w:type="dxa"/>
            <w:vAlign w:val="bottom"/>
          </w:tcPr>
          <w:p>
            <w:pPr>
              <w:spacing w:after="0"/>
              <w:rPr>
                <w:sz w:val="14"/>
                <w:szCs w:val="14"/>
                <w:color w:val="auto"/>
              </w:rPr>
            </w:pPr>
          </w:p>
        </w:tc>
        <w:tc>
          <w:tcPr>
            <w:tcW w:w="1360" w:type="dxa"/>
            <w:vAlign w:val="bottom"/>
          </w:tcPr>
          <w:p>
            <w:pPr>
              <w:jc w:val="right"/>
              <w:ind w:right="349"/>
              <w:spacing w:after="0" w:line="163" w:lineRule="exact"/>
              <w:rPr>
                <w:sz w:val="20"/>
                <w:szCs w:val="20"/>
                <w:color w:val="auto"/>
              </w:rPr>
            </w:pPr>
            <w:r>
              <w:rPr>
                <w:rFonts w:ascii="Times New Roman" w:cs="Times New Roman" w:eastAsia="Times New Roman" w:hAnsi="Times New Roman"/>
                <w:sz w:val="10"/>
                <w:szCs w:val="10"/>
                <w:color w:val="auto"/>
              </w:rPr>
              <w:t xml:space="preserve">12 </w:t>
            </w:r>
            <w:r>
              <w:rPr>
                <w:rFonts w:ascii="Times New Roman" w:cs="Times New Roman" w:eastAsia="Times New Roman" w:hAnsi="Times New Roman"/>
                <w:sz w:val="18"/>
                <w:szCs w:val="18"/>
                <w:i w:val="1"/>
                <w:iCs w:val="1"/>
                <w:color w:val="auto"/>
                <w:vertAlign w:val="superscript"/>
              </w:rPr>
              <w:t>%</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Zealand</w:t>
            </w:r>
          </w:p>
        </w:tc>
        <w:tc>
          <w:tcPr>
            <w:tcW w:w="4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4,160</w:t>
            </w:r>
          </w:p>
        </w:tc>
        <w:tc>
          <w:tcPr>
            <w:tcW w:w="1100" w:type="dxa"/>
            <w:vAlign w:val="bottom"/>
            <w:gridSpan w:val="2"/>
            <w:shd w:val="clear" w:color="auto" w:fill="CCEEFF"/>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17 </w:t>
            </w:r>
            <w:r>
              <w:rPr>
                <w:rFonts w:ascii="Times New Roman" w:cs="Times New Roman" w:eastAsia="Times New Roman" w:hAnsi="Times New Roman"/>
                <w:sz w:val="18"/>
                <w:szCs w:val="18"/>
                <w:i w:val="1"/>
                <w:iCs w:val="1"/>
                <w:color w:val="auto"/>
                <w:vertAlign w:val="superscript"/>
              </w:rPr>
              <w:t>%</w:t>
            </w:r>
          </w:p>
        </w:tc>
        <w:tc>
          <w:tcPr>
            <w:tcW w:w="2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4,312</w:t>
            </w:r>
          </w:p>
        </w:tc>
        <w:tc>
          <w:tcPr>
            <w:tcW w:w="1160" w:type="dxa"/>
            <w:vAlign w:val="bottom"/>
            <w:gridSpan w:val="2"/>
            <w:shd w:val="clear" w:color="auto" w:fill="CCEEFF"/>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21 </w:t>
            </w:r>
            <w:r>
              <w:rPr>
                <w:rFonts w:ascii="Times New Roman" w:cs="Times New Roman" w:eastAsia="Times New Roman" w:hAnsi="Times New Roman"/>
                <w:sz w:val="18"/>
                <w:szCs w:val="18"/>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49"/>
              <w:spacing w:after="0" w:line="163" w:lineRule="exact"/>
              <w:rPr>
                <w:sz w:val="20"/>
                <w:szCs w:val="20"/>
                <w:color w:val="auto"/>
              </w:rPr>
            </w:pPr>
            <w:r>
              <w:rPr>
                <w:rFonts w:ascii="Times New Roman" w:cs="Times New Roman" w:eastAsia="Times New Roman" w:hAnsi="Times New Roman"/>
                <w:sz w:val="10"/>
                <w:szCs w:val="10"/>
                <w:color w:val="auto"/>
              </w:rPr>
              <w:t>(4)</w:t>
            </w:r>
            <w:r>
              <w:rPr>
                <w:rFonts w:ascii="Times New Roman" w:cs="Times New Roman" w:eastAsia="Times New Roman" w:hAnsi="Times New Roman"/>
                <w:sz w:val="18"/>
                <w:szCs w:val="18"/>
                <w:i w:val="1"/>
                <w:iCs w:val="1"/>
                <w:color w:val="auto"/>
                <w:vertAlign w:val="superscript"/>
              </w:rPr>
              <w:t>%</w:t>
            </w:r>
          </w:p>
        </w:tc>
        <w:tc>
          <w:tcPr>
            <w:tcW w:w="0" w:type="dxa"/>
            <w:vAlign w:val="bottom"/>
          </w:tcPr>
          <w:p>
            <w:pPr>
              <w:spacing w:after="0"/>
              <w:rPr>
                <w:sz w:val="1"/>
                <w:szCs w:val="1"/>
                <w:color w:val="auto"/>
              </w:rPr>
            </w:pPr>
          </w:p>
        </w:tc>
      </w:tr>
      <w:tr>
        <w:trPr>
          <w:trHeight w:val="134"/>
        </w:trPr>
        <w:tc>
          <w:tcPr>
            <w:tcW w:w="35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Total Segment Revenues</w:t>
            </w:r>
          </w:p>
        </w:tc>
        <w:tc>
          <w:tcPr>
            <w:tcW w:w="420" w:type="dxa"/>
            <w:vAlign w:val="bottom"/>
            <w:tcBorders>
              <w:bottom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23,844</w:t>
            </w:r>
          </w:p>
        </w:tc>
        <w:tc>
          <w:tcPr>
            <w:tcW w:w="1100" w:type="dxa"/>
            <w:vAlign w:val="bottom"/>
            <w:gridSpan w:val="2"/>
          </w:tcPr>
          <w:p>
            <w:pPr>
              <w:jc w:val="right"/>
              <w:ind w:right="188"/>
              <w:spacing w:after="0" w:line="132"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5"/>
                <w:szCs w:val="15"/>
                <w:i w:val="1"/>
                <w:iCs w:val="1"/>
                <w:color w:val="auto"/>
                <w:vertAlign w:val="superscript"/>
              </w:rPr>
              <w:t>%</w:t>
            </w:r>
          </w:p>
        </w:tc>
        <w:tc>
          <w:tcPr>
            <w:tcW w:w="200" w:type="dxa"/>
            <w:vAlign w:val="bottom"/>
          </w:tcPr>
          <w:p>
            <w:pPr>
              <w:spacing w:after="0"/>
              <w:rPr>
                <w:sz w:val="11"/>
                <w:szCs w:val="11"/>
                <w:color w:val="auto"/>
              </w:rPr>
            </w:pPr>
          </w:p>
        </w:tc>
        <w:tc>
          <w:tcPr>
            <w:tcW w:w="440" w:type="dxa"/>
            <w:vAlign w:val="bottom"/>
            <w:tcBorders>
              <w:bottom w:val="single" w:sz="8" w:color="auto"/>
            </w:tcBorders>
          </w:tcPr>
          <w:p>
            <w:pPr>
              <w:jc w:val="right"/>
              <w:ind w:right="10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20,917</w:t>
            </w:r>
          </w:p>
        </w:tc>
        <w:tc>
          <w:tcPr>
            <w:tcW w:w="1160" w:type="dxa"/>
            <w:vAlign w:val="bottom"/>
            <w:gridSpan w:val="2"/>
          </w:tcPr>
          <w:p>
            <w:pPr>
              <w:jc w:val="right"/>
              <w:ind w:right="188"/>
              <w:spacing w:after="0" w:line="132"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5"/>
                <w:szCs w:val="15"/>
                <w:i w:val="1"/>
                <w:iCs w:val="1"/>
                <w:color w:val="auto"/>
                <w:vertAlign w:val="superscript"/>
              </w:rPr>
              <w:t>%</w:t>
            </w:r>
          </w:p>
        </w:tc>
        <w:tc>
          <w:tcPr>
            <w:tcW w:w="220" w:type="dxa"/>
            <w:vAlign w:val="bottom"/>
          </w:tcPr>
          <w:p>
            <w:pPr>
              <w:spacing w:after="0"/>
              <w:rPr>
                <w:sz w:val="11"/>
                <w:szCs w:val="11"/>
                <w:color w:val="auto"/>
              </w:rPr>
            </w:pPr>
          </w:p>
        </w:tc>
        <w:tc>
          <w:tcPr>
            <w:tcW w:w="1360" w:type="dxa"/>
            <w:vAlign w:val="bottom"/>
          </w:tcPr>
          <w:p>
            <w:pPr>
              <w:jc w:val="right"/>
              <w:ind w:right="349"/>
              <w:spacing w:after="0" w:line="132" w:lineRule="exact"/>
              <w:rPr>
                <w:sz w:val="20"/>
                <w:szCs w:val="20"/>
                <w:color w:val="auto"/>
              </w:rPr>
            </w:pPr>
            <w:r>
              <w:rPr>
                <w:rFonts w:ascii="Times New Roman" w:cs="Times New Roman" w:eastAsia="Times New Roman" w:hAnsi="Times New Roman"/>
                <w:sz w:val="9"/>
                <w:szCs w:val="9"/>
                <w:color w:val="auto"/>
              </w:rPr>
              <w:t xml:space="preserve">14 </w:t>
            </w:r>
            <w:r>
              <w:rPr>
                <w:rFonts w:ascii="Times New Roman" w:cs="Times New Roman" w:eastAsia="Times New Roman" w:hAnsi="Times New Roman"/>
                <w:sz w:val="15"/>
                <w:szCs w:val="15"/>
                <w:i w:val="1"/>
                <w:iCs w:val="1"/>
                <w:color w:val="auto"/>
                <w:vertAlign w:val="superscript"/>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 and products (excluding depreciation and amortization)</w:t>
      </w:r>
    </w:p>
    <w:p>
      <w:pPr>
        <w:spacing w:after="0" w:line="3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4"/>
          <w:szCs w:val="14"/>
          <w:color w:val="auto"/>
        </w:rPr>
        <w:t>Operating expense for 2017 increased by 4%, or $394,000, as a result of a number of pre-opening costs associated with our recently developed Newmarket Village site. This was partially offset by a reduction in costs relating to our live theaters and Courtenay Central during the period it was closed.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general and administrative expense</w:t>
      </w:r>
    </w:p>
    <w:p>
      <w:pPr>
        <w:spacing w:after="0" w:line="3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Depreciation, amortization, general and administrative expense for 2017 increased by 29%, or $1.5 million, primarily driven by the increased salary costs due to staff expansion as we continue to develop our Real Estate capacity, including costs that had previously been incurred by our Cinema segment, as well as an increase in depreciation expense due to recent acquisitions and property enhancements. This has been partially offset by the reduction in doubtful debt expense.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3" w:right="7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NON-SEGMENT RESULTS – 2017 vs.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sale of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 on sale of assets for 2017 increased by $9.0 million, primarily due to the gain on sale realized in 2017 on the settlement of the Burwood land of $9.3 million</w:t>
      </w:r>
    </w:p>
    <w:p>
      <w:pPr>
        <w:spacing w:after="0" w:line="13"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4"/>
          <w:szCs w:val="14"/>
          <w:color w:val="auto"/>
        </w:rPr>
        <w:t>(AU$12.4 million), compared to the gain from the final closing of the second sale agreement of the Taupo property in New Zealand in the amount of $393,000 (NZ$585,000) realized in Q1 2016.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w:t>
      </w:r>
    </w:p>
    <w:p>
      <w:pPr>
        <w:spacing w:after="0" w:line="3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4"/>
          <w:szCs w:val="14"/>
          <w:color w:val="auto"/>
        </w:rPr>
        <w:t>Non-segment general and administrative expense for 2017 decreased by $1.8 million or 8%, to $19.9 million. This primarily relates to a reduction in professional services mainly relating to non-recurring one-off items incurred in 2016 including additional expenses incurred in connection with the 2015 year-end audit ($960,000) and expenses incurred in connection with the change in status of certain executives ($400,000) as well as 2017 savings in legal fees, and reduced occupancy costs due to the purchase of our new company headquarters. These were offset by additional costs incurred in our Australian and New Zealand corporate offices due to additional staff costs and the effects of foreign exchange movements.</w:t>
      </w:r>
    </w:p>
    <w:p>
      <w:pPr>
        <w:spacing w:after="0" w:line="11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Higher legal expenses in 2016 mainly relate to the defense of the derivative litigation, the arbitration of certain claims related to the termination of James J. Cotter, Jr. as our President and Chief Executive Officer and on a more limited basis, for the work undergone to improve corporate governance matters. While the legal costs incurred by the Company were undoubtedly high, we believe that the majority of these costs were thrust upon the Company as it became necessary to vigorously defend the Company’s position in the derivative litigation and to resolve Mr. Cotter, Jr.’s claims relating to his termination. As such, these costs should be treated as non-recurring in nature.</w:t>
      </w:r>
    </w:p>
    <w:p>
      <w:pPr>
        <w:spacing w:after="0" w:line="136"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 xml:space="preserve">For more information about the legal expense, please refer to </w:t>
      </w:r>
      <w:r>
        <w:rPr>
          <w:rFonts w:ascii="Times New Roman" w:cs="Times New Roman" w:eastAsia="Times New Roman" w:hAnsi="Times New Roman"/>
          <w:sz w:val="14"/>
          <w:szCs w:val="14"/>
          <w:i w:val="1"/>
          <w:iCs w:val="1"/>
          <w:color w:val="auto"/>
        </w:rPr>
        <w:t>Note 12 – Commitments and Contingencies</w:t>
      </w:r>
      <w:r>
        <w:rPr>
          <w:rFonts w:ascii="Times New Roman" w:cs="Times New Roman" w:eastAsia="Times New Roman" w:hAnsi="Times New Roman"/>
          <w:sz w:val="14"/>
          <w:szCs w:val="14"/>
          <w:color w:val="auto"/>
        </w:rPr>
        <w:t xml:space="preserve"> 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on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Casualty Gain</w:t>
      </w:r>
    </w:p>
    <w:p>
      <w:pPr>
        <w:spacing w:after="0" w:line="32"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4"/>
          <w:szCs w:val="14"/>
          <w:color w:val="auto"/>
        </w:rPr>
        <w:t xml:space="preserve">The $9.2 million represents the gain recognized on final insurance settlement relating to the earthquake damage on our Courtenay Central parking structure (excluding business interruption insurance recoveries). Our parking structure at Courtenay Central in Wellington, New Zealand was significantly damaged by the earthquake on November 14, 2016 and was subsequently demolished due to safety reasons. We filed an insurance claim to recover the impairment loss on the parking structure and the ancillary demolition costs. Refer to </w:t>
      </w:r>
      <w:r>
        <w:rPr>
          <w:rFonts w:ascii="Times New Roman" w:cs="Times New Roman" w:eastAsia="Times New Roman" w:hAnsi="Times New Roman"/>
          <w:sz w:val="14"/>
          <w:szCs w:val="14"/>
          <w:i w:val="1"/>
          <w:iCs w:val="1"/>
          <w:color w:val="auto"/>
        </w:rPr>
        <w:t>Note 19 – Insurance Recoveries on Impairment and Related Losses due to Earthquake</w:t>
      </w:r>
      <w:r>
        <w:rPr>
          <w:rFonts w:ascii="Times New Roman" w:cs="Times New Roman" w:eastAsia="Times New Roman" w:hAnsi="Times New Roman"/>
          <w:sz w:val="14"/>
          <w:szCs w:val="14"/>
          <w:color w:val="auto"/>
        </w:rPr>
        <w:t xml:space="preserve"> for further details.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On December 22, 2017, the U.S. Tax Cuts and Jobs Act of 2017 (the “Tax Act”) was signed into law. The Tax Act significantly changed the U.S. corporate income tax law by lowering the statutory corporate tax rate from 35% to 21%, imposing a one-time mandatory repatriation tax on deferred earnings of foreign subsidiaries, and changing how foreign earnings are subject to U.S. tax. We have not completed our determination of the implications of the Tax Act. However, we have reasonably estimated the impact of the Tax Act and recorded provisional amounts in our financial statements as of December 31, 2017, pursuant to the guidance of the U.S. Securities and Exchange Commission Staff Accounting Bulletin No. 118. We recorded income tax expense for the impact of the Tax Act of approximately $13.0 million. This net amount is primarily comprised of</w:t>
      </w:r>
    </w:p>
    <w:p>
      <w:pPr>
        <w:spacing w:after="0" w:line="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$8.3 million from re-measurement of federal net deferred tax assets resulting from the reduction in the U.S. statutory corporate tax rate and a provisional amount of $4.7 million fom the one-time mandatory repatriation tax on deferred earnings of our foreign subsidiaries. As we complete our analysis of the Tax Act, collect and prepare necessary data, and interpret any additional guidance issued by the U.S. Treasury Department and the IRS, we may make adjustments to the provisional amounts. Those adjustments may materially impact our provision for income taxes in the period in which the adjustments are made. The accounting for the tax effects of the Tax Act will be completed in 2018.</w:t>
      </w:r>
    </w:p>
    <w:p>
      <w:pPr>
        <w:spacing w:after="0" w:line="14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Income tax expense decreased by $683,000 or 17%, compared to 2016, mainly due to benefits recognized as the result of the dissolution of a non-operating overseas subsidiary, partially offset by an increase in pre-tax income and the provisional unfavorable effect of the Tax Act. Please refer to Note 9 of the Notes to Consolidated Financial Statements in Part II of this Annual Report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w:t>
      </w:r>
    </w:p>
    <w:p>
      <w:pPr>
        <w:spacing w:after="0" w:line="3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4"/>
          <w:szCs w:val="14"/>
          <w:color w:val="auto"/>
        </w:rPr>
        <w:t>Interest expense (net of interest income) decreased by $593,000, or 9%, mainly due to a reduction in the average balance outstanding. This was achieved due to the receipt of the insurance proceeds from the Courtenay Central parking structure of $20.0 million in May 2017, allowing us to fully pay down our Westpac loan in New Zealand. Interest income also includes the $115,000 of interest levied on the Stomp Settlement.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3" w:right="7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BUSINESS SEGMENT RESULTS – 2016 vs. 2015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Presented below is the comparison of the segment operating income for our two business segments for the years ended December 31, 2016 and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restart"/>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4"/>
            <w:vMerge w:val="restart"/>
          </w:tcPr>
          <w:p>
            <w:pPr>
              <w:jc w:val="right"/>
              <w:ind w:right="342"/>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ind w:right="662"/>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40"/>
        </w:trPr>
        <w:tc>
          <w:tcPr>
            <w:tcW w:w="2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Favorable/(Unfavorable)</w:t>
            </w:r>
          </w:p>
        </w:tc>
        <w:tc>
          <w:tcPr>
            <w:tcW w:w="0" w:type="dxa"/>
            <w:vAlign w:val="bottom"/>
          </w:tcPr>
          <w:p>
            <w:pPr>
              <w:spacing w:after="0"/>
              <w:rPr>
                <w:sz w:val="1"/>
                <w:szCs w:val="1"/>
                <w:color w:val="auto"/>
              </w:rPr>
            </w:pPr>
          </w:p>
        </w:tc>
      </w:tr>
      <w:tr>
        <w:trPr>
          <w:trHeight w:val="164"/>
        </w:trPr>
        <w:tc>
          <w:tcPr>
            <w:tcW w:w="3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w w:val="99"/>
              </w:rPr>
              <w:t>Cinema</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w w:val="95"/>
              </w:rPr>
              <w:t>Real Estate</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Cinema</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w w:val="94"/>
              </w:rPr>
              <w:t>Cinema</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0" w:type="dxa"/>
            <w:vAlign w:val="bottom"/>
          </w:tcPr>
          <w:p>
            <w:pPr>
              <w:spacing w:after="0"/>
              <w:rPr>
                <w:sz w:val="1"/>
                <w:szCs w:val="1"/>
                <w:color w:val="auto"/>
              </w:rPr>
            </w:pPr>
          </w:p>
        </w:tc>
      </w:tr>
      <w:tr>
        <w:trPr>
          <w:trHeight w:val="163"/>
        </w:trPr>
        <w:tc>
          <w:tcPr>
            <w:tcW w:w="36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Segments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256,922</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20,917</w:t>
            </w:r>
          </w:p>
        </w:tc>
        <w:tc>
          <w:tcPr>
            <w:tcW w:w="2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242,823</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21,579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6 %</w:t>
            </w:r>
          </w:p>
        </w:tc>
        <w:tc>
          <w:tcPr>
            <w:tcW w:w="10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74"/>
        </w:trPr>
        <w:tc>
          <w:tcPr>
            <w:tcW w:w="36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Segment Operating Expenses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600" w:type="dxa"/>
            <w:vAlign w:val="bottom"/>
            <w:tcBorders>
              <w:right w:val="single" w:sz="8" w:color="CCEEFF"/>
            </w:tcBorders>
            <w:gridSpan w:val="4"/>
            <w:shd w:val="clear" w:color="auto" w:fill="CCEEFF"/>
          </w:tcPr>
          <w:p>
            <w:pPr>
              <w:ind w:left="100"/>
              <w:spacing w:after="0" w:line="102" w:lineRule="exact"/>
              <w:rPr>
                <w:sz w:val="20"/>
                <w:szCs w:val="20"/>
                <w:color w:val="auto"/>
              </w:rPr>
            </w:pPr>
            <w:r>
              <w:rPr>
                <w:rFonts w:ascii="Times New Roman" w:cs="Times New Roman" w:eastAsia="Times New Roman" w:hAnsi="Times New Roman"/>
                <w:sz w:val="10"/>
                <w:szCs w:val="10"/>
                <w:color w:val="auto"/>
              </w:rPr>
              <w:t>Cost of services and products (excluding depreciation and</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600" w:type="dxa"/>
            <w:vAlign w:val="bottom"/>
            <w:tcBorders>
              <w:right w:val="single" w:sz="8" w:color="CCEEFF"/>
            </w:tcBorders>
            <w:gridSpan w:val="4"/>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amortization)</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(205,889)</w:t>
            </w:r>
          </w:p>
        </w:tc>
        <w:tc>
          <w:tcPr>
            <w:tcW w:w="2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60" w:type="dxa"/>
            <w:vAlign w:val="bottom"/>
            <w:tcBorders>
              <w:right w:val="single" w:sz="8" w:color="CCEEFF"/>
            </w:tcBorders>
            <w:gridSpan w:val="3"/>
            <w:shd w:val="clear" w:color="auto" w:fill="CCEEFF"/>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rPr>
              <w:t>(9,044)</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(196,544)</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(10,948)</w:t>
            </w:r>
          </w:p>
        </w:tc>
        <w:tc>
          <w:tcPr>
            <w:tcW w:w="2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2"/>
              <w:spacing w:after="0" w:line="137" w:lineRule="exact"/>
              <w:rPr>
                <w:sz w:val="20"/>
                <w:szCs w:val="20"/>
                <w:color w:val="auto"/>
              </w:rPr>
            </w:pPr>
            <w:r>
              <w:rPr>
                <w:rFonts w:ascii="Times New Roman" w:cs="Times New Roman" w:eastAsia="Times New Roman" w:hAnsi="Times New Roman"/>
                <w:sz w:val="12"/>
                <w:szCs w:val="12"/>
                <w:color w:val="auto"/>
              </w:rPr>
              <w:t>(5)%</w:t>
            </w:r>
          </w:p>
        </w:tc>
        <w:tc>
          <w:tcPr>
            <w:tcW w:w="1080" w:type="dxa"/>
            <w:vAlign w:val="bottom"/>
            <w:gridSpan w:val="2"/>
            <w:shd w:val="clear" w:color="auto" w:fill="CCEEFF"/>
          </w:tcPr>
          <w:p>
            <w:pPr>
              <w:jc w:val="right"/>
              <w:ind w:right="102"/>
              <w:spacing w:after="0" w:line="137" w:lineRule="exact"/>
              <w:rPr>
                <w:sz w:val="20"/>
                <w:szCs w:val="20"/>
                <w:color w:val="auto"/>
              </w:rPr>
            </w:pPr>
            <w:r>
              <w:rPr>
                <w:rFonts w:ascii="Times New Roman" w:cs="Times New Roman" w:eastAsia="Times New Roman" w:hAnsi="Times New Roman"/>
                <w:sz w:val="12"/>
                <w:szCs w:val="12"/>
                <w:color w:val="auto"/>
              </w:rPr>
              <w:t>17 %</w:t>
            </w:r>
          </w:p>
        </w:tc>
        <w:tc>
          <w:tcPr>
            <w:tcW w:w="0" w:type="dxa"/>
            <w:vAlign w:val="bottom"/>
          </w:tcPr>
          <w:p>
            <w:pPr>
              <w:spacing w:after="0"/>
              <w:rPr>
                <w:sz w:val="1"/>
                <w:szCs w:val="1"/>
                <w:color w:val="auto"/>
              </w:rPr>
            </w:pPr>
          </w:p>
        </w:tc>
      </w:tr>
      <w:tr>
        <w:trPr>
          <w:trHeight w:val="174"/>
        </w:trPr>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(11,772)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(3,522)</w:t>
            </w:r>
          </w:p>
        </w:tc>
        <w:tc>
          <w:tcPr>
            <w:tcW w:w="2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(11,161)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(3,107)</w:t>
            </w:r>
          </w:p>
        </w:tc>
        <w:tc>
          <w:tcPr>
            <w:tcW w:w="220" w:type="dxa"/>
            <w:vAlign w:val="bottom"/>
          </w:tcPr>
          <w:p>
            <w:pPr>
              <w:spacing w:after="0"/>
              <w:rPr>
                <w:sz w:val="15"/>
                <w:szCs w:val="15"/>
                <w:color w:val="auto"/>
              </w:rPr>
            </w:pPr>
          </w:p>
        </w:tc>
        <w:tc>
          <w:tcPr>
            <w:tcW w:w="640" w:type="dxa"/>
            <w:vAlign w:val="bottom"/>
            <w:gridSpan w:val="3"/>
          </w:tcPr>
          <w:p>
            <w:pPr>
              <w:jc w:val="right"/>
              <w:ind w:right="82"/>
              <w:spacing w:after="0"/>
              <w:rPr>
                <w:sz w:val="20"/>
                <w:szCs w:val="20"/>
                <w:color w:val="auto"/>
              </w:rPr>
            </w:pPr>
            <w:r>
              <w:rPr>
                <w:rFonts w:ascii="Times New Roman" w:cs="Times New Roman" w:eastAsia="Times New Roman" w:hAnsi="Times New Roman"/>
                <w:sz w:val="12"/>
                <w:szCs w:val="12"/>
                <w:color w:val="auto"/>
              </w:rPr>
              <w:t>(5)%</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(3,763)</w:t>
            </w:r>
          </w:p>
        </w:tc>
        <w:tc>
          <w:tcPr>
            <w:tcW w:w="2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(1,422)</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(728)</w:t>
            </w:r>
          </w:p>
        </w:tc>
        <w:tc>
          <w:tcPr>
            <w:tcW w:w="2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(25)%</w:t>
            </w:r>
          </w:p>
        </w:tc>
        <w:tc>
          <w:tcPr>
            <w:tcW w:w="10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(95)%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Total segment expenses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(221,424)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(13,988)</w:t>
            </w: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(210,705)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(14,783)</w:t>
            </w:r>
          </w:p>
        </w:tc>
        <w:tc>
          <w:tcPr>
            <w:tcW w:w="220" w:type="dxa"/>
            <w:vAlign w:val="bottom"/>
          </w:tcPr>
          <w:p>
            <w:pPr>
              <w:spacing w:after="0"/>
              <w:rPr>
                <w:sz w:val="14"/>
                <w:szCs w:val="14"/>
                <w:color w:val="auto"/>
              </w:rPr>
            </w:pPr>
          </w:p>
        </w:tc>
        <w:tc>
          <w:tcPr>
            <w:tcW w:w="640" w:type="dxa"/>
            <w:vAlign w:val="bottom"/>
            <w:gridSpan w:val="3"/>
          </w:tcPr>
          <w:p>
            <w:pPr>
              <w:jc w:val="right"/>
              <w:ind w:right="82"/>
              <w:spacing w:after="0"/>
              <w:rPr>
                <w:sz w:val="20"/>
                <w:szCs w:val="20"/>
                <w:color w:val="auto"/>
              </w:rPr>
            </w:pPr>
            <w:r>
              <w:rPr>
                <w:rFonts w:ascii="Times New Roman" w:cs="Times New Roman" w:eastAsia="Times New Roman" w:hAnsi="Times New Roman"/>
                <w:sz w:val="12"/>
                <w:szCs w:val="12"/>
                <w:color w:val="auto"/>
              </w:rPr>
              <w:t>(5)%</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163"/>
        </w:trPr>
        <w:tc>
          <w:tcPr>
            <w:tcW w:w="3600" w:type="dxa"/>
            <w:vAlign w:val="bottom"/>
            <w:tcBorders>
              <w:top w:val="single" w:sz="8" w:color="CCEEFF"/>
              <w:bottom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35,498</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6,929</w:t>
            </w:r>
          </w:p>
        </w:tc>
        <w:tc>
          <w:tcPr>
            <w:tcW w:w="2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32,118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6,796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11 %</w:t>
            </w:r>
          </w:p>
        </w:tc>
        <w:tc>
          <w:tcPr>
            <w:tcW w:w="1080" w:type="dxa"/>
            <w:vAlign w:val="bottom"/>
            <w:tcBorders>
              <w:top w:val="single" w:sz="8" w:color="CCEEFF"/>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2 %</w:t>
            </w:r>
          </w:p>
        </w:tc>
        <w:tc>
          <w:tcPr>
            <w:tcW w:w="0" w:type="dxa"/>
            <w:vAlign w:val="bottom"/>
          </w:tcPr>
          <w:p>
            <w:pPr>
              <w:spacing w:after="0"/>
              <w:rPr>
                <w:sz w:val="1"/>
                <w:szCs w:val="1"/>
                <w:color w:val="auto"/>
              </w:rPr>
            </w:pPr>
          </w:p>
        </w:tc>
      </w:tr>
      <w:tr>
        <w:trPr>
          <w:trHeight w:val="155"/>
        </w:trPr>
        <w:tc>
          <w:tcPr>
            <w:tcW w:w="3600" w:type="dxa"/>
            <w:vAlign w:val="bottom"/>
            <w:gridSpan w:val="4"/>
          </w:tcPr>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Breakdown by country:</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United States</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12,351</w:t>
            </w:r>
          </w:p>
        </w:tc>
        <w:tc>
          <w:tcPr>
            <w:tcW w:w="2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(450)</w:t>
            </w:r>
          </w:p>
        </w:tc>
        <w:tc>
          <w:tcPr>
            <w:tcW w:w="2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21 %</w:t>
            </w:r>
          </w:p>
        </w:tc>
        <w:tc>
          <w:tcPr>
            <w:tcW w:w="10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(254)%</w:t>
            </w:r>
          </w:p>
        </w:tc>
        <w:tc>
          <w:tcPr>
            <w:tcW w:w="0" w:type="dxa"/>
            <w:vAlign w:val="bottom"/>
          </w:tcPr>
          <w:p>
            <w:pPr>
              <w:spacing w:after="0"/>
              <w:rPr>
                <w:sz w:val="1"/>
                <w:szCs w:val="1"/>
                <w:color w:val="auto"/>
              </w:rPr>
            </w:pPr>
          </w:p>
        </w:tc>
      </w:tr>
      <w:tr>
        <w:trPr>
          <w:trHeight w:val="174"/>
        </w:trPr>
        <w:tc>
          <w:tcPr>
            <w:tcW w:w="3600" w:type="dxa"/>
            <w:vAlign w:val="bottom"/>
            <w:gridSpan w:val="4"/>
          </w:tcPr>
          <w:p>
            <w:pPr>
              <w:ind w:left="440"/>
              <w:spacing w:after="0"/>
              <w:rPr>
                <w:sz w:val="20"/>
                <w:szCs w:val="20"/>
                <w:color w:val="auto"/>
              </w:rPr>
            </w:pPr>
            <w:r>
              <w:rPr>
                <w:rFonts w:ascii="Times New Roman" w:cs="Times New Roman" w:eastAsia="Times New Roman" w:hAnsi="Times New Roman"/>
                <w:sz w:val="12"/>
                <w:szCs w:val="12"/>
                <w:color w:val="auto"/>
              </w:rPr>
              <w:t>Australia</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18,101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5,252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5,400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3"/>
          </w:tcPr>
          <w:p>
            <w:pPr>
              <w:jc w:val="right"/>
              <w:ind w:right="82"/>
              <w:spacing w:after="0"/>
              <w:rPr>
                <w:sz w:val="20"/>
                <w:szCs w:val="20"/>
                <w:color w:val="auto"/>
              </w:rPr>
            </w:pPr>
            <w:r>
              <w:rPr>
                <w:rFonts w:ascii="Times New Roman" w:cs="Times New Roman" w:eastAsia="Times New Roman" w:hAnsi="Times New Roman"/>
                <w:sz w:val="12"/>
                <w:szCs w:val="12"/>
                <w:color w:val="auto"/>
              </w:rPr>
              <w:t>1 %</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New Zealand</w:t>
            </w: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5,046</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right w:val="single" w:sz="8" w:color="CCEEFF"/>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w:t>
            </w: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1,846</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28 %</w:t>
            </w:r>
          </w:p>
        </w:tc>
        <w:tc>
          <w:tcPr>
            <w:tcW w:w="10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35,498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6,929</w:t>
            </w:r>
          </w:p>
        </w:tc>
        <w:tc>
          <w:tcPr>
            <w:tcW w:w="240" w:type="dxa"/>
            <w:vAlign w:val="bottom"/>
          </w:tcPr>
          <w:p>
            <w:pPr>
              <w:spacing w:after="0"/>
              <w:rPr>
                <w:sz w:val="12"/>
                <w:szCs w:val="12"/>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32,120</w:t>
            </w:r>
          </w:p>
        </w:tc>
        <w:tc>
          <w:tcPr>
            <w:tcW w:w="100" w:type="dxa"/>
            <w:vAlign w:val="bottom"/>
          </w:tcPr>
          <w:p>
            <w:pPr>
              <w:spacing w:after="0"/>
              <w:rPr>
                <w:sz w:val="12"/>
                <w:szCs w:val="12"/>
                <w:color w:val="auto"/>
              </w:rPr>
            </w:pPr>
          </w:p>
        </w:tc>
        <w:tc>
          <w:tcPr>
            <w:tcW w:w="52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6,796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11 %</w:t>
            </w: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2 %</w:t>
            </w:r>
          </w:p>
        </w:tc>
        <w:tc>
          <w:tcPr>
            <w:tcW w:w="0" w:type="dxa"/>
            <w:vAlign w:val="bottom"/>
          </w:tcPr>
          <w:p>
            <w:pPr>
              <w:spacing w:after="0"/>
              <w:rPr>
                <w:sz w:val="1"/>
                <w:szCs w:val="1"/>
                <w:color w:val="auto"/>
              </w:rPr>
            </w:pPr>
          </w:p>
        </w:tc>
      </w:tr>
      <w:tr>
        <w:trPr>
          <w:trHeight w:val="348"/>
        </w:trPr>
        <w:tc>
          <w:tcPr>
            <w:tcW w:w="3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discussion for each segment follows:</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Cinema Exhibition – 2016 vs. 2015</w:t>
            </w:r>
          </w:p>
        </w:tc>
        <w:tc>
          <w:tcPr>
            <w:tcW w:w="14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40" w:type="dxa"/>
            <w:vAlign w:val="bottom"/>
            <w:gridSpan w:val="2"/>
            <w:vMerge w:val="restart"/>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00" w:type="dxa"/>
            <w:vAlign w:val="bottom"/>
          </w:tcPr>
          <w:p>
            <w:pPr>
              <w:spacing w:after="0"/>
              <w:rPr>
                <w:sz w:val="24"/>
                <w:szCs w:val="24"/>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2016 vs. 2015</w:t>
            </w:r>
          </w:p>
        </w:tc>
        <w:tc>
          <w:tcPr>
            <w:tcW w:w="0" w:type="dxa"/>
            <w:vAlign w:val="bottom"/>
          </w:tcPr>
          <w:p>
            <w:pPr>
              <w:spacing w:after="0"/>
              <w:rPr>
                <w:sz w:val="1"/>
                <w:szCs w:val="1"/>
                <w:color w:val="auto"/>
              </w:rPr>
            </w:pPr>
          </w:p>
        </w:tc>
      </w:tr>
      <w:tr>
        <w:trPr>
          <w:trHeight w:val="140"/>
        </w:trPr>
        <w:tc>
          <w:tcPr>
            <w:tcW w:w="336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CEEFF"/>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Favorable / (Unfavorable)</w:t>
            </w: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Admission revenue</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3"/>
          </w:tcPr>
          <w:p>
            <w:pPr>
              <w:jc w:val="right"/>
              <w:ind w:right="22"/>
              <w:spacing w:after="0"/>
              <w:rPr>
                <w:sz w:val="20"/>
                <w:szCs w:val="20"/>
                <w:color w:val="auto"/>
              </w:rPr>
            </w:pPr>
            <w:r>
              <w:rPr>
                <w:rFonts w:ascii="Times New Roman" w:cs="Times New Roman" w:eastAsia="Times New Roman" w:hAnsi="Times New Roman"/>
                <w:sz w:val="12"/>
                <w:szCs w:val="12"/>
                <w:color w:val="auto"/>
              </w:rPr>
              <w:t>164,727</w:t>
            </w:r>
          </w:p>
        </w:tc>
        <w:tc>
          <w:tcPr>
            <w:tcW w:w="8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64 </w:t>
            </w:r>
            <w:r>
              <w:rPr>
                <w:rFonts w:ascii="Times New Roman" w:cs="Times New Roman" w:eastAsia="Times New Roman" w:hAnsi="Times New Roman"/>
                <w:sz w:val="20"/>
                <w:szCs w:val="20"/>
                <w:i w:val="1"/>
                <w:iCs w:val="1"/>
                <w:color w:val="auto"/>
                <w:vertAlign w:val="superscript"/>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156,680</w:t>
            </w:r>
          </w:p>
        </w:tc>
        <w:tc>
          <w:tcPr>
            <w:tcW w:w="120" w:type="dxa"/>
            <w:vAlign w:val="bottom"/>
          </w:tcPr>
          <w:p>
            <w:pPr>
              <w:spacing w:after="0"/>
              <w:rPr>
                <w:sz w:val="15"/>
                <w:szCs w:val="15"/>
                <w:color w:val="auto"/>
              </w:rPr>
            </w:pPr>
          </w:p>
        </w:tc>
        <w:tc>
          <w:tcPr>
            <w:tcW w:w="90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65 </w:t>
            </w:r>
            <w:r>
              <w:rPr>
                <w:rFonts w:ascii="Times New Roman" w:cs="Times New Roman" w:eastAsia="Times New Roman" w:hAnsi="Times New Roman"/>
                <w:sz w:val="20"/>
                <w:szCs w:val="20"/>
                <w:i w:val="1"/>
                <w:iCs w:val="1"/>
                <w:color w:val="auto"/>
                <w:vertAlign w:val="superscript"/>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Food &amp; beverage revenue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0"/>
              </w:rPr>
              <w:t>75,229</w:t>
            </w:r>
          </w:p>
        </w:tc>
        <w:tc>
          <w:tcPr>
            <w:tcW w:w="82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29 </w:t>
            </w:r>
            <w:r>
              <w:rPr>
                <w:rFonts w:ascii="Times New Roman" w:cs="Times New Roman" w:eastAsia="Times New Roman" w:hAnsi="Times New Roman"/>
                <w:sz w:val="20"/>
                <w:szCs w:val="20"/>
                <w:i w:val="1"/>
                <w:iCs w:val="1"/>
                <w:color w:val="auto"/>
                <w:vertAlign w:val="superscript"/>
              </w:rPr>
              <w:t>%</w:t>
            </w: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69,184</w:t>
            </w:r>
          </w:p>
        </w:tc>
        <w:tc>
          <w:tcPr>
            <w:tcW w:w="12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28 </w:t>
            </w:r>
            <w:r>
              <w:rPr>
                <w:rFonts w:ascii="Times New Roman" w:cs="Times New Roman" w:eastAsia="Times New Roman" w:hAnsi="Times New Roman"/>
                <w:sz w:val="20"/>
                <w:szCs w:val="20"/>
                <w:i w:val="1"/>
                <w:iCs w:val="1"/>
                <w:color w:val="auto"/>
                <w:vertAlign w:val="superscript"/>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174"/>
        </w:trPr>
        <w:tc>
          <w:tcPr>
            <w:tcW w:w="360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2"/>
                <w:szCs w:val="12"/>
                <w:color w:val="auto"/>
              </w:rPr>
              <w:t>Advertising and other revenue</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2"/>
                <w:szCs w:val="12"/>
                <w:color w:val="auto"/>
                <w:w w:val="90"/>
              </w:rPr>
              <w:t>16,966</w:t>
            </w:r>
          </w:p>
        </w:tc>
        <w:tc>
          <w:tcPr>
            <w:tcW w:w="820" w:type="dxa"/>
            <w:vAlign w:val="bottom"/>
            <w:tcBorders>
              <w:bottom w:val="single" w:sz="8" w:color="CCEEFF"/>
            </w:tcBorders>
            <w:gridSpan w:val="2"/>
          </w:tcPr>
          <w:p>
            <w:pPr>
              <w:jc w:val="right"/>
              <w:spacing w:after="0" w:line="174" w:lineRule="exact"/>
              <w:rPr>
                <w:sz w:val="20"/>
                <w:szCs w:val="20"/>
                <w:color w:val="auto"/>
              </w:rPr>
            </w:pPr>
            <w:r>
              <w:rPr>
                <w:rFonts w:ascii="Times New Roman" w:cs="Times New Roman" w:eastAsia="Times New Roman" w:hAnsi="Times New Roman"/>
                <w:sz w:val="20"/>
                <w:szCs w:val="20"/>
                <w:i w:val="1"/>
                <w:iCs w:val="1"/>
                <w:color w:val="auto"/>
                <w:vertAlign w:val="subscript"/>
              </w:rPr>
              <w:t>7</w:t>
            </w:r>
            <w:r>
              <w:rPr>
                <w:rFonts w:ascii="Times New Roman" w:cs="Times New Roman" w:eastAsia="Times New Roman" w:hAnsi="Times New Roman"/>
                <w:sz w:val="10"/>
                <w:szCs w:val="10"/>
                <w:i w:val="1"/>
                <w:iCs w:val="1"/>
                <w:color w:val="auto"/>
              </w:rPr>
              <w:t xml:space="preserve"> %</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16,959</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gridSpan w:val="4"/>
          </w:tcPr>
          <w:p>
            <w:pPr>
              <w:jc w:val="right"/>
              <w:ind w:right="100"/>
              <w:spacing w:after="0" w:line="174" w:lineRule="exact"/>
              <w:rPr>
                <w:sz w:val="20"/>
                <w:szCs w:val="20"/>
                <w:color w:val="auto"/>
              </w:rPr>
            </w:pPr>
            <w:r>
              <w:rPr>
                <w:rFonts w:ascii="Times New Roman" w:cs="Times New Roman" w:eastAsia="Times New Roman" w:hAnsi="Times New Roman"/>
                <w:sz w:val="20"/>
                <w:szCs w:val="20"/>
                <w:i w:val="1"/>
                <w:iCs w:val="1"/>
                <w:color w:val="auto"/>
                <w:vertAlign w:val="subscript"/>
              </w:rPr>
              <w:t>7</w:t>
            </w:r>
            <w:r>
              <w:rPr>
                <w:rFonts w:ascii="Times New Roman" w:cs="Times New Roman" w:eastAsia="Times New Roman" w:hAnsi="Times New Roman"/>
                <w:sz w:val="10"/>
                <w:szCs w:val="10"/>
                <w:i w:val="1"/>
                <w:iCs w:val="1"/>
                <w:color w:val="auto"/>
              </w:rPr>
              <w:t xml:space="preserve"> %</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4"/>
        </w:trPr>
        <w:tc>
          <w:tcPr>
            <w:tcW w:w="36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Total Segment Revenues</w:t>
            </w:r>
          </w:p>
        </w:tc>
        <w:tc>
          <w:tcPr>
            <w:tcW w:w="2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right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256,922</w:t>
            </w:r>
          </w:p>
        </w:tc>
        <w:tc>
          <w:tcPr>
            <w:tcW w:w="820" w:type="dxa"/>
            <w:vAlign w:val="bottom"/>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7"/>
                <w:szCs w:val="17"/>
                <w:i w:val="1"/>
                <w:iCs w:val="1"/>
                <w:color w:val="auto"/>
                <w:vertAlign w:val="superscript"/>
              </w:rPr>
              <w:t>%</w:t>
            </w:r>
          </w:p>
        </w:tc>
        <w:tc>
          <w:tcPr>
            <w:tcW w:w="24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242,823</w:t>
            </w:r>
          </w:p>
        </w:tc>
        <w:tc>
          <w:tcPr>
            <w:tcW w:w="12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7"/>
                <w:szCs w:val="17"/>
                <w:i w:val="1"/>
                <w:iCs w:val="1"/>
                <w:color w:val="auto"/>
                <w:vertAlign w:val="superscript"/>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6 %</w:t>
            </w:r>
          </w:p>
        </w:tc>
        <w:tc>
          <w:tcPr>
            <w:tcW w:w="0" w:type="dxa"/>
            <w:vAlign w:val="bottom"/>
          </w:tcPr>
          <w:p>
            <w:pPr>
              <w:spacing w:after="0"/>
              <w:rPr>
                <w:sz w:val="1"/>
                <w:szCs w:val="1"/>
                <w:color w:val="auto"/>
              </w:rPr>
            </w:pPr>
          </w:p>
        </w:tc>
      </w:tr>
      <w:tr>
        <w:trPr>
          <w:trHeight w:val="164"/>
        </w:trPr>
        <w:tc>
          <w:tcPr>
            <w:tcW w:w="36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Cost of services and products (excl. depreciation and amortization)</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0" w:type="dxa"/>
            <w:vAlign w:val="bottom"/>
            <w:gridSpan w:val="4"/>
          </w:tcPr>
          <w:p>
            <w:pPr>
              <w:ind w:left="360"/>
              <w:spacing w:after="0"/>
              <w:rPr>
                <w:sz w:val="20"/>
                <w:szCs w:val="20"/>
                <w:color w:val="auto"/>
              </w:rPr>
            </w:pPr>
            <w:r>
              <w:rPr>
                <w:rFonts w:ascii="Times New Roman" w:cs="Times New Roman" w:eastAsia="Times New Roman" w:hAnsi="Times New Roman"/>
                <w:sz w:val="12"/>
                <w:szCs w:val="12"/>
                <w:color w:val="auto"/>
              </w:rPr>
              <w:t>Film rent and advertising cost</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(82,873)</w:t>
            </w:r>
          </w:p>
        </w:tc>
        <w:tc>
          <w:tcPr>
            <w:tcW w:w="8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(32)</w:t>
            </w:r>
            <w:r>
              <w:rPr>
                <w:rFonts w:ascii="Times New Roman" w:cs="Times New Roman" w:eastAsia="Times New Roman" w:hAnsi="Times New Roman"/>
                <w:sz w:val="20"/>
                <w:szCs w:val="20"/>
                <w:i w:val="1"/>
                <w:iCs w:val="1"/>
                <w:color w:val="auto"/>
                <w:vertAlign w:val="superscript"/>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(78,827)</w:t>
            </w:r>
          </w:p>
        </w:tc>
        <w:tc>
          <w:tcPr>
            <w:tcW w:w="90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(32)</w:t>
            </w:r>
            <w:r>
              <w:rPr>
                <w:rFonts w:ascii="Times New Roman" w:cs="Times New Roman" w:eastAsia="Times New Roman" w:hAnsi="Times New Roman"/>
                <w:sz w:val="20"/>
                <w:szCs w:val="20"/>
                <w:i w:val="1"/>
                <w:iCs w:val="1"/>
                <w:color w:val="auto"/>
                <w:vertAlign w:val="superscript"/>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Food &amp; beverage cost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(14,734)</w:t>
            </w:r>
          </w:p>
        </w:tc>
        <w:tc>
          <w:tcPr>
            <w:tcW w:w="82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(6)</w:t>
            </w:r>
            <w:r>
              <w:rPr>
                <w:rFonts w:ascii="Times New Roman" w:cs="Times New Roman" w:eastAsia="Times New Roman" w:hAnsi="Times New Roman"/>
                <w:sz w:val="20"/>
                <w:szCs w:val="20"/>
                <w:i w:val="1"/>
                <w:iCs w:val="1"/>
                <w:color w:val="auto"/>
                <w:vertAlign w:val="superscript"/>
              </w:rPr>
              <w:t>%</w:t>
            </w: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(12,856)</w:t>
            </w:r>
          </w:p>
        </w:tc>
        <w:tc>
          <w:tcPr>
            <w:tcW w:w="900" w:type="dxa"/>
            <w:vAlign w:val="bottom"/>
            <w:gridSpan w:val="4"/>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(5)</w:t>
            </w:r>
            <w:r>
              <w:rPr>
                <w:rFonts w:ascii="Times New Roman" w:cs="Times New Roman" w:eastAsia="Times New Roman" w:hAnsi="Times New Roman"/>
                <w:sz w:val="20"/>
                <w:szCs w:val="20"/>
                <w:i w:val="1"/>
                <w:iCs w:val="1"/>
                <w:color w:val="auto"/>
                <w:vertAlign w:val="superscript"/>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(15) %</w:t>
            </w:r>
          </w:p>
        </w:tc>
        <w:tc>
          <w:tcPr>
            <w:tcW w:w="0" w:type="dxa"/>
            <w:vAlign w:val="bottom"/>
          </w:tcPr>
          <w:p>
            <w:pPr>
              <w:spacing w:after="0"/>
              <w:rPr>
                <w:sz w:val="1"/>
                <w:szCs w:val="1"/>
                <w:color w:val="auto"/>
              </w:rPr>
            </w:pPr>
          </w:p>
        </w:tc>
      </w:tr>
      <w:tr>
        <w:trPr>
          <w:trHeight w:val="174"/>
        </w:trPr>
        <w:tc>
          <w:tcPr>
            <w:tcW w:w="3600" w:type="dxa"/>
            <w:vAlign w:val="bottom"/>
            <w:gridSpan w:val="4"/>
          </w:tcPr>
          <w:p>
            <w:pPr>
              <w:ind w:left="360"/>
              <w:spacing w:after="0"/>
              <w:rPr>
                <w:sz w:val="20"/>
                <w:szCs w:val="20"/>
                <w:color w:val="auto"/>
              </w:rPr>
            </w:pPr>
            <w:r>
              <w:rPr>
                <w:rFonts w:ascii="Times New Roman" w:cs="Times New Roman" w:eastAsia="Times New Roman" w:hAnsi="Times New Roman"/>
                <w:sz w:val="12"/>
                <w:szCs w:val="12"/>
                <w:color w:val="auto"/>
              </w:rPr>
              <w:t>Occupancy expense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(44,914)</w:t>
            </w:r>
          </w:p>
        </w:tc>
        <w:tc>
          <w:tcPr>
            <w:tcW w:w="8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(17)</w:t>
            </w:r>
            <w:r>
              <w:rPr>
                <w:rFonts w:ascii="Times New Roman" w:cs="Times New Roman" w:eastAsia="Times New Roman" w:hAnsi="Times New Roman"/>
                <w:sz w:val="20"/>
                <w:szCs w:val="20"/>
                <w:i w:val="1"/>
                <w:iCs w:val="1"/>
                <w:color w:val="auto"/>
                <w:vertAlign w:val="superscript"/>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(45,376)</w:t>
            </w:r>
          </w:p>
        </w:tc>
        <w:tc>
          <w:tcPr>
            <w:tcW w:w="90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(19)</w:t>
            </w:r>
            <w:r>
              <w:rPr>
                <w:rFonts w:ascii="Times New Roman" w:cs="Times New Roman" w:eastAsia="Times New Roman" w:hAnsi="Times New Roman"/>
                <w:sz w:val="20"/>
                <w:szCs w:val="20"/>
                <w:i w:val="1"/>
                <w:iCs w:val="1"/>
                <w:color w:val="auto"/>
                <w:vertAlign w:val="superscript"/>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Other operating expense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(63,367)</w:t>
            </w:r>
          </w:p>
        </w:tc>
        <w:tc>
          <w:tcPr>
            <w:tcW w:w="82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(25)</w:t>
            </w:r>
            <w:r>
              <w:rPr>
                <w:rFonts w:ascii="Times New Roman" w:cs="Times New Roman" w:eastAsia="Times New Roman" w:hAnsi="Times New Roman"/>
                <w:sz w:val="20"/>
                <w:szCs w:val="20"/>
                <w:i w:val="1"/>
                <w:iCs w:val="1"/>
                <w:color w:val="auto"/>
                <w:vertAlign w:val="superscript"/>
              </w:rPr>
              <w:t>%</w:t>
            </w: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(59,483)</w:t>
            </w:r>
          </w:p>
        </w:tc>
        <w:tc>
          <w:tcPr>
            <w:tcW w:w="900" w:type="dxa"/>
            <w:vAlign w:val="bottom"/>
            <w:gridSpan w:val="4"/>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(24)</w:t>
            </w:r>
            <w:r>
              <w:rPr>
                <w:rFonts w:ascii="Times New Roman" w:cs="Times New Roman" w:eastAsia="Times New Roman" w:hAnsi="Times New Roman"/>
                <w:sz w:val="20"/>
                <w:szCs w:val="20"/>
                <w:i w:val="1"/>
                <w:iCs w:val="1"/>
                <w:color w:val="auto"/>
                <w:vertAlign w:val="superscript"/>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(7) %</w:t>
            </w:r>
          </w:p>
        </w:tc>
        <w:tc>
          <w:tcPr>
            <w:tcW w:w="0" w:type="dxa"/>
            <w:vAlign w:val="bottom"/>
          </w:tcPr>
          <w:p>
            <w:pPr>
              <w:spacing w:after="0"/>
              <w:rPr>
                <w:sz w:val="1"/>
                <w:szCs w:val="1"/>
                <w:color w:val="auto"/>
              </w:rPr>
            </w:pPr>
          </w:p>
        </w:tc>
      </w:tr>
      <w:tr>
        <w:trPr>
          <w:trHeight w:val="174"/>
        </w:trPr>
        <w:tc>
          <w:tcPr>
            <w:tcW w:w="360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Depreciation, amortization, and general and administrative expense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0" w:type="dxa"/>
            <w:vAlign w:val="bottom"/>
            <w:tcBorders>
              <w:right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(11,772)</w:t>
            </w:r>
          </w:p>
        </w:tc>
        <w:tc>
          <w:tcPr>
            <w:tcW w:w="82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(5)</w:t>
            </w:r>
            <w:r>
              <w:rPr>
                <w:rFonts w:ascii="Times New Roman" w:cs="Times New Roman" w:eastAsia="Times New Roman" w:hAnsi="Times New Roman"/>
                <w:sz w:val="20"/>
                <w:szCs w:val="20"/>
                <w:i w:val="1"/>
                <w:iCs w:val="1"/>
                <w:color w:val="auto"/>
                <w:vertAlign w:val="superscript"/>
              </w:rPr>
              <w:t>%</w:t>
            </w: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(11,160)</w:t>
            </w:r>
          </w:p>
        </w:tc>
        <w:tc>
          <w:tcPr>
            <w:tcW w:w="900" w:type="dxa"/>
            <w:vAlign w:val="bottom"/>
            <w:gridSpan w:val="4"/>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(5)</w:t>
            </w:r>
            <w:r>
              <w:rPr>
                <w:rFonts w:ascii="Times New Roman" w:cs="Times New Roman" w:eastAsia="Times New Roman" w:hAnsi="Times New Roman"/>
                <w:sz w:val="20"/>
                <w:szCs w:val="20"/>
                <w:i w:val="1"/>
                <w:iCs w:val="1"/>
                <w:color w:val="auto"/>
                <w:vertAlign w:val="superscript"/>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174"/>
        </w:trPr>
        <w:tc>
          <w:tcPr>
            <w:tcW w:w="3600" w:type="dxa"/>
            <w:vAlign w:val="bottom"/>
            <w:gridSpan w:val="4"/>
          </w:tcPr>
          <w:p>
            <w:pPr>
              <w:ind w:left="36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(3,764)</w:t>
            </w:r>
          </w:p>
        </w:tc>
        <w:tc>
          <w:tcPr>
            <w:tcW w:w="8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i w:val="1"/>
                <w:iCs w:val="1"/>
                <w:color w:val="auto"/>
                <w:vertAlign w:val="superscript"/>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(3,001)</w:t>
            </w:r>
          </w:p>
        </w:tc>
        <w:tc>
          <w:tcPr>
            <w:tcW w:w="90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(1)</w:t>
            </w:r>
            <w:r>
              <w:rPr>
                <w:rFonts w:ascii="Times New Roman" w:cs="Times New Roman" w:eastAsia="Times New Roman" w:hAnsi="Times New Roman"/>
                <w:sz w:val="20"/>
                <w:szCs w:val="20"/>
                <w:i w:val="1"/>
                <w:iCs w:val="1"/>
                <w:color w:val="auto"/>
                <w:vertAlign w:val="superscript"/>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(25) %</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gridSpan w:val="3"/>
            <w:shd w:val="clear" w:color="auto" w:fill="000000"/>
          </w:tcPr>
          <w:p>
            <w:pPr>
              <w:spacing w:after="0" w:line="20" w:lineRule="exact"/>
              <w:rPr>
                <w:sz w:val="1"/>
                <w:szCs w:val="1"/>
                <w:color w:val="auto"/>
              </w:rPr>
            </w:pPr>
          </w:p>
        </w:tc>
        <w:tc>
          <w:tcPr>
            <w:tcW w:w="820" w:type="dxa"/>
            <w:vAlign w:val="bottom"/>
            <w:gridSpan w:val="2"/>
            <w:vMerge w:val="restart"/>
            <w:shd w:val="clear" w:color="auto" w:fill="CCEEFF"/>
          </w:tcPr>
          <w:p>
            <w:pPr>
              <w:jc w:val="right"/>
              <w:spacing w:after="0" w:line="174" w:lineRule="exact"/>
              <w:rPr>
                <w:sz w:val="20"/>
                <w:szCs w:val="20"/>
                <w:color w:val="auto"/>
              </w:rPr>
            </w:pPr>
            <w:r>
              <w:rPr>
                <w:rFonts w:ascii="Times New Roman" w:cs="Times New Roman" w:eastAsia="Times New Roman" w:hAnsi="Times New Roman"/>
                <w:sz w:val="10"/>
                <w:szCs w:val="10"/>
                <w:i w:val="1"/>
                <w:iCs w:val="1"/>
                <w:color w:val="auto"/>
              </w:rPr>
              <w:t>(86)</w:t>
            </w:r>
            <w:r>
              <w:rPr>
                <w:rFonts w:ascii="Times New Roman" w:cs="Times New Roman" w:eastAsia="Times New Roman" w:hAnsi="Times New Roman"/>
                <w:sz w:val="20"/>
                <w:szCs w:val="20"/>
                <w:i w:val="1"/>
                <w:iCs w:val="1"/>
                <w:color w:val="auto"/>
                <w:vertAlign w:val="superscript"/>
              </w:rPr>
              <w:t>%</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gridSpan w:val="4"/>
            <w:vMerge w:val="restart"/>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0"/>
                <w:szCs w:val="10"/>
                <w:i w:val="1"/>
                <w:iCs w:val="1"/>
                <w:color w:val="auto"/>
              </w:rPr>
              <w:t>(87)</w:t>
            </w:r>
            <w:r>
              <w:rPr>
                <w:rFonts w:ascii="Times New Roman" w:cs="Times New Roman" w:eastAsia="Times New Roman" w:hAnsi="Times New Roman"/>
                <w:sz w:val="20"/>
                <w:szCs w:val="20"/>
                <w:i w:val="1"/>
                <w:iCs w:val="1"/>
                <w:color w:val="auto"/>
                <w:vertAlign w:val="superscript"/>
              </w:rPr>
              <w:t>%</w:t>
            </w: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0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Total Segment Expenses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(221,424)</w:t>
            </w:r>
          </w:p>
        </w:tc>
        <w:tc>
          <w:tcPr>
            <w:tcW w:w="820" w:type="dxa"/>
            <w:vAlign w:val="bottom"/>
            <w:gridSpan w:val="2"/>
            <w:vMerge w:val="continue"/>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(210,703)</w:t>
            </w:r>
          </w:p>
        </w:tc>
        <w:tc>
          <w:tcPr>
            <w:tcW w:w="900" w:type="dxa"/>
            <w:vAlign w:val="bottom"/>
            <w:gridSpan w:val="4"/>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144"/>
        </w:trPr>
        <w:tc>
          <w:tcPr>
            <w:tcW w:w="36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Operating Income</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0"/>
              </w:rPr>
              <w:t>35,498</w:t>
            </w:r>
          </w:p>
        </w:tc>
        <w:tc>
          <w:tcPr>
            <w:tcW w:w="8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9"/>
                <w:szCs w:val="9"/>
                <w:i w:val="1"/>
                <w:iCs w:val="1"/>
                <w:color w:val="auto"/>
              </w:rPr>
              <w:t xml:space="preserve">14 </w:t>
            </w:r>
            <w:r>
              <w:rPr>
                <w:rFonts w:ascii="Times New Roman" w:cs="Times New Roman" w:eastAsia="Times New Roman" w:hAnsi="Times New Roman"/>
                <w:sz w:val="16"/>
                <w:szCs w:val="16"/>
                <w:i w:val="1"/>
                <w:iCs w:val="1"/>
                <w:color w:val="auto"/>
                <w:vertAlign w:val="superscript"/>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32,120</w:t>
            </w:r>
          </w:p>
        </w:tc>
        <w:tc>
          <w:tcPr>
            <w:tcW w:w="120" w:type="dxa"/>
            <w:vAlign w:val="bottom"/>
          </w:tcPr>
          <w:p>
            <w:pPr>
              <w:spacing w:after="0"/>
              <w:rPr>
                <w:sz w:val="12"/>
                <w:szCs w:val="12"/>
                <w:color w:val="auto"/>
              </w:rPr>
            </w:pPr>
          </w:p>
        </w:tc>
        <w:tc>
          <w:tcPr>
            <w:tcW w:w="900" w:type="dxa"/>
            <w:vAlign w:val="bottom"/>
            <w:gridSpan w:val="4"/>
          </w:tcPr>
          <w:p>
            <w:pPr>
              <w:jc w:val="right"/>
              <w:ind w:right="100"/>
              <w:spacing w:after="0" w:line="143" w:lineRule="exact"/>
              <w:rPr>
                <w:sz w:val="20"/>
                <w:szCs w:val="20"/>
                <w:color w:val="auto"/>
              </w:rPr>
            </w:pPr>
            <w:r>
              <w:rPr>
                <w:rFonts w:ascii="Times New Roman" w:cs="Times New Roman" w:eastAsia="Times New Roman" w:hAnsi="Times New Roman"/>
                <w:sz w:val="9"/>
                <w:szCs w:val="9"/>
                <w:i w:val="1"/>
                <w:iCs w:val="1"/>
                <w:color w:val="auto"/>
              </w:rPr>
              <w:t xml:space="preserve">13 </w:t>
            </w:r>
            <w:r>
              <w:rPr>
                <w:rFonts w:ascii="Times New Roman" w:cs="Times New Roman" w:eastAsia="Times New Roman" w:hAnsi="Times New Roman"/>
                <w:sz w:val="16"/>
                <w:szCs w:val="16"/>
                <w:i w:val="1"/>
                <w:iCs w:val="1"/>
                <w:color w:val="auto"/>
                <w:vertAlign w:val="superscript"/>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11 %</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Cinema segment operating income</w:t>
      </w:r>
    </w:p>
    <w:p>
      <w:pPr>
        <w:spacing w:after="0" w:line="3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Cinema Exhibition segment operating income increased by 11%, or $3.4 million, to $35.5 million for the year ended December 31, 2016 compared to December 31, 2015, primarily driven by higher admissions and F&amp;B revenues and the impact of new and re-opening of cinemas mostly during the last quarter of 2015 and the closure of our money-losing Gaslamp Cinema in January 2016, partially offset by minor unfavorable foreign currency movements. Refer below for further explanations.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3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Cinema revenue increased by 6%, or $14.1 million, to $256.9 million for the year ended December 31, 2016 compared to 2015, primarily driven by higher admissions and F&amp;B revenues and the impact of new and re-opening of cinemas during the last quarter of 2015, partially offset by slightly weaker foreign currency movements. Comparing the current and prior years, Australian dollars and New Zealand dollars slightly declined against U.S. dollars by 1% and 0.4% (on average rates), respectively. Shown below is the revenue breakdown by country: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00" w:type="dxa"/>
            <w:vAlign w:val="bottom"/>
            <w:vMerge w:val="restart"/>
          </w:tcPr>
          <w:p>
            <w:pPr>
              <w:spacing w:after="0"/>
              <w:rPr>
                <w:sz w:val="12"/>
                <w:szCs w:val="12"/>
                <w:color w:val="auto"/>
              </w:rPr>
            </w:pPr>
          </w:p>
        </w:tc>
        <w:tc>
          <w:tcPr>
            <w:tcW w:w="92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2015</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20" w:type="dxa"/>
            <w:vAlign w:val="bottom"/>
            <w:vMerge w:val="restart"/>
          </w:tcPr>
          <w:p>
            <w:pPr>
              <w:spacing w:after="0"/>
              <w:rPr>
                <w:sz w:val="12"/>
                <w:szCs w:val="12"/>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2"/>
                <w:szCs w:val="12"/>
                <w:b w:val="1"/>
                <w:bCs w:val="1"/>
                <w:color w:val="auto"/>
              </w:rPr>
              <w:t>2016 vs. 2015</w:t>
            </w:r>
          </w:p>
        </w:tc>
        <w:tc>
          <w:tcPr>
            <w:tcW w:w="0" w:type="dxa"/>
            <w:vAlign w:val="bottom"/>
          </w:tcPr>
          <w:p>
            <w:pPr>
              <w:spacing w:after="0"/>
              <w:rPr>
                <w:sz w:val="1"/>
                <w:szCs w:val="1"/>
                <w:color w:val="auto"/>
              </w:rPr>
            </w:pPr>
          </w:p>
        </w:tc>
      </w:tr>
      <w:tr>
        <w:trPr>
          <w:trHeight w:val="140"/>
        </w:trPr>
        <w:tc>
          <w:tcPr>
            <w:tcW w:w="33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Favorable / (Unfavorable)</w:t>
            </w:r>
          </w:p>
        </w:tc>
        <w:tc>
          <w:tcPr>
            <w:tcW w:w="0" w:type="dxa"/>
            <w:vAlign w:val="bottom"/>
          </w:tcPr>
          <w:p>
            <w:pPr>
              <w:spacing w:after="0"/>
              <w:rPr>
                <w:sz w:val="1"/>
                <w:szCs w:val="1"/>
                <w:color w:val="auto"/>
              </w:rPr>
            </w:pPr>
          </w:p>
        </w:tc>
      </w:tr>
      <w:tr>
        <w:trPr>
          <w:trHeight w:val="152"/>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139,820</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8"/>
              <w:spacing w:after="0" w:line="152" w:lineRule="exact"/>
              <w:rPr>
                <w:sz w:val="20"/>
                <w:szCs w:val="20"/>
                <w:color w:val="auto"/>
              </w:rPr>
            </w:pPr>
            <w:r>
              <w:rPr>
                <w:rFonts w:ascii="Times New Roman" w:cs="Times New Roman" w:eastAsia="Times New Roman" w:hAnsi="Times New Roman"/>
                <w:sz w:val="9"/>
                <w:szCs w:val="9"/>
                <w:i w:val="1"/>
                <w:iCs w:val="1"/>
                <w:color w:val="auto"/>
              </w:rPr>
              <w:t xml:space="preserve">54 </w:t>
            </w:r>
            <w:r>
              <w:rPr>
                <w:rFonts w:ascii="Times New Roman" w:cs="Times New Roman" w:eastAsia="Times New Roman" w:hAnsi="Times New Roman"/>
                <w:sz w:val="17"/>
                <w:szCs w:val="17"/>
                <w:i w:val="1"/>
                <w:iCs w:val="1"/>
                <w:color w:val="auto"/>
                <w:vertAlign w:val="superscript"/>
              </w:rPr>
              <w:t>%</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133,423</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88"/>
              <w:spacing w:after="0" w:line="152" w:lineRule="exact"/>
              <w:rPr>
                <w:sz w:val="20"/>
                <w:szCs w:val="20"/>
                <w:color w:val="auto"/>
              </w:rPr>
            </w:pPr>
            <w:r>
              <w:rPr>
                <w:rFonts w:ascii="Times New Roman" w:cs="Times New Roman" w:eastAsia="Times New Roman" w:hAnsi="Times New Roman"/>
                <w:sz w:val="9"/>
                <w:szCs w:val="9"/>
                <w:i w:val="1"/>
                <w:iCs w:val="1"/>
                <w:color w:val="auto"/>
              </w:rPr>
              <w:t xml:space="preserve">55 </w:t>
            </w:r>
            <w:r>
              <w:rPr>
                <w:rFonts w:ascii="Times New Roman" w:cs="Times New Roman" w:eastAsia="Times New Roman" w:hAnsi="Times New Roman"/>
                <w:sz w:val="17"/>
                <w:szCs w:val="17"/>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49"/>
              <w:spacing w:after="0" w:line="152" w:lineRule="exact"/>
              <w:rPr>
                <w:sz w:val="20"/>
                <w:szCs w:val="20"/>
                <w:color w:val="auto"/>
              </w:rPr>
            </w:pPr>
            <w:r>
              <w:rPr>
                <w:rFonts w:ascii="Times New Roman" w:cs="Times New Roman" w:eastAsia="Times New Roman" w:hAnsi="Times New Roman"/>
                <w:sz w:val="9"/>
                <w:szCs w:val="9"/>
                <w:color w:val="auto"/>
              </w:rPr>
              <w:t xml:space="preserve">5 </w:t>
            </w:r>
            <w:r>
              <w:rPr>
                <w:rFonts w:ascii="Times New Roman" w:cs="Times New Roman" w:eastAsia="Times New Roman" w:hAnsi="Times New Roman"/>
                <w:sz w:val="17"/>
                <w:szCs w:val="17"/>
                <w:i w:val="1"/>
                <w:iCs w:val="1"/>
                <w:color w:val="auto"/>
                <w:vertAlign w:val="superscript"/>
              </w:rPr>
              <w:t>%</w:t>
            </w:r>
          </w:p>
        </w:tc>
        <w:tc>
          <w:tcPr>
            <w:tcW w:w="0" w:type="dxa"/>
            <w:vAlign w:val="bottom"/>
          </w:tcPr>
          <w:p>
            <w:pPr>
              <w:spacing w:after="0"/>
              <w:rPr>
                <w:sz w:val="1"/>
                <w:szCs w:val="1"/>
                <w:color w:val="auto"/>
              </w:rPr>
            </w:pPr>
          </w:p>
        </w:tc>
      </w:tr>
      <w:tr>
        <w:trPr>
          <w:trHeight w:val="163"/>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Australia</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89,053</w:t>
            </w:r>
          </w:p>
        </w:tc>
        <w:tc>
          <w:tcPr>
            <w:tcW w:w="1100" w:type="dxa"/>
            <w:vAlign w:val="bottom"/>
            <w:gridSpan w:val="2"/>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35 </w:t>
            </w:r>
            <w:r>
              <w:rPr>
                <w:rFonts w:ascii="Times New Roman" w:cs="Times New Roman" w:eastAsia="Times New Roman" w:hAnsi="Times New Roman"/>
                <w:sz w:val="18"/>
                <w:szCs w:val="18"/>
                <w:i w:val="1"/>
                <w:iCs w:val="1"/>
                <w:color w:val="auto"/>
                <w:vertAlign w:val="superscript"/>
              </w:rPr>
              <w: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86,235</w:t>
            </w:r>
          </w:p>
        </w:tc>
        <w:tc>
          <w:tcPr>
            <w:tcW w:w="1160" w:type="dxa"/>
            <w:vAlign w:val="bottom"/>
            <w:gridSpan w:val="2"/>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36 </w:t>
            </w:r>
            <w:r>
              <w:rPr>
                <w:rFonts w:ascii="Times New Roman" w:cs="Times New Roman" w:eastAsia="Times New Roman" w:hAnsi="Times New Roman"/>
                <w:sz w:val="18"/>
                <w:szCs w:val="18"/>
                <w:i w:val="1"/>
                <w:iCs w:val="1"/>
                <w:color w:val="auto"/>
                <w:vertAlign w:val="superscript"/>
              </w:rPr>
              <w:t>%</w:t>
            </w:r>
          </w:p>
        </w:tc>
        <w:tc>
          <w:tcPr>
            <w:tcW w:w="220" w:type="dxa"/>
            <w:vAlign w:val="bottom"/>
          </w:tcPr>
          <w:p>
            <w:pPr>
              <w:spacing w:after="0"/>
              <w:rPr>
                <w:sz w:val="14"/>
                <w:szCs w:val="14"/>
                <w:color w:val="auto"/>
              </w:rPr>
            </w:pPr>
          </w:p>
        </w:tc>
        <w:tc>
          <w:tcPr>
            <w:tcW w:w="1360" w:type="dxa"/>
            <w:vAlign w:val="bottom"/>
          </w:tcPr>
          <w:p>
            <w:pPr>
              <w:jc w:val="right"/>
              <w:ind w:right="349"/>
              <w:spacing w:after="0" w:line="163" w:lineRule="exact"/>
              <w:rPr>
                <w:sz w:val="20"/>
                <w:szCs w:val="20"/>
                <w:color w:val="auto"/>
              </w:rPr>
            </w:pPr>
            <w:r>
              <w:rPr>
                <w:rFonts w:ascii="Times New Roman" w:cs="Times New Roman" w:eastAsia="Times New Roman" w:hAnsi="Times New Roman"/>
                <w:sz w:val="10"/>
                <w:szCs w:val="10"/>
                <w:color w:val="auto"/>
              </w:rPr>
              <w:t xml:space="preserve">3 </w:t>
            </w:r>
            <w:r>
              <w:rPr>
                <w:rFonts w:ascii="Times New Roman" w:cs="Times New Roman" w:eastAsia="Times New Roman" w:hAnsi="Times New Roman"/>
                <w:sz w:val="18"/>
                <w:szCs w:val="18"/>
                <w:i w:val="1"/>
                <w:iCs w:val="1"/>
                <w:color w:val="auto"/>
                <w:vertAlign w:val="superscript"/>
              </w:rPr>
              <w:t>%</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Zealand</w:t>
            </w:r>
          </w:p>
        </w:tc>
        <w:tc>
          <w:tcPr>
            <w:tcW w:w="4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28,049</w:t>
            </w:r>
          </w:p>
        </w:tc>
        <w:tc>
          <w:tcPr>
            <w:tcW w:w="1100" w:type="dxa"/>
            <w:vAlign w:val="bottom"/>
            <w:gridSpan w:val="2"/>
            <w:shd w:val="clear" w:color="auto" w:fill="CCEEFF"/>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11 </w:t>
            </w:r>
            <w:r>
              <w:rPr>
                <w:rFonts w:ascii="Times New Roman" w:cs="Times New Roman" w:eastAsia="Times New Roman" w:hAnsi="Times New Roman"/>
                <w:sz w:val="18"/>
                <w:szCs w:val="18"/>
                <w:i w:val="1"/>
                <w:iCs w:val="1"/>
                <w:color w:val="auto"/>
                <w:vertAlign w:val="superscript"/>
              </w:rPr>
              <w:t>%</w:t>
            </w:r>
          </w:p>
        </w:tc>
        <w:tc>
          <w:tcPr>
            <w:tcW w:w="2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23,165</w:t>
            </w:r>
          </w:p>
        </w:tc>
        <w:tc>
          <w:tcPr>
            <w:tcW w:w="1160" w:type="dxa"/>
            <w:vAlign w:val="bottom"/>
            <w:gridSpan w:val="2"/>
            <w:shd w:val="clear" w:color="auto" w:fill="CCEEFF"/>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10 </w:t>
            </w:r>
            <w:r>
              <w:rPr>
                <w:rFonts w:ascii="Times New Roman" w:cs="Times New Roman" w:eastAsia="Times New Roman" w:hAnsi="Times New Roman"/>
                <w:sz w:val="18"/>
                <w:szCs w:val="18"/>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49"/>
              <w:spacing w:after="0" w:line="163" w:lineRule="exact"/>
              <w:rPr>
                <w:sz w:val="20"/>
                <w:szCs w:val="20"/>
                <w:color w:val="auto"/>
              </w:rPr>
            </w:pPr>
            <w:r>
              <w:rPr>
                <w:rFonts w:ascii="Times New Roman" w:cs="Times New Roman" w:eastAsia="Times New Roman" w:hAnsi="Times New Roman"/>
                <w:sz w:val="10"/>
                <w:szCs w:val="10"/>
                <w:color w:val="auto"/>
              </w:rPr>
              <w:t xml:space="preserve">21 </w:t>
            </w:r>
            <w:r>
              <w:rPr>
                <w:rFonts w:ascii="Times New Roman" w:cs="Times New Roman" w:eastAsia="Times New Roman" w:hAnsi="Times New Roman"/>
                <w:sz w:val="18"/>
                <w:szCs w:val="18"/>
                <w:i w:val="1"/>
                <w:iCs w:val="1"/>
                <w:color w:val="auto"/>
                <w:vertAlign w:val="superscript"/>
              </w:rPr>
              <w:t>%</w:t>
            </w:r>
          </w:p>
        </w:tc>
        <w:tc>
          <w:tcPr>
            <w:tcW w:w="0" w:type="dxa"/>
            <w:vAlign w:val="bottom"/>
          </w:tcPr>
          <w:p>
            <w:pPr>
              <w:spacing w:after="0"/>
              <w:rPr>
                <w:sz w:val="1"/>
                <w:szCs w:val="1"/>
                <w:color w:val="auto"/>
              </w:rPr>
            </w:pPr>
          </w:p>
        </w:tc>
      </w:tr>
      <w:tr>
        <w:trPr>
          <w:trHeight w:val="134"/>
        </w:trPr>
        <w:tc>
          <w:tcPr>
            <w:tcW w:w="35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Total Segment Revenues</w:t>
            </w:r>
          </w:p>
        </w:tc>
        <w:tc>
          <w:tcPr>
            <w:tcW w:w="420" w:type="dxa"/>
            <w:vAlign w:val="bottom"/>
            <w:tcBorders>
              <w:bottom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256,922</w:t>
            </w:r>
          </w:p>
        </w:tc>
        <w:tc>
          <w:tcPr>
            <w:tcW w:w="1100" w:type="dxa"/>
            <w:vAlign w:val="bottom"/>
            <w:gridSpan w:val="2"/>
          </w:tcPr>
          <w:p>
            <w:pPr>
              <w:jc w:val="right"/>
              <w:ind w:right="188"/>
              <w:spacing w:after="0" w:line="132"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5"/>
                <w:szCs w:val="15"/>
                <w:i w:val="1"/>
                <w:iCs w:val="1"/>
                <w:color w:val="auto"/>
                <w:vertAlign w:val="superscript"/>
              </w:rPr>
              <w:t>%</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right"/>
              <w:ind w:right="58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242,823</w:t>
            </w:r>
          </w:p>
        </w:tc>
        <w:tc>
          <w:tcPr>
            <w:tcW w:w="1160" w:type="dxa"/>
            <w:vAlign w:val="bottom"/>
            <w:gridSpan w:val="2"/>
          </w:tcPr>
          <w:p>
            <w:pPr>
              <w:jc w:val="right"/>
              <w:ind w:right="188"/>
              <w:spacing w:after="0" w:line="132"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5"/>
                <w:szCs w:val="15"/>
                <w:i w:val="1"/>
                <w:iCs w:val="1"/>
                <w:color w:val="auto"/>
                <w:vertAlign w:val="superscript"/>
              </w:rPr>
              <w:t>%</w:t>
            </w:r>
          </w:p>
        </w:tc>
        <w:tc>
          <w:tcPr>
            <w:tcW w:w="220" w:type="dxa"/>
            <w:vAlign w:val="bottom"/>
          </w:tcPr>
          <w:p>
            <w:pPr>
              <w:spacing w:after="0"/>
              <w:rPr>
                <w:sz w:val="11"/>
                <w:szCs w:val="11"/>
                <w:color w:val="auto"/>
              </w:rPr>
            </w:pPr>
          </w:p>
        </w:tc>
        <w:tc>
          <w:tcPr>
            <w:tcW w:w="1360" w:type="dxa"/>
            <w:vAlign w:val="bottom"/>
          </w:tcPr>
          <w:p>
            <w:pPr>
              <w:jc w:val="right"/>
              <w:ind w:right="349"/>
              <w:spacing w:after="0" w:line="132" w:lineRule="exact"/>
              <w:rPr>
                <w:sz w:val="20"/>
                <w:szCs w:val="20"/>
                <w:color w:val="auto"/>
              </w:rPr>
            </w:pPr>
            <w:r>
              <w:rPr>
                <w:rFonts w:ascii="Times New Roman" w:cs="Times New Roman" w:eastAsia="Times New Roman" w:hAnsi="Times New Roman"/>
                <w:sz w:val="15"/>
                <w:szCs w:val="15"/>
                <w:color w:val="auto"/>
                <w:vertAlign w:val="subscript"/>
              </w:rPr>
              <w:t>6</w:t>
            </w:r>
            <w:r>
              <w:rPr>
                <w:rFonts w:ascii="Times New Roman" w:cs="Times New Roman" w:eastAsia="Times New Roman" w:hAnsi="Times New Roman"/>
                <w:sz w:val="9"/>
                <w:szCs w:val="9"/>
                <w:i w:val="1"/>
                <w:iCs w:val="1"/>
                <w:color w:val="auto"/>
              </w:rPr>
              <w:t xml:space="preserve"> %</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3" w:right="739" w:bottom="1440" w:gutter="0" w:footer="0" w:header="0"/>
        </w:sectPr>
      </w:pPr>
    </w:p>
    <w:bookmarkStart w:id="49" w:name="page50"/>
    <w:bookmarkEnd w:id="49"/>
    <w:p>
      <w:pPr>
        <w:ind w:left="200" w:right="120" w:hanging="193"/>
        <w:spacing w:after="0" w:line="266" w:lineRule="auto"/>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United States, 2016 revenues increased by 5%, or $6.4 million, primarily driven by higher average ticket prices, improved F&amp;B revenues and the impact of the refurbishment and rebranding of our Carmel Mountain cinema in San Diego, California to an Angelika Film Center in October 2015, and offset by the impact of the closure of our Gaslamp Cinema in San Diego, California and the slight decline (1%) in attendance.</w:t>
      </w:r>
    </w:p>
    <w:p>
      <w:pPr>
        <w:ind w:left="200" w:right="220" w:hanging="193"/>
        <w:spacing w:after="0" w:line="258" w:lineRule="auto"/>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Australia’s cinema revenue, stated in U.S. dollars, increased by 3%, or $2.8 million, primarily due to increase in attendance (including the impact of the refurbishment of our cinema in Harbourtown, Australia in September 2015), offset by minor unfavorable foreign currency movements and reduction in average ticket prices.</w:t>
      </w:r>
    </w:p>
    <w:p>
      <w:pPr>
        <w:ind w:left="200" w:right="400" w:hanging="193"/>
        <w:spacing w:after="0" w:line="277" w:lineRule="auto"/>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New Zealand, cinema revenue increased by 21%, or $4.9 million, mainly due to increase in attendance, including the impact of the opening of our LynnMall cinema in November 2015. The New Zealand exhibition market benefited from the most successful local film release of all time, “Hunt for the Wilderpeople”.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 and products (excluding depreciation and amortization)</w:t>
      </w:r>
    </w:p>
    <w:p>
      <w:pPr>
        <w:spacing w:after="0" w:line="3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Cost of services and products for 2016 increased by 5%, or $9.3 million, to $205.9 million mainly attributable to higher film rent and advertising costs, higher F&amp;B costs and the impact of the opening of the new LynnMall cinema in New Zealand, partially offset by the impact of slight decline in foreign currency movements. This was reduced by the closure of Gaslamp Cinema in San Diego, California on January 31, 2016 and the closure of our Redbank Cinema in Australia on October 7, 2015.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services and products as a percentage of gross revenue remained stable for 2016 and 2015, in the 80-81% range.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general and administrative expense</w:t>
      </w:r>
    </w:p>
    <w:p>
      <w:pPr>
        <w:spacing w:after="0" w:line="3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Depreciation, amortization, general and administrative expense for 2016 increased by 10%, or $1.4 million, to $15.5 million primarily driven by the increase in depreciation resulting from improvements in several of our cinema facilities, the opening of our new LynnMall cinema in New Zealand and the re-opening of our Carmel Mountain cinema in San Diego, California.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Real Estate – 2016 vs.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00" w:type="dxa"/>
            <w:vAlign w:val="bottom"/>
            <w:vMerge w:val="restart"/>
          </w:tcPr>
          <w:p>
            <w:pPr>
              <w:spacing w:after="0"/>
              <w:rPr>
                <w:sz w:val="12"/>
                <w:szCs w:val="12"/>
                <w:color w:val="auto"/>
              </w:rPr>
            </w:pPr>
          </w:p>
        </w:tc>
        <w:tc>
          <w:tcPr>
            <w:tcW w:w="92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2015</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20" w:type="dxa"/>
            <w:vAlign w:val="bottom"/>
            <w:vMerge w:val="restart"/>
          </w:tcPr>
          <w:p>
            <w:pPr>
              <w:spacing w:after="0"/>
              <w:rPr>
                <w:sz w:val="12"/>
                <w:szCs w:val="12"/>
                <w:color w:val="auto"/>
              </w:rPr>
            </w:pP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2016 vs. 2015</w:t>
            </w:r>
          </w:p>
        </w:tc>
        <w:tc>
          <w:tcPr>
            <w:tcW w:w="0" w:type="dxa"/>
            <w:vAlign w:val="bottom"/>
          </w:tcPr>
          <w:p>
            <w:pPr>
              <w:spacing w:after="0"/>
              <w:rPr>
                <w:sz w:val="1"/>
                <w:szCs w:val="1"/>
                <w:color w:val="auto"/>
              </w:rPr>
            </w:pPr>
          </w:p>
        </w:tc>
      </w:tr>
      <w:tr>
        <w:trPr>
          <w:trHeight w:val="140"/>
        </w:trPr>
        <w:tc>
          <w:tcPr>
            <w:tcW w:w="33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Favorable / (Unfavorable)</w:t>
            </w:r>
          </w:p>
        </w:tc>
        <w:tc>
          <w:tcPr>
            <w:tcW w:w="0" w:type="dxa"/>
            <w:vAlign w:val="bottom"/>
          </w:tcPr>
          <w:p>
            <w:pPr>
              <w:spacing w:after="0"/>
              <w:rPr>
                <w:sz w:val="1"/>
                <w:szCs w:val="1"/>
                <w:color w:val="auto"/>
              </w:rPr>
            </w:pPr>
          </w:p>
        </w:tc>
      </w:tr>
      <w:tr>
        <w:trPr>
          <w:trHeight w:val="174"/>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Live theater rental and ancillary income</w:t>
            </w: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2,840</w:t>
            </w:r>
          </w:p>
        </w:tc>
        <w:tc>
          <w:tcPr>
            <w:tcW w:w="220" w:type="dxa"/>
            <w:vAlign w:val="bottom"/>
          </w:tcPr>
          <w:p>
            <w:pPr>
              <w:spacing w:after="0"/>
              <w:rPr>
                <w:sz w:val="15"/>
                <w:szCs w:val="15"/>
                <w:color w:val="auto"/>
              </w:rPr>
            </w:pPr>
          </w:p>
        </w:tc>
        <w:tc>
          <w:tcPr>
            <w:tcW w:w="88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14 </w:t>
            </w:r>
            <w:r>
              <w:rPr>
                <w:rFonts w:ascii="Times New Roman" w:cs="Times New Roman" w:eastAsia="Times New Roman" w:hAnsi="Times New Roman"/>
                <w:sz w:val="20"/>
                <w:szCs w:val="20"/>
                <w:i w:val="1"/>
                <w:iCs w:val="1"/>
                <w:color w:val="auto"/>
                <w:vertAlign w:val="superscript"/>
              </w:rPr>
              <w:t>%</w:t>
            </w:r>
          </w:p>
        </w:tc>
        <w:tc>
          <w:tcPr>
            <w:tcW w:w="200" w:type="dxa"/>
            <w:vAlign w:val="bottom"/>
          </w:tcPr>
          <w:p>
            <w:pPr>
              <w:spacing w:after="0"/>
              <w:rPr>
                <w:sz w:val="15"/>
                <w:szCs w:val="15"/>
                <w:color w:val="auto"/>
              </w:rPr>
            </w:pPr>
          </w:p>
        </w:tc>
        <w:tc>
          <w:tcPr>
            <w:tcW w:w="920" w:type="dxa"/>
            <w:vAlign w:val="bottom"/>
          </w:tcPr>
          <w:p>
            <w:pPr>
              <w:jc w:val="right"/>
              <w:ind w:right="58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3,844</w:t>
            </w:r>
          </w:p>
        </w:tc>
        <w:tc>
          <w:tcPr>
            <w:tcW w:w="220" w:type="dxa"/>
            <w:vAlign w:val="bottom"/>
          </w:tcPr>
          <w:p>
            <w:pPr>
              <w:spacing w:after="0"/>
              <w:rPr>
                <w:sz w:val="15"/>
                <w:szCs w:val="15"/>
                <w:color w:val="auto"/>
              </w:rPr>
            </w:pPr>
          </w:p>
        </w:tc>
        <w:tc>
          <w:tcPr>
            <w:tcW w:w="94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18 </w:t>
            </w:r>
            <w:r>
              <w:rPr>
                <w:rFonts w:ascii="Times New Roman" w:cs="Times New Roman" w:eastAsia="Times New Roman" w:hAnsi="Times New Roman"/>
                <w:sz w:val="20"/>
                <w:szCs w:val="20"/>
                <w:i w:val="1"/>
                <w:iCs w:val="1"/>
                <w:color w:val="auto"/>
                <w:vertAlign w:val="superscript"/>
              </w:rPr>
              <w:t>%</w:t>
            </w:r>
          </w:p>
        </w:tc>
        <w:tc>
          <w:tcPr>
            <w:tcW w:w="220" w:type="dxa"/>
            <w:vAlign w:val="bottom"/>
          </w:tcPr>
          <w:p>
            <w:pPr>
              <w:spacing w:after="0"/>
              <w:rPr>
                <w:sz w:val="15"/>
                <w:szCs w:val="15"/>
                <w:color w:val="auto"/>
              </w:rPr>
            </w:pP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(26) %</w:t>
            </w:r>
          </w:p>
        </w:tc>
        <w:tc>
          <w:tcPr>
            <w:tcW w:w="0" w:type="dxa"/>
            <w:vAlign w:val="bottom"/>
          </w:tcPr>
          <w:p>
            <w:pPr>
              <w:spacing w:after="0"/>
              <w:rPr>
                <w:sz w:val="1"/>
                <w:szCs w:val="1"/>
                <w:color w:val="auto"/>
              </w:rPr>
            </w:pPr>
          </w:p>
        </w:tc>
      </w:tr>
      <w:tr>
        <w:trPr>
          <w:trHeight w:val="174"/>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Property rental income</w:t>
            </w:r>
          </w:p>
        </w:tc>
        <w:tc>
          <w:tcPr>
            <w:tcW w:w="4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18,077</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86 </w:t>
            </w:r>
            <w:r>
              <w:rPr>
                <w:rFonts w:ascii="Times New Roman" w:cs="Times New Roman" w:eastAsia="Times New Roman" w:hAnsi="Times New Roman"/>
                <w:sz w:val="20"/>
                <w:szCs w:val="20"/>
                <w:i w:val="1"/>
                <w:iCs w:val="1"/>
                <w:color w:val="auto"/>
                <w:vertAlign w:val="superscript"/>
              </w:rPr>
              <w:t>%</w:t>
            </w:r>
          </w:p>
        </w:tc>
        <w:tc>
          <w:tcPr>
            <w:tcW w:w="2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17,735</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 xml:space="preserve">82 </w:t>
            </w:r>
            <w:r>
              <w:rPr>
                <w:rFonts w:ascii="Times New Roman" w:cs="Times New Roman" w:eastAsia="Times New Roman" w:hAnsi="Times New Roman"/>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4"/>
        </w:trPr>
        <w:tc>
          <w:tcPr>
            <w:tcW w:w="3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Total Segment Revenues</w:t>
            </w:r>
          </w:p>
        </w:tc>
        <w:tc>
          <w:tcPr>
            <w:tcW w:w="4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20,917</w:t>
            </w:r>
          </w:p>
        </w:tc>
        <w:tc>
          <w:tcPr>
            <w:tcW w:w="2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ind w:right="188"/>
              <w:spacing w:after="0" w:line="154"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7"/>
                <w:szCs w:val="17"/>
                <w:i w:val="1"/>
                <w:iCs w:val="1"/>
                <w:color w:val="auto"/>
                <w:vertAlign w:val="superscript"/>
              </w:rPr>
              <w:t>%</w:t>
            </w: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21,579</w:t>
            </w:r>
          </w:p>
        </w:tc>
        <w:tc>
          <w:tcPr>
            <w:tcW w:w="22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jc w:val="right"/>
              <w:ind w:right="188"/>
              <w:spacing w:after="0" w:line="154" w:lineRule="exact"/>
              <w:rPr>
                <w:sz w:val="20"/>
                <w:szCs w:val="20"/>
                <w:color w:val="auto"/>
              </w:rPr>
            </w:pPr>
            <w:r>
              <w:rPr>
                <w:rFonts w:ascii="Times New Roman" w:cs="Times New Roman" w:eastAsia="Times New Roman" w:hAnsi="Times New Roman"/>
                <w:sz w:val="9"/>
                <w:szCs w:val="9"/>
                <w:i w:val="1"/>
                <w:iCs w:val="1"/>
                <w:color w:val="auto"/>
              </w:rPr>
              <w:t xml:space="preserve">100 </w:t>
            </w:r>
            <w:r>
              <w:rPr>
                <w:rFonts w:ascii="Times New Roman" w:cs="Times New Roman" w:eastAsia="Times New Roman" w:hAnsi="Times New Roman"/>
                <w:sz w:val="17"/>
                <w:szCs w:val="17"/>
                <w:i w:val="1"/>
                <w:iCs w:val="1"/>
                <w:color w:val="auto"/>
                <w:vertAlign w:val="superscript"/>
              </w:rPr>
              <w:t>%</w:t>
            </w:r>
          </w:p>
        </w:tc>
        <w:tc>
          <w:tcPr>
            <w:tcW w:w="22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r>
        <w:trPr>
          <w:trHeight w:val="164"/>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Cost of services and products (excl. depreciation and amortization)</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Live theater cost</w:t>
            </w: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(1,371)</w:t>
            </w:r>
          </w:p>
        </w:tc>
        <w:tc>
          <w:tcPr>
            <w:tcW w:w="88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(7)</w:t>
            </w:r>
            <w:r>
              <w:rPr>
                <w:rFonts w:ascii="Times New Roman" w:cs="Times New Roman" w:eastAsia="Times New Roman" w:hAnsi="Times New Roman"/>
                <w:sz w:val="20"/>
                <w:szCs w:val="20"/>
                <w:i w:val="1"/>
                <w:iCs w:val="1"/>
                <w:color w:val="auto"/>
                <w:vertAlign w:val="superscript"/>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(4,264)</w:t>
            </w:r>
          </w:p>
        </w:tc>
        <w:tc>
          <w:tcPr>
            <w:tcW w:w="94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(20)</w:t>
            </w:r>
            <w:r>
              <w:rPr>
                <w:rFonts w:ascii="Times New Roman" w:cs="Times New Roman" w:eastAsia="Times New Roman" w:hAnsi="Times New Roman"/>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4"/>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Property cost</w:t>
            </w:r>
          </w:p>
        </w:tc>
        <w:tc>
          <w:tcPr>
            <w:tcW w:w="4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(4,401)</w:t>
            </w:r>
          </w:p>
        </w:tc>
        <w:tc>
          <w:tcPr>
            <w:tcW w:w="88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(21)</w:t>
            </w:r>
            <w:r>
              <w:rPr>
                <w:rFonts w:ascii="Times New Roman" w:cs="Times New Roman" w:eastAsia="Times New Roman" w:hAnsi="Times New Roman"/>
                <w:sz w:val="20"/>
                <w:szCs w:val="20"/>
                <w:i w:val="1"/>
                <w:iCs w:val="1"/>
                <w:color w:val="auto"/>
                <w:vertAlign w:val="superscript"/>
              </w:rPr>
              <w:t>%</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(3,243)</w:t>
            </w:r>
          </w:p>
        </w:tc>
        <w:tc>
          <w:tcPr>
            <w:tcW w:w="94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(15)</w:t>
            </w:r>
            <w:r>
              <w:rPr>
                <w:rFonts w:ascii="Times New Roman" w:cs="Times New Roman" w:eastAsia="Times New Roman" w:hAnsi="Times New Roman"/>
                <w:sz w:val="20"/>
                <w:szCs w:val="20"/>
                <w:i w:val="1"/>
                <w:iCs w:val="1"/>
                <w:color w:val="auto"/>
                <w:vertAlign w:val="superscript"/>
              </w:rPr>
              <w:t>%</w:t>
            </w:r>
          </w:p>
        </w:tc>
        <w:tc>
          <w:tcPr>
            <w:tcW w:w="220" w:type="dxa"/>
            <w:vAlign w:val="bottom"/>
          </w:tcPr>
          <w:p>
            <w:pPr>
              <w:spacing w:after="0"/>
              <w:rPr>
                <w:sz w:val="15"/>
                <w:szCs w:val="15"/>
                <w:color w:val="auto"/>
              </w:rPr>
            </w:pP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(36) %</w:t>
            </w:r>
          </w:p>
        </w:tc>
        <w:tc>
          <w:tcPr>
            <w:tcW w:w="0" w:type="dxa"/>
            <w:vAlign w:val="bottom"/>
          </w:tcPr>
          <w:p>
            <w:pPr>
              <w:spacing w:after="0"/>
              <w:rPr>
                <w:sz w:val="1"/>
                <w:szCs w:val="1"/>
                <w:color w:val="auto"/>
              </w:rPr>
            </w:pPr>
          </w:p>
        </w:tc>
      </w:tr>
      <w:tr>
        <w:trPr>
          <w:trHeight w:val="174"/>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Occupancy expense</w:t>
            </w:r>
          </w:p>
        </w:tc>
        <w:tc>
          <w:tcPr>
            <w:tcW w:w="4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(3,270)</w:t>
            </w:r>
          </w:p>
        </w:tc>
        <w:tc>
          <w:tcPr>
            <w:tcW w:w="88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(16)</w:t>
            </w:r>
            <w:r>
              <w:rPr>
                <w:rFonts w:ascii="Times New Roman" w:cs="Times New Roman" w:eastAsia="Times New Roman" w:hAnsi="Times New Roman"/>
                <w:sz w:val="20"/>
                <w:szCs w:val="20"/>
                <w:i w:val="1"/>
                <w:iCs w:val="1"/>
                <w:color w:val="auto"/>
                <w:vertAlign w:val="superscript"/>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(3,442)</w:t>
            </w:r>
          </w:p>
        </w:tc>
        <w:tc>
          <w:tcPr>
            <w:tcW w:w="94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(16)</w:t>
            </w:r>
            <w:r>
              <w:rPr>
                <w:rFonts w:ascii="Times New Roman" w:cs="Times New Roman" w:eastAsia="Times New Roman" w:hAnsi="Times New Roman"/>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4"/>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Depreciation, amortization, and general and administrative expense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(3,522)</w:t>
            </w:r>
          </w:p>
        </w:tc>
        <w:tc>
          <w:tcPr>
            <w:tcW w:w="88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(17)</w:t>
            </w:r>
            <w:r>
              <w:rPr>
                <w:rFonts w:ascii="Times New Roman" w:cs="Times New Roman" w:eastAsia="Times New Roman" w:hAnsi="Times New Roman"/>
                <w:sz w:val="20"/>
                <w:szCs w:val="20"/>
                <w:i w:val="1"/>
                <w:iCs w:val="1"/>
                <w:color w:val="auto"/>
                <w:vertAlign w:val="superscript"/>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(3,107)</w:t>
            </w:r>
          </w:p>
        </w:tc>
        <w:tc>
          <w:tcPr>
            <w:tcW w:w="940" w:type="dxa"/>
            <w:vAlign w:val="bottom"/>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(14)</w:t>
            </w:r>
            <w:r>
              <w:rPr>
                <w:rFonts w:ascii="Times New Roman" w:cs="Times New Roman" w:eastAsia="Times New Roman" w:hAnsi="Times New Roman"/>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(13) %</w:t>
            </w:r>
          </w:p>
        </w:tc>
        <w:tc>
          <w:tcPr>
            <w:tcW w:w="0" w:type="dxa"/>
            <w:vAlign w:val="bottom"/>
          </w:tcPr>
          <w:p>
            <w:pPr>
              <w:spacing w:after="0"/>
              <w:rPr>
                <w:sz w:val="1"/>
                <w:szCs w:val="1"/>
                <w:color w:val="auto"/>
              </w:rPr>
            </w:pPr>
          </w:p>
        </w:tc>
      </w:tr>
      <w:tr>
        <w:trPr>
          <w:trHeight w:val="174"/>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(1,424)</w:t>
            </w:r>
          </w:p>
        </w:tc>
        <w:tc>
          <w:tcPr>
            <w:tcW w:w="220" w:type="dxa"/>
            <w:vAlign w:val="bottom"/>
          </w:tcPr>
          <w:p>
            <w:pPr>
              <w:spacing w:after="0"/>
              <w:rPr>
                <w:sz w:val="15"/>
                <w:szCs w:val="15"/>
                <w:color w:val="auto"/>
              </w:rPr>
            </w:pPr>
          </w:p>
        </w:tc>
        <w:tc>
          <w:tcPr>
            <w:tcW w:w="88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(7)</w:t>
            </w:r>
            <w:r>
              <w:rPr>
                <w:rFonts w:ascii="Times New Roman" w:cs="Times New Roman" w:eastAsia="Times New Roman" w:hAnsi="Times New Roman"/>
                <w:sz w:val="20"/>
                <w:szCs w:val="20"/>
                <w:i w:val="1"/>
                <w:iCs w:val="1"/>
                <w:color w:val="auto"/>
                <w:vertAlign w:val="superscript"/>
              </w:rPr>
              <w:t>%</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(727)</w:t>
            </w:r>
          </w:p>
        </w:tc>
        <w:tc>
          <w:tcPr>
            <w:tcW w:w="940" w:type="dxa"/>
            <w:vAlign w:val="bottom"/>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(3)</w:t>
            </w:r>
            <w:r>
              <w:rPr>
                <w:rFonts w:ascii="Times New Roman" w:cs="Times New Roman" w:eastAsia="Times New Roman" w:hAnsi="Times New Roman"/>
                <w:sz w:val="20"/>
                <w:szCs w:val="20"/>
                <w:i w:val="1"/>
                <w:iCs w:val="1"/>
                <w:color w:val="auto"/>
                <w:vertAlign w:val="superscript"/>
              </w:rPr>
              <w:t>%</w:t>
            </w:r>
          </w:p>
        </w:tc>
        <w:tc>
          <w:tcPr>
            <w:tcW w:w="220" w:type="dxa"/>
            <w:vAlign w:val="bottom"/>
          </w:tcPr>
          <w:p>
            <w:pPr>
              <w:spacing w:after="0"/>
              <w:rPr>
                <w:sz w:val="15"/>
                <w:szCs w:val="15"/>
                <w:color w:val="auto"/>
              </w:rPr>
            </w:pP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(96) %</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Total Segment Expenses</w:t>
            </w: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vMerge w:val="restart"/>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(67)</w:t>
            </w:r>
            <w:r>
              <w:rPr>
                <w:rFonts w:ascii="Times New Roman" w:cs="Times New Roman" w:eastAsia="Times New Roman" w:hAnsi="Times New Roman"/>
                <w:sz w:val="20"/>
                <w:szCs w:val="20"/>
                <w:i w:val="1"/>
                <w:iCs w:val="1"/>
                <w:color w:val="auto"/>
                <w:vertAlign w:val="superscript"/>
              </w:rPr>
              <w:t>%</w:t>
            </w: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vMerge w:val="restart"/>
            <w:shd w:val="clear" w:color="auto" w:fill="CCEEFF"/>
          </w:tcPr>
          <w:p>
            <w:pPr>
              <w:jc w:val="right"/>
              <w:ind w:right="188"/>
              <w:spacing w:after="0" w:line="174" w:lineRule="exact"/>
              <w:rPr>
                <w:sz w:val="20"/>
                <w:szCs w:val="20"/>
                <w:color w:val="auto"/>
              </w:rPr>
            </w:pPr>
            <w:r>
              <w:rPr>
                <w:rFonts w:ascii="Times New Roman" w:cs="Times New Roman" w:eastAsia="Times New Roman" w:hAnsi="Times New Roman"/>
                <w:sz w:val="10"/>
                <w:szCs w:val="10"/>
                <w:i w:val="1"/>
                <w:iCs w:val="1"/>
                <w:color w:val="auto"/>
              </w:rPr>
              <w:t>(69)</w:t>
            </w:r>
            <w:r>
              <w:rPr>
                <w:rFonts w:ascii="Times New Roman" w:cs="Times New Roman" w:eastAsia="Times New Roman" w:hAnsi="Times New Roman"/>
                <w:sz w:val="20"/>
                <w:szCs w:val="20"/>
                <w:i w:val="1"/>
                <w:iCs w:val="1"/>
                <w:color w:val="auto"/>
                <w:vertAlign w:val="superscript"/>
              </w:rPr>
              <w:t>%</w:t>
            </w: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8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(13,988)</w:t>
            </w:r>
          </w:p>
        </w:tc>
        <w:tc>
          <w:tcPr>
            <w:tcW w:w="2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9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(14,783)</w:t>
            </w:r>
          </w:p>
        </w:tc>
        <w:tc>
          <w:tcPr>
            <w:tcW w:w="9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Operating Income</w:t>
            </w:r>
          </w:p>
        </w:tc>
        <w:tc>
          <w:tcPr>
            <w:tcW w:w="4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6,929</w:t>
            </w:r>
          </w:p>
        </w:tc>
        <w:tc>
          <w:tcPr>
            <w:tcW w:w="220" w:type="dxa"/>
            <w:vAlign w:val="bottom"/>
          </w:tcPr>
          <w:p>
            <w:pPr>
              <w:spacing w:after="0"/>
              <w:rPr>
                <w:sz w:val="12"/>
                <w:szCs w:val="12"/>
                <w:color w:val="auto"/>
              </w:rPr>
            </w:pPr>
          </w:p>
        </w:tc>
        <w:tc>
          <w:tcPr>
            <w:tcW w:w="880" w:type="dxa"/>
            <w:vAlign w:val="bottom"/>
          </w:tcPr>
          <w:p>
            <w:pPr>
              <w:jc w:val="right"/>
              <w:ind w:right="188"/>
              <w:spacing w:after="0" w:line="143" w:lineRule="exact"/>
              <w:rPr>
                <w:sz w:val="20"/>
                <w:szCs w:val="20"/>
                <w:color w:val="auto"/>
              </w:rPr>
            </w:pPr>
            <w:r>
              <w:rPr>
                <w:rFonts w:ascii="Times New Roman" w:cs="Times New Roman" w:eastAsia="Times New Roman" w:hAnsi="Times New Roman"/>
                <w:sz w:val="9"/>
                <w:szCs w:val="9"/>
                <w:b w:val="1"/>
                <w:bCs w:val="1"/>
                <w:i w:val="1"/>
                <w:iCs w:val="1"/>
                <w:color w:val="auto"/>
              </w:rPr>
              <w:t xml:space="preserve">33 </w:t>
            </w:r>
            <w:r>
              <w:rPr>
                <w:rFonts w:ascii="Times New Roman" w:cs="Times New Roman" w:eastAsia="Times New Roman" w:hAnsi="Times New Roman"/>
                <w:sz w:val="16"/>
                <w:szCs w:val="16"/>
                <w:b w:val="1"/>
                <w:bCs w:val="1"/>
                <w:i w:val="1"/>
                <w:iCs w:val="1"/>
                <w:color w:val="auto"/>
                <w:vertAlign w:val="superscript"/>
              </w:rPr>
              <w:t>%</w:t>
            </w:r>
          </w:p>
        </w:tc>
        <w:tc>
          <w:tcPr>
            <w:tcW w:w="2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6,796</w:t>
            </w:r>
          </w:p>
        </w:tc>
        <w:tc>
          <w:tcPr>
            <w:tcW w:w="220" w:type="dxa"/>
            <w:vAlign w:val="bottom"/>
          </w:tcPr>
          <w:p>
            <w:pPr>
              <w:spacing w:after="0"/>
              <w:rPr>
                <w:sz w:val="12"/>
                <w:szCs w:val="12"/>
                <w:color w:val="auto"/>
              </w:rPr>
            </w:pPr>
          </w:p>
        </w:tc>
        <w:tc>
          <w:tcPr>
            <w:tcW w:w="940" w:type="dxa"/>
            <w:vAlign w:val="bottom"/>
          </w:tcPr>
          <w:p>
            <w:pPr>
              <w:jc w:val="right"/>
              <w:ind w:right="188"/>
              <w:spacing w:after="0" w:line="143" w:lineRule="exact"/>
              <w:rPr>
                <w:sz w:val="20"/>
                <w:szCs w:val="20"/>
                <w:color w:val="auto"/>
              </w:rPr>
            </w:pPr>
            <w:r>
              <w:rPr>
                <w:rFonts w:ascii="Times New Roman" w:cs="Times New Roman" w:eastAsia="Times New Roman" w:hAnsi="Times New Roman"/>
                <w:sz w:val="9"/>
                <w:szCs w:val="9"/>
                <w:b w:val="1"/>
                <w:bCs w:val="1"/>
                <w:i w:val="1"/>
                <w:iCs w:val="1"/>
                <w:color w:val="auto"/>
              </w:rPr>
              <w:t xml:space="preserve">31 </w:t>
            </w:r>
            <w:r>
              <w:rPr>
                <w:rFonts w:ascii="Times New Roman" w:cs="Times New Roman" w:eastAsia="Times New Roman" w:hAnsi="Times New Roman"/>
                <w:sz w:val="16"/>
                <w:szCs w:val="16"/>
                <w:b w:val="1"/>
                <w:bCs w:val="1"/>
                <w:i w:val="1"/>
                <w:iCs w:val="1"/>
                <w:color w:val="auto"/>
                <w:vertAlign w:val="superscript"/>
              </w:rPr>
              <w:t>%</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480" w:type="dxa"/>
            <w:vAlign w:val="bottom"/>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Estate segment operating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Real Estate segment operating income increased by 2%, or $133,000, to $6.9 million for the year ended December 31, 2016 compared to 2015, primarily attributable to: (i)</w:t>
      </w:r>
    </w:p>
    <w:p>
      <w:pPr>
        <w:spacing w:after="0" w:line="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 xml:space="preserve">$2.2 million less legal fees incurred in relation to the “STOMP” arbitration process compared to 2015 (For more information about the legal expense, please refer to </w:t>
      </w:r>
      <w:r>
        <w:rPr>
          <w:rFonts w:ascii="Times New Roman" w:cs="Times New Roman" w:eastAsia="Times New Roman" w:hAnsi="Times New Roman"/>
          <w:sz w:val="14"/>
          <w:szCs w:val="14"/>
          <w:i w:val="1"/>
          <w:iCs w:val="1"/>
          <w:color w:val="auto"/>
        </w:rPr>
        <w:t>Note 12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Commitments and Contingencies </w:t>
      </w:r>
      <w:r>
        <w:rPr>
          <w:rFonts w:ascii="Times New Roman" w:cs="Times New Roman" w:eastAsia="Times New Roman" w:hAnsi="Times New Roman"/>
          <w:sz w:val="14"/>
          <w:szCs w:val="14"/>
          <w:color w:val="auto"/>
        </w:rPr>
        <w:t>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on this report), (ii)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STOMP settlement, $415,000 was collected in 2016 which was recorded as a recovery against legal expenses allocated to this segment in 2016, and (iii) an increase in property rental income in Australia of $2.0 million of which $2.7 million was attributed to Cannon Park in Australia purchased in December 2015 (offset by a reduction of $706,000 relating to the existing sites), offset by the closure of the Union Square property in New York for redevelopment and a reduction in revenue due to the earthquake and redevelopment of our Courtenay Central assets in Wellington, New Zealand. Please refer below for further explanation.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3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Real estate revenue for the year ended December 31, 2016 decreased by 3% or $662,000, mainly driven by lower property rental income from the U.S. and New Zealand due to the closure of our Union Square property in New York currently being redeveloped and the sale of Taupo property in New Zealand along with reduced revenue due to the earthquake and redevelopment of our Courtenay Central assets in Wellington, New Zealand, in addition to the impact of unfavorable foreign exchange rates on our Australia and New Zealand operations. This was offset by the increase in property rental income attributable to Cannon Park in Australia, which was purchased in December 2015. Shown below is the revenue breakdown by country:</w:t>
      </w:r>
    </w:p>
    <w:tbl>
      <w:tblPr>
        <w:tblLayout w:type="fixed"/>
        <w:tblInd w:w="0" w:type="dxa"/>
        <w:tblCellMar>
          <w:top w:w="0" w:type="dxa"/>
          <w:left w:w="0" w:type="dxa"/>
          <w:bottom w:w="0" w:type="dxa"/>
          <w:right w:w="0" w:type="dxa"/>
        </w:tblCellMar>
      </w:tblPr>
      <w:tr>
        <w:trPr>
          <w:trHeight w:val="120"/>
        </w:trPr>
        <w:tc>
          <w:tcPr>
            <w:tcW w:w="33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2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20" w:type="dxa"/>
            <w:vAlign w:val="bottom"/>
          </w:tcPr>
          <w:p>
            <w:pPr>
              <w:spacing w:after="0"/>
              <w:rPr>
                <w:sz w:val="10"/>
                <w:szCs w:val="10"/>
                <w:color w:val="auto"/>
              </w:rPr>
            </w:pPr>
          </w:p>
        </w:tc>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0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2015</w:t>
            </w:r>
          </w:p>
        </w:tc>
        <w:tc>
          <w:tcPr>
            <w:tcW w:w="220" w:type="dxa"/>
            <w:vAlign w:val="bottom"/>
          </w:tcPr>
          <w:p>
            <w:pPr>
              <w:spacing w:after="0"/>
              <w:rPr>
                <w:sz w:val="10"/>
                <w:szCs w:val="10"/>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2"/>
                <w:szCs w:val="12"/>
                <w:i w:val="1"/>
                <w:iCs w:val="1"/>
                <w:color w:val="auto"/>
              </w:rPr>
              <w:t>% of Revenue</w:t>
            </w:r>
          </w:p>
        </w:tc>
        <w:tc>
          <w:tcPr>
            <w:tcW w:w="220" w:type="dxa"/>
            <w:vAlign w:val="bottom"/>
            <w:vMerge w:val="restart"/>
          </w:tcPr>
          <w:p>
            <w:pPr>
              <w:spacing w:after="0"/>
              <w:rPr>
                <w:sz w:val="10"/>
                <w:szCs w:val="10"/>
                <w:color w:val="auto"/>
              </w:rPr>
            </w:pPr>
          </w:p>
        </w:tc>
        <w:tc>
          <w:tcPr>
            <w:tcW w:w="1360" w:type="dxa"/>
            <w:vAlign w:val="bottom"/>
          </w:tcPr>
          <w:p>
            <w:pPr>
              <w:jc w:val="right"/>
              <w:ind w:right="309"/>
              <w:spacing w:after="0" w:line="120" w:lineRule="exact"/>
              <w:rPr>
                <w:sz w:val="20"/>
                <w:szCs w:val="20"/>
                <w:color w:val="auto"/>
              </w:rPr>
            </w:pPr>
            <w:r>
              <w:rPr>
                <w:rFonts w:ascii="Times New Roman" w:cs="Times New Roman" w:eastAsia="Times New Roman" w:hAnsi="Times New Roman"/>
                <w:sz w:val="12"/>
                <w:szCs w:val="12"/>
                <w:b w:val="1"/>
                <w:bCs w:val="1"/>
                <w:color w:val="auto"/>
              </w:rPr>
              <w:t>2016 vs. 2015</w:t>
            </w:r>
          </w:p>
        </w:tc>
        <w:tc>
          <w:tcPr>
            <w:tcW w:w="0" w:type="dxa"/>
            <w:vAlign w:val="bottom"/>
          </w:tcPr>
          <w:p>
            <w:pPr>
              <w:spacing w:after="0"/>
              <w:rPr>
                <w:sz w:val="1"/>
                <w:szCs w:val="1"/>
                <w:color w:val="auto"/>
              </w:rPr>
            </w:pPr>
          </w:p>
        </w:tc>
      </w:tr>
      <w:tr>
        <w:trPr>
          <w:trHeight w:val="140"/>
        </w:trPr>
        <w:tc>
          <w:tcPr>
            <w:tcW w:w="33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Favorable / (Unfavorable)</w:t>
            </w:r>
          </w:p>
        </w:tc>
        <w:tc>
          <w:tcPr>
            <w:tcW w:w="0" w:type="dxa"/>
            <w:vAlign w:val="bottom"/>
          </w:tcPr>
          <w:p>
            <w:pPr>
              <w:spacing w:after="0"/>
              <w:rPr>
                <w:sz w:val="1"/>
                <w:szCs w:val="1"/>
                <w:color w:val="auto"/>
              </w:rPr>
            </w:pPr>
          </w:p>
        </w:tc>
      </w:tr>
      <w:tr>
        <w:trPr>
          <w:trHeight w:val="152"/>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3,271</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88"/>
              <w:spacing w:after="0" w:line="152" w:lineRule="exact"/>
              <w:rPr>
                <w:sz w:val="20"/>
                <w:szCs w:val="20"/>
                <w:color w:val="auto"/>
              </w:rPr>
            </w:pPr>
            <w:r>
              <w:rPr>
                <w:rFonts w:ascii="Times New Roman" w:cs="Times New Roman" w:eastAsia="Times New Roman" w:hAnsi="Times New Roman"/>
                <w:sz w:val="9"/>
                <w:szCs w:val="9"/>
                <w:i w:val="1"/>
                <w:iCs w:val="1"/>
                <w:color w:val="auto"/>
              </w:rPr>
              <w:t xml:space="preserve">16 </w:t>
            </w:r>
            <w:r>
              <w:rPr>
                <w:rFonts w:ascii="Times New Roman" w:cs="Times New Roman" w:eastAsia="Times New Roman" w:hAnsi="Times New Roman"/>
                <w:sz w:val="17"/>
                <w:szCs w:val="17"/>
                <w:i w:val="1"/>
                <w:iCs w:val="1"/>
                <w:color w:val="auto"/>
                <w:vertAlign w:val="superscript"/>
              </w:rPr>
              <w:t>%</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5,342</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88"/>
              <w:spacing w:after="0" w:line="152" w:lineRule="exact"/>
              <w:rPr>
                <w:sz w:val="20"/>
                <w:szCs w:val="20"/>
                <w:color w:val="auto"/>
              </w:rPr>
            </w:pPr>
            <w:r>
              <w:rPr>
                <w:rFonts w:ascii="Times New Roman" w:cs="Times New Roman" w:eastAsia="Times New Roman" w:hAnsi="Times New Roman"/>
                <w:sz w:val="9"/>
                <w:szCs w:val="9"/>
                <w:i w:val="1"/>
                <w:iCs w:val="1"/>
                <w:color w:val="auto"/>
              </w:rPr>
              <w:t xml:space="preserve">25 </w:t>
            </w:r>
            <w:r>
              <w:rPr>
                <w:rFonts w:ascii="Times New Roman" w:cs="Times New Roman" w:eastAsia="Times New Roman" w:hAnsi="Times New Roman"/>
                <w:sz w:val="17"/>
                <w:szCs w:val="17"/>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49"/>
              <w:spacing w:after="0" w:line="152" w:lineRule="exact"/>
              <w:rPr>
                <w:sz w:val="20"/>
                <w:szCs w:val="20"/>
                <w:color w:val="auto"/>
              </w:rPr>
            </w:pPr>
            <w:r>
              <w:rPr>
                <w:rFonts w:ascii="Times New Roman" w:cs="Times New Roman" w:eastAsia="Times New Roman" w:hAnsi="Times New Roman"/>
                <w:sz w:val="9"/>
                <w:szCs w:val="9"/>
                <w:color w:val="auto"/>
              </w:rPr>
              <w:t>(39)</w:t>
            </w:r>
            <w:r>
              <w:rPr>
                <w:rFonts w:ascii="Times New Roman" w:cs="Times New Roman" w:eastAsia="Times New Roman" w:hAnsi="Times New Roman"/>
                <w:sz w:val="17"/>
                <w:szCs w:val="17"/>
                <w:i w:val="1"/>
                <w:iCs w:val="1"/>
                <w:color w:val="auto"/>
                <w:vertAlign w:val="superscript"/>
              </w:rPr>
              <w:t>%</w:t>
            </w:r>
          </w:p>
        </w:tc>
        <w:tc>
          <w:tcPr>
            <w:tcW w:w="0" w:type="dxa"/>
            <w:vAlign w:val="bottom"/>
          </w:tcPr>
          <w:p>
            <w:pPr>
              <w:spacing w:after="0"/>
              <w:rPr>
                <w:sz w:val="1"/>
                <w:szCs w:val="1"/>
                <w:color w:val="auto"/>
              </w:rPr>
            </w:pPr>
          </w:p>
        </w:tc>
      </w:tr>
      <w:tr>
        <w:trPr>
          <w:trHeight w:val="163"/>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Australia</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13,334</w:t>
            </w:r>
          </w:p>
        </w:tc>
        <w:tc>
          <w:tcPr>
            <w:tcW w:w="1100" w:type="dxa"/>
            <w:vAlign w:val="bottom"/>
            <w:gridSpan w:val="2"/>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63 </w:t>
            </w:r>
            <w:r>
              <w:rPr>
                <w:rFonts w:ascii="Times New Roman" w:cs="Times New Roman" w:eastAsia="Times New Roman" w:hAnsi="Times New Roman"/>
                <w:sz w:val="18"/>
                <w:szCs w:val="18"/>
                <w:i w:val="1"/>
                <w:iCs w:val="1"/>
                <w:color w:val="auto"/>
                <w:vertAlign w:val="superscript"/>
              </w:rPr>
              <w: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11,374</w:t>
            </w:r>
          </w:p>
        </w:tc>
        <w:tc>
          <w:tcPr>
            <w:tcW w:w="1160" w:type="dxa"/>
            <w:vAlign w:val="bottom"/>
            <w:gridSpan w:val="2"/>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52 </w:t>
            </w:r>
            <w:r>
              <w:rPr>
                <w:rFonts w:ascii="Times New Roman" w:cs="Times New Roman" w:eastAsia="Times New Roman" w:hAnsi="Times New Roman"/>
                <w:sz w:val="18"/>
                <w:szCs w:val="18"/>
                <w:i w:val="1"/>
                <w:iCs w:val="1"/>
                <w:color w:val="auto"/>
                <w:vertAlign w:val="superscript"/>
              </w:rPr>
              <w:t>%</w:t>
            </w:r>
          </w:p>
        </w:tc>
        <w:tc>
          <w:tcPr>
            <w:tcW w:w="220" w:type="dxa"/>
            <w:vAlign w:val="bottom"/>
          </w:tcPr>
          <w:p>
            <w:pPr>
              <w:spacing w:after="0"/>
              <w:rPr>
                <w:sz w:val="14"/>
                <w:szCs w:val="14"/>
                <w:color w:val="auto"/>
              </w:rPr>
            </w:pPr>
          </w:p>
        </w:tc>
        <w:tc>
          <w:tcPr>
            <w:tcW w:w="1360" w:type="dxa"/>
            <w:vAlign w:val="bottom"/>
          </w:tcPr>
          <w:p>
            <w:pPr>
              <w:jc w:val="right"/>
              <w:ind w:right="349"/>
              <w:spacing w:after="0" w:line="163" w:lineRule="exact"/>
              <w:rPr>
                <w:sz w:val="20"/>
                <w:szCs w:val="20"/>
                <w:color w:val="auto"/>
              </w:rPr>
            </w:pPr>
            <w:r>
              <w:rPr>
                <w:rFonts w:ascii="Times New Roman" w:cs="Times New Roman" w:eastAsia="Times New Roman" w:hAnsi="Times New Roman"/>
                <w:sz w:val="10"/>
                <w:szCs w:val="10"/>
                <w:color w:val="auto"/>
              </w:rPr>
              <w:t xml:space="preserve">17 </w:t>
            </w:r>
            <w:r>
              <w:rPr>
                <w:rFonts w:ascii="Times New Roman" w:cs="Times New Roman" w:eastAsia="Times New Roman" w:hAnsi="Times New Roman"/>
                <w:sz w:val="18"/>
                <w:szCs w:val="18"/>
                <w:i w:val="1"/>
                <w:iCs w:val="1"/>
                <w:color w:val="auto"/>
                <w:vertAlign w:val="superscript"/>
              </w:rPr>
              <w:t>%</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Zealand</w:t>
            </w:r>
          </w:p>
        </w:tc>
        <w:tc>
          <w:tcPr>
            <w:tcW w:w="4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4,312</w:t>
            </w:r>
          </w:p>
        </w:tc>
        <w:tc>
          <w:tcPr>
            <w:tcW w:w="1100" w:type="dxa"/>
            <w:vAlign w:val="bottom"/>
            <w:gridSpan w:val="2"/>
            <w:shd w:val="clear" w:color="auto" w:fill="CCEEFF"/>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21 </w:t>
            </w:r>
            <w:r>
              <w:rPr>
                <w:rFonts w:ascii="Times New Roman" w:cs="Times New Roman" w:eastAsia="Times New Roman" w:hAnsi="Times New Roman"/>
                <w:sz w:val="18"/>
                <w:szCs w:val="18"/>
                <w:i w:val="1"/>
                <w:iCs w:val="1"/>
                <w:color w:val="auto"/>
                <w:vertAlign w:val="superscript"/>
              </w:rPr>
              <w:t>%</w:t>
            </w:r>
          </w:p>
        </w:tc>
        <w:tc>
          <w:tcPr>
            <w:tcW w:w="2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4,863</w:t>
            </w:r>
          </w:p>
        </w:tc>
        <w:tc>
          <w:tcPr>
            <w:tcW w:w="1160" w:type="dxa"/>
            <w:vAlign w:val="bottom"/>
            <w:gridSpan w:val="2"/>
            <w:shd w:val="clear" w:color="auto" w:fill="CCEEFF"/>
          </w:tcPr>
          <w:p>
            <w:pPr>
              <w:jc w:val="right"/>
              <w:ind w:right="188"/>
              <w:spacing w:after="0" w:line="163" w:lineRule="exact"/>
              <w:rPr>
                <w:sz w:val="20"/>
                <w:szCs w:val="20"/>
                <w:color w:val="auto"/>
              </w:rPr>
            </w:pPr>
            <w:r>
              <w:rPr>
                <w:rFonts w:ascii="Times New Roman" w:cs="Times New Roman" w:eastAsia="Times New Roman" w:hAnsi="Times New Roman"/>
                <w:sz w:val="10"/>
                <w:szCs w:val="10"/>
                <w:i w:val="1"/>
                <w:iCs w:val="1"/>
                <w:color w:val="auto"/>
              </w:rPr>
              <w:t xml:space="preserve">23 </w:t>
            </w:r>
            <w:r>
              <w:rPr>
                <w:rFonts w:ascii="Times New Roman" w:cs="Times New Roman" w:eastAsia="Times New Roman" w:hAnsi="Times New Roman"/>
                <w:sz w:val="18"/>
                <w:szCs w:val="18"/>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49"/>
              <w:spacing w:after="0" w:line="163" w:lineRule="exact"/>
              <w:rPr>
                <w:sz w:val="20"/>
                <w:szCs w:val="20"/>
                <w:color w:val="auto"/>
              </w:rPr>
            </w:pPr>
            <w:r>
              <w:rPr>
                <w:rFonts w:ascii="Times New Roman" w:cs="Times New Roman" w:eastAsia="Times New Roman" w:hAnsi="Times New Roman"/>
                <w:sz w:val="10"/>
                <w:szCs w:val="10"/>
                <w:color w:val="auto"/>
              </w:rPr>
              <w:t>(11)</w:t>
            </w:r>
            <w:r>
              <w:rPr>
                <w:rFonts w:ascii="Times New Roman" w:cs="Times New Roman" w:eastAsia="Times New Roman" w:hAnsi="Times New Roman"/>
                <w:sz w:val="18"/>
                <w:szCs w:val="18"/>
                <w:i w:val="1"/>
                <w:iCs w:val="1"/>
                <w:color w:val="auto"/>
                <w:vertAlign w:val="superscript"/>
              </w:rPr>
              <w:t>%</w:t>
            </w:r>
          </w:p>
        </w:tc>
        <w:tc>
          <w:tcPr>
            <w:tcW w:w="0" w:type="dxa"/>
            <w:vAlign w:val="bottom"/>
          </w:tcPr>
          <w:p>
            <w:pPr>
              <w:spacing w:after="0"/>
              <w:rPr>
                <w:sz w:val="1"/>
                <w:szCs w:val="1"/>
                <w:color w:val="auto"/>
              </w:rPr>
            </w:pPr>
          </w:p>
        </w:tc>
      </w:tr>
      <w:tr>
        <w:trPr>
          <w:trHeight w:val="134"/>
        </w:trPr>
        <w:tc>
          <w:tcPr>
            <w:tcW w:w="35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Total Segment Revenues</w:t>
            </w:r>
          </w:p>
        </w:tc>
        <w:tc>
          <w:tcPr>
            <w:tcW w:w="420" w:type="dxa"/>
            <w:vAlign w:val="bottom"/>
            <w:tcBorders>
              <w:bottom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20,917</w:t>
            </w:r>
          </w:p>
        </w:tc>
        <w:tc>
          <w:tcPr>
            <w:tcW w:w="1100" w:type="dxa"/>
            <w:vAlign w:val="bottom"/>
            <w:gridSpan w:val="2"/>
          </w:tcPr>
          <w:p>
            <w:pPr>
              <w:jc w:val="right"/>
              <w:ind w:right="188"/>
              <w:spacing w:after="0" w:line="132" w:lineRule="exact"/>
              <w:rPr>
                <w:sz w:val="20"/>
                <w:szCs w:val="20"/>
                <w:color w:val="auto"/>
              </w:rPr>
            </w:pPr>
            <w:r>
              <w:rPr>
                <w:rFonts w:ascii="Times New Roman" w:cs="Times New Roman" w:eastAsia="Times New Roman" w:hAnsi="Times New Roman"/>
                <w:sz w:val="9"/>
                <w:szCs w:val="9"/>
                <w:b w:val="1"/>
                <w:bCs w:val="1"/>
                <w:i w:val="1"/>
                <w:iCs w:val="1"/>
                <w:color w:val="auto"/>
              </w:rPr>
              <w:t xml:space="preserve">100 </w:t>
            </w:r>
            <w:r>
              <w:rPr>
                <w:rFonts w:ascii="Times New Roman" w:cs="Times New Roman" w:eastAsia="Times New Roman" w:hAnsi="Times New Roman"/>
                <w:sz w:val="15"/>
                <w:szCs w:val="15"/>
                <w:b w:val="1"/>
                <w:bCs w:val="1"/>
                <w:i w:val="1"/>
                <w:iCs w:val="1"/>
                <w:color w:val="auto"/>
                <w:vertAlign w:val="superscript"/>
              </w:rPr>
              <w:t>%</w:t>
            </w:r>
          </w:p>
        </w:tc>
        <w:tc>
          <w:tcPr>
            <w:tcW w:w="200" w:type="dxa"/>
            <w:vAlign w:val="bottom"/>
          </w:tcPr>
          <w:p>
            <w:pPr>
              <w:spacing w:after="0"/>
              <w:rPr>
                <w:sz w:val="11"/>
                <w:szCs w:val="11"/>
                <w:color w:val="auto"/>
              </w:rPr>
            </w:pPr>
          </w:p>
        </w:tc>
        <w:tc>
          <w:tcPr>
            <w:tcW w:w="440" w:type="dxa"/>
            <w:vAlign w:val="bottom"/>
            <w:tcBorders>
              <w:bottom w:val="single" w:sz="8" w:color="auto"/>
            </w:tcBorders>
          </w:tcPr>
          <w:p>
            <w:pPr>
              <w:jc w:val="right"/>
              <w:ind w:right="10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21,579</w:t>
            </w:r>
          </w:p>
        </w:tc>
        <w:tc>
          <w:tcPr>
            <w:tcW w:w="1160" w:type="dxa"/>
            <w:vAlign w:val="bottom"/>
            <w:gridSpan w:val="2"/>
          </w:tcPr>
          <w:p>
            <w:pPr>
              <w:jc w:val="right"/>
              <w:ind w:right="188"/>
              <w:spacing w:after="0" w:line="132" w:lineRule="exact"/>
              <w:rPr>
                <w:sz w:val="20"/>
                <w:szCs w:val="20"/>
                <w:color w:val="auto"/>
              </w:rPr>
            </w:pPr>
            <w:r>
              <w:rPr>
                <w:rFonts w:ascii="Times New Roman" w:cs="Times New Roman" w:eastAsia="Times New Roman" w:hAnsi="Times New Roman"/>
                <w:sz w:val="9"/>
                <w:szCs w:val="9"/>
                <w:b w:val="1"/>
                <w:bCs w:val="1"/>
                <w:i w:val="1"/>
                <w:iCs w:val="1"/>
                <w:color w:val="auto"/>
              </w:rPr>
              <w:t xml:space="preserve">100 </w:t>
            </w:r>
            <w:r>
              <w:rPr>
                <w:rFonts w:ascii="Times New Roman" w:cs="Times New Roman" w:eastAsia="Times New Roman" w:hAnsi="Times New Roman"/>
                <w:sz w:val="15"/>
                <w:szCs w:val="15"/>
                <w:b w:val="1"/>
                <w:bCs w:val="1"/>
                <w:i w:val="1"/>
                <w:iCs w:val="1"/>
                <w:color w:val="auto"/>
                <w:vertAlign w:val="superscript"/>
              </w:rPr>
              <w:t>%</w:t>
            </w:r>
          </w:p>
        </w:tc>
        <w:tc>
          <w:tcPr>
            <w:tcW w:w="220" w:type="dxa"/>
            <w:vAlign w:val="bottom"/>
          </w:tcPr>
          <w:p>
            <w:pPr>
              <w:spacing w:after="0"/>
              <w:rPr>
                <w:sz w:val="11"/>
                <w:szCs w:val="11"/>
                <w:color w:val="auto"/>
              </w:rPr>
            </w:pPr>
          </w:p>
        </w:tc>
        <w:tc>
          <w:tcPr>
            <w:tcW w:w="1360" w:type="dxa"/>
            <w:vAlign w:val="bottom"/>
          </w:tcPr>
          <w:p>
            <w:pPr>
              <w:jc w:val="right"/>
              <w:ind w:right="349"/>
              <w:spacing w:after="0" w:line="132" w:lineRule="exact"/>
              <w:rPr>
                <w:sz w:val="20"/>
                <w:szCs w:val="20"/>
                <w:color w:val="auto"/>
              </w:rPr>
            </w:pPr>
            <w:r>
              <w:rPr>
                <w:rFonts w:ascii="Times New Roman" w:cs="Times New Roman" w:eastAsia="Times New Roman" w:hAnsi="Times New Roman"/>
                <w:sz w:val="9"/>
                <w:szCs w:val="9"/>
                <w:b w:val="1"/>
                <w:bCs w:val="1"/>
                <w:color w:val="auto"/>
              </w:rPr>
              <w:t>(3)</w:t>
            </w:r>
            <w:r>
              <w:rPr>
                <w:rFonts w:ascii="Times New Roman" w:cs="Times New Roman" w:eastAsia="Times New Roman" w:hAnsi="Times New Roman"/>
                <w:sz w:val="15"/>
                <w:szCs w:val="15"/>
                <w:b w:val="1"/>
                <w:bCs w:val="1"/>
                <w:i w:val="1"/>
                <w:iCs w:val="1"/>
                <w:color w:val="auto"/>
                <w:vertAlign w:val="superscript"/>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 and products (excluding depreciation and amortization)</w:t>
      </w:r>
    </w:p>
    <w:p>
      <w:pPr>
        <w:spacing w:after="0" w:line="3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4"/>
          <w:szCs w:val="14"/>
          <w:color w:val="auto"/>
        </w:rPr>
        <w:t>Operating expense for 2016 decreased by 17%, or $1.9 million, as a result of the closure of the Union Square property in New York at the beginning of 2016 and the sale of the Taupo property in New Zealand, offset by the purchase of Cannon Park in Australia. Also, the initial settlement received in 2016 from STOMP in the amount of $415,000 was recorded as a recovery against legal expenses incurred in 2016.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general and administrative expense</w:t>
      </w:r>
    </w:p>
    <w:p>
      <w:pPr>
        <w:spacing w:after="0" w:line="32"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4"/>
          <w:szCs w:val="14"/>
          <w:color w:val="auto"/>
        </w:rPr>
        <w:t>Depreciation, amortization, general and administrative expense for 2016 increased by 29%, or $1.1 million, primarily driven by increased depreciation expense due to recent acquisitions and property enhancements, as well as increased salary costs due to staff expansion as we continue to develop our Real Estate capacity.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NON-SEGMENT RESULTS – 2016 vs. 2015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sale of assets</w:t>
      </w:r>
    </w:p>
    <w:p>
      <w:pPr>
        <w:spacing w:after="0" w:line="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Net gain on sale of assets for 2016 decreased by $10.6 million, primarily due to the following sale transactions resulting in gains realized in 2015: (i) the sale of our Doheny condominium in Los Angeles resulting in a $2.8 million gain during Q1 2015, (ii) the closing of the sale of Moonee Ponds in Australia for a gain of $8.0 million (AU$10.3 million) during Q2 2015 and (iii) the gain on the first of the two sale agreements for our Taupo Property in New Zealand in the amount of $246,000 (NZ$353,000) during Q2 2015, compared to the gain from the final closing of the second sale agreement of the Taupo property in New Zealand in the amount of $393,000 (NZ$585,000) realized in First Quarter 2016.</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Non-segment general and administrative expense for 2016 increased by $6.8 million or 46%, to $21.7 million. Significant elements of this increase were as follows: (i) higher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 expenses ($3.2 million), (ii) release of overaccrual in prior years’ bonus accruals during 2015 resulting in lower general &amp; administrative expenses in 2015 ($1.6 million), (iii)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expenses incurred in connection with the 2015 year-end audit ($960,000), (iv) expenses incurred in connection with the change in status of certain executives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($400,000), and (v) higher compensation expense relating to equity-based performance awards as a result of the introduction of restricted stock units ($419,000). The additional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expenses incurred for the 2015 audit (not accrued in 2015) related to the further review of the Company’s tax matters for prior years. We do not expect expenses incurred 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connection with the year-end audit and the expenses connected with the change in status of certain executives to recur.</w:t>
      </w:r>
    </w:p>
    <w:p>
      <w:pPr>
        <w:spacing w:after="0" w:line="14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The increase in legal expenses in 2016 mainly relate to the defense of the derivative litigation, the arbitration of certain claims related to the termination of James J. Cotter, Jr. as our President and Chief Executive Officer and on a more limited basis, for the work undergone to improve corporate governance matters. While the legal costs incurred by the Company were undoubtedly high, we believe that the majority of these costs were thrust upon the Company as it became necessary to vigorously defend the Company’s position in the derivative litigation and to resolve Mr. Cotter, Jr.’s claims relating to his termination. As such, these costs should also be treated as non-recurring in nature.</w:t>
      </w:r>
    </w:p>
    <w:p>
      <w:pPr>
        <w:spacing w:after="0" w:line="136"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 xml:space="preserve">For more information about the legal expense, please refer to </w:t>
      </w:r>
      <w:r>
        <w:rPr>
          <w:rFonts w:ascii="Times New Roman" w:cs="Times New Roman" w:eastAsia="Times New Roman" w:hAnsi="Times New Roman"/>
          <w:sz w:val="14"/>
          <w:szCs w:val="14"/>
          <w:i w:val="1"/>
          <w:iCs w:val="1"/>
          <w:color w:val="auto"/>
        </w:rPr>
        <w:t>Note 12 – Commitments and Contingencies</w:t>
      </w:r>
      <w:r>
        <w:rPr>
          <w:rFonts w:ascii="Times New Roman" w:cs="Times New Roman" w:eastAsia="Times New Roman" w:hAnsi="Times New Roman"/>
          <w:sz w:val="14"/>
          <w:szCs w:val="14"/>
          <w:color w:val="auto"/>
        </w:rPr>
        <w:t xml:space="preserve"> 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on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Casualty loss</w:t>
      </w:r>
    </w:p>
    <w:p>
      <w:pPr>
        <w:spacing w:after="0" w:line="3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Our parking structure at Courtenay Central in Wellington, New Zealand was significantly damaged by the earthquake on November 14, 2016 and was subsequently slated for demolition due to safety reasons. We filed an insurance claim to recover the impairment loss on the parking structure and the ancillary demolition costs. The $1.4 million casualty loss relates to the 5% deductible portion calculated based on the estimated value of the insured parking structure and the portion of demolition costs that may not be recoverable under our insurance policy. Refer to </w:t>
      </w:r>
      <w:r>
        <w:rPr>
          <w:rFonts w:ascii="Times New Roman" w:cs="Times New Roman" w:eastAsia="Times New Roman" w:hAnsi="Times New Roman"/>
          <w:sz w:val="14"/>
          <w:szCs w:val="14"/>
          <w:i w:val="1"/>
          <w:iCs w:val="1"/>
          <w:color w:val="auto"/>
        </w:rPr>
        <w:t>Note 19 – Insurance Recoveries on Impairment and Related Losses due to Earthquake</w:t>
      </w:r>
      <w:r>
        <w:rPr>
          <w:rFonts w:ascii="Times New Roman" w:cs="Times New Roman" w:eastAsia="Times New Roman" w:hAnsi="Times New Roman"/>
          <w:sz w:val="14"/>
          <w:szCs w:val="14"/>
          <w:color w:val="auto"/>
        </w:rPr>
        <w:t xml:space="preserve"> for further details.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1" w:right="7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decreased by $1.1 million, or 22%, compared to 2015, mainly due to a reduction in pre-tax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w:t>
      </w:r>
    </w:p>
    <w:p>
      <w:pPr>
        <w:spacing w:after="0" w:line="3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4"/>
          <w:szCs w:val="14"/>
          <w:color w:val="auto"/>
        </w:rPr>
        <w:t>Interest expense (net of interest income) decreased by $522,000, or 7%, mainly due to a reduction in interest rates as a result of our renegotiation of loan arrangements, offset by an increase in loan balance necessitated by our capital project needs.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Our cinema exhibition business plan is to enhance our current cinemas where it is financially reasonable to do so; develop our specialty cinemas in select markets; expand our food and beverage offering, and continue on an opportunistic basis, to identify, develop, and acquire cinema properties that allow us to leverage our cinema expertise over a larger operating base. Our real estate business plan, given the substantial increase in Manhattan rents and commercial real estate values in recent periods, is to progress the redevelopment of our Union Square and Cinemas 1,2,3 properties in the U.S.; to continue the build-out of our Newmarket and Auburn sites in Australia as well as our Courtenay Central site in New Zealand; and to continue to be sensitive to opportunities to convert our entertainment assets to higher and better uses, or, where appropriate, to dispose of such assets. We will also continue to explore potential synergistic acquisitions that may not readily fall into either our cinema or real estate segment.</w:t>
      </w:r>
    </w:p>
    <w:p>
      <w:pPr>
        <w:spacing w:after="0" w:line="11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4"/>
          <w:szCs w:val="14"/>
          <w:color w:val="auto"/>
        </w:rPr>
        <w:t>The success of our Company is dependent on our ability to execute these business plans effectively through our available resources (both cash and available borrowing facilities) while still timely addressing our liquidity risk. Liquidity risk is the risk relating to our ability to meet our financial obligations when they come due. At the present, our financial obligations arise mainly from capital expenditure needs, working capital requirements, and debt servicing requirements. We manage the liquidity risk by ensuring our ability to generate sufficient cash flows from operating activities and to obtain adequate, reasonable financing or extension of maturity dates under reasonable arrangements, and/or to convert non-performing or non-strategic assets into cash.</w:t>
      </w:r>
    </w:p>
    <w:p>
      <w:pPr>
        <w:spacing w:after="0" w:line="107"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4"/>
          <w:szCs w:val="14"/>
          <w:color w:val="auto"/>
        </w:rPr>
        <w:t>The table below presents the changes in our total available resources (cash and borrowings), debt-to-equity ratio, working capital and other relevant information addressing our liquidity for the last five years: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 in thousands)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2015</w:t>
            </w:r>
            <w:r>
              <w:rPr>
                <w:rFonts w:ascii="Times New Roman" w:cs="Times New Roman" w:eastAsia="Times New Roman" w:hAnsi="Times New Roman"/>
                <w:sz w:val="5"/>
                <w:szCs w:val="5"/>
                <w:b w:val="1"/>
                <w:bCs w:val="1"/>
                <w:color w:val="auto"/>
              </w:rPr>
              <w:t>(2)</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2014</w:t>
            </w:r>
            <w:r>
              <w:rPr>
                <w:rFonts w:ascii="Times New Roman" w:cs="Times New Roman" w:eastAsia="Times New Roman" w:hAnsi="Times New Roman"/>
                <w:sz w:val="5"/>
                <w:szCs w:val="5"/>
                <w:b w:val="1"/>
                <w:bCs w:val="1"/>
                <w:color w:val="auto"/>
              </w:rPr>
              <w:t>(2)</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2013</w:t>
            </w:r>
            <w:r>
              <w:rPr>
                <w:rFonts w:ascii="Times New Roman" w:cs="Times New Roman" w:eastAsia="Times New Roman" w:hAnsi="Times New Roman"/>
                <w:sz w:val="5"/>
                <w:szCs w:val="5"/>
                <w:b w:val="1"/>
                <w:bCs w:val="1"/>
                <w:color w:val="auto"/>
              </w:rPr>
              <w:t>(3)</w:t>
            </w:r>
          </w:p>
        </w:tc>
      </w:tr>
      <w:tr>
        <w:trPr>
          <w:trHeight w:val="15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from Operating Activities</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23,851</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30,188</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28,574</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28,343</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25,183</w:t>
            </w:r>
          </w:p>
        </w:tc>
      </w:tr>
      <w:tr>
        <w:trPr>
          <w:trHeight w:val="141"/>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Total Resources (cash and borrowings)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 (unrestricted)</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13,668</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19,017</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19,702</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50,248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37,696</w:t>
            </w:r>
          </w:p>
        </w:tc>
      </w:tr>
      <w:tr>
        <w:trPr>
          <w:trHeight w:val="14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Unused borrowing facility</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137,231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117,599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70,134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45,700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19,400</w:t>
            </w:r>
          </w:p>
        </w:tc>
      </w:tr>
      <w:tr>
        <w:trPr>
          <w:trHeight w:val="141"/>
        </w:trPr>
        <w:tc>
          <w:tcPr>
            <w:tcW w:w="3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Restricted for capital projects</w:t>
            </w:r>
            <w:r>
              <w:rPr>
                <w:rFonts w:ascii="Times New Roman" w:cs="Times New Roman" w:eastAsia="Times New Roman" w:hAnsi="Times New Roman"/>
                <w:sz w:val="5"/>
                <w:szCs w:val="5"/>
                <w:color w:val="auto"/>
              </w:rPr>
              <w:t>(1)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62,280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62,024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32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Unrestricted capacity</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74,951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55,575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59,871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45,700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19,400</w:t>
            </w:r>
          </w:p>
        </w:tc>
      </w:tr>
      <w:tr>
        <w:trPr>
          <w:trHeight w:val="14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resources at 12/31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150,899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136,616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89,836</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95,948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57,096</w:t>
            </w:r>
          </w:p>
        </w:tc>
      </w:tr>
      <w:tr>
        <w:trPr>
          <w:trHeight w:val="14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unrestricted resources at 12/31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74,592</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79,573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95,948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57,096</w:t>
            </w:r>
          </w:p>
        </w:tc>
      </w:tr>
      <w:tr>
        <w:trPr>
          <w:trHeight w:val="14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Debt-to-Equity Ratio</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contractual facility</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271,732</w:t>
            </w:r>
          </w:p>
        </w:tc>
        <w:tc>
          <w:tcPr>
            <w:tcW w:w="14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266,134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207,075</w:t>
            </w:r>
          </w:p>
        </w:tc>
        <w:tc>
          <w:tcPr>
            <w:tcW w:w="260" w:type="dxa"/>
            <w:vAlign w:val="bottom"/>
          </w:tcPr>
          <w:p>
            <w:pPr>
              <w:spacing w:after="0"/>
              <w:rPr>
                <w:sz w:val="12"/>
                <w:szCs w:val="12"/>
                <w:color w:val="auto"/>
              </w:rPr>
            </w:pP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201,318</w:t>
            </w:r>
          </w:p>
        </w:tc>
        <w:tc>
          <w:tcPr>
            <w:tcW w:w="260" w:type="dxa"/>
            <w:vAlign w:val="bottom"/>
          </w:tcPr>
          <w:p>
            <w:pPr>
              <w:spacing w:after="0"/>
              <w:rPr>
                <w:sz w:val="12"/>
                <w:szCs w:val="12"/>
                <w:color w:val="auto"/>
              </w:rPr>
            </w:pP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187,860</w:t>
            </w:r>
          </w:p>
        </w:tc>
      </w:tr>
      <w:tr>
        <w:trPr>
          <w:trHeight w:val="14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debt (gross of deferred financing costs)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134,501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148,535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130,941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164,036</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168,460</w:t>
            </w:r>
          </w:p>
        </w:tc>
      </w:tr>
      <w:tr>
        <w:trPr>
          <w:trHeight w:val="141"/>
        </w:trPr>
        <w:tc>
          <w:tcPr>
            <w:tcW w:w="32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Current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38,104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75,538</w:t>
            </w:r>
          </w:p>
        </w:tc>
      </w:tr>
      <w:tr>
        <w:trPr>
          <w:trHeight w:val="141"/>
        </w:trPr>
        <w:tc>
          <w:tcPr>
            <w:tcW w:w="3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Non-current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126,392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147,968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115,941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125,932</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92,922</w:t>
            </w:r>
          </w:p>
        </w:tc>
      </w:tr>
      <w:tr>
        <w:trPr>
          <w:trHeight w:val="14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book equity</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146,615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138,951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133,716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123,531</w:t>
            </w:r>
          </w:p>
        </w:tc>
      </w:tr>
      <w:tr>
        <w:trPr>
          <w:trHeight w:val="14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Debt-to-equity ratio</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0.94</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r>
      <w:tr>
        <w:trPr>
          <w:trHeight w:val="141"/>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Working Capital</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Working capital (deficit)</w:t>
            </w:r>
            <w:r>
              <w:rPr>
                <w:rFonts w:ascii="Times New Roman" w:cs="Times New Roman" w:eastAsia="Times New Roman" w:hAnsi="Times New Roman"/>
                <w:sz w:val="5"/>
                <w:szCs w:val="5"/>
                <w:color w:val="auto"/>
              </w:rPr>
              <w:t>(4)</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(46,971)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6,655</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(35,581)</w:t>
            </w: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(15,119)</w:t>
            </w: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(75,067)</w:t>
            </w:r>
          </w:p>
        </w:tc>
      </w:tr>
      <w:tr>
        <w:trPr>
          <w:trHeight w:val="141"/>
        </w:trPr>
        <w:tc>
          <w:tcPr>
            <w:tcW w:w="3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Current ratio</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0.43</w:t>
            </w:r>
          </w:p>
        </w:tc>
      </w:tr>
      <w:tr>
        <w:trPr>
          <w:trHeight w:val="14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Capital Expenditures (including acquisitions)</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76,708</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49,166</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53,119</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14,914</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20,082</w:t>
            </w:r>
          </w:p>
        </w:tc>
      </w:tr>
    </w:tbl>
    <w:p>
      <w:pPr>
        <w:spacing w:after="0" w:line="169" w:lineRule="exact"/>
        <w:rPr>
          <w:sz w:val="20"/>
          <w:szCs w:val="20"/>
          <w:color w:val="auto"/>
        </w:rPr>
      </w:pPr>
    </w:p>
    <w:p>
      <w:pPr>
        <w:ind w:left="100" w:hanging="93"/>
        <w:spacing w:after="0"/>
        <w:tabs>
          <w:tab w:leader="none" w:pos="100" w:val="left"/>
        </w:tabs>
        <w:numPr>
          <w:ilvl w:val="0"/>
          <w:numId w:val="47"/>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This relates to the construction facilities specifically negotiated for: (i) Union Square redevelopment project, obtained in December 2016, and (ii) New Zealand construction projects, obtained in May 2015.</w:t>
      </w:r>
    </w:p>
    <w:p>
      <w:pPr>
        <w:spacing w:after="0" w:line="16" w:lineRule="exact"/>
        <w:rPr>
          <w:rFonts w:ascii="Times New Roman" w:cs="Times New Roman" w:eastAsia="Times New Roman" w:hAnsi="Times New Roman"/>
          <w:sz w:val="10"/>
          <w:szCs w:val="10"/>
          <w:i w:val="1"/>
          <w:iCs w:val="1"/>
          <w:color w:val="auto"/>
          <w:vertAlign w:val="superscript"/>
        </w:rPr>
      </w:pPr>
    </w:p>
    <w:p>
      <w:pPr>
        <w:ind w:left="140" w:right="180" w:hanging="133"/>
        <w:spacing w:after="0" w:line="216" w:lineRule="auto"/>
        <w:tabs>
          <w:tab w:leader="none" w:pos="102" w:val="left"/>
        </w:tabs>
        <w:numPr>
          <w:ilvl w:val="0"/>
          <w:numId w:val="47"/>
        </w:numPr>
        <w:rPr>
          <w:rFonts w:ascii="Times New Roman" w:cs="Times New Roman" w:eastAsia="Times New Roman" w:hAnsi="Times New Roman"/>
          <w:sz w:val="12"/>
          <w:szCs w:val="12"/>
          <w:i w:val="1"/>
          <w:iCs w:val="1"/>
          <w:color w:val="auto"/>
          <w:vertAlign w:val="superscript"/>
        </w:rPr>
      </w:pPr>
      <w:r>
        <w:rPr>
          <w:rFonts w:ascii="Times New Roman" w:cs="Times New Roman" w:eastAsia="Times New Roman" w:hAnsi="Times New Roman"/>
          <w:sz w:val="10"/>
          <w:szCs w:val="10"/>
          <w:i w:val="1"/>
          <w:iCs w:val="1"/>
          <w:color w:val="auto"/>
        </w:rPr>
        <w:t>Certain 2015 balances included the restatement impact as a result of a change in accounting principle (see Note 2 – Summary of Significant Accounting Policies – Accounting Changes). For 2014, no changes made, except for the Stockholders’ Equity balance as of 12/31/2014, as we were not required to present the restatement numbers as of December 31, 2014 for Balance Sheet.</w:t>
      </w:r>
    </w:p>
    <w:p>
      <w:pPr>
        <w:ind w:left="100" w:hanging="93"/>
        <w:spacing w:after="0"/>
        <w:tabs>
          <w:tab w:leader="none" w:pos="100" w:val="left"/>
        </w:tabs>
        <w:numPr>
          <w:ilvl w:val="0"/>
          <w:numId w:val="47"/>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2013 is not covered by the restatement as a result of a change in accounting principle. Except for the Stockholders’ Equity balance as of 12/31/2013, no other changes made.</w:t>
      </w:r>
    </w:p>
    <w:p>
      <w:pPr>
        <w:spacing w:after="0" w:line="4" w:lineRule="exact"/>
        <w:rPr>
          <w:rFonts w:ascii="Times New Roman" w:cs="Times New Roman" w:eastAsia="Times New Roman" w:hAnsi="Times New Roman"/>
          <w:sz w:val="10"/>
          <w:szCs w:val="10"/>
          <w:i w:val="1"/>
          <w:iCs w:val="1"/>
          <w:color w:val="auto"/>
          <w:vertAlign w:val="superscript"/>
        </w:rPr>
      </w:pPr>
    </w:p>
    <w:p>
      <w:pPr>
        <w:ind w:left="100" w:hanging="93"/>
        <w:spacing w:after="0"/>
        <w:tabs>
          <w:tab w:leader="none" w:pos="100" w:val="left"/>
        </w:tabs>
        <w:numPr>
          <w:ilvl w:val="0"/>
          <w:numId w:val="47"/>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Typically our working capital (deficit) is negative as we receive revenue from our cinema business ahead of the time that we have to pay our associated liabilities. We use the money we receive to pay down our borrowings in the first instance.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2, 2017, the Board of Directors authorized a stock repurchase program to repurchase up to $25.0 million of Reading’s Class A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1" w:right="739" w:bottom="1440" w:gutter="0" w:footer="0" w:header="0"/>
        </w:sectPr>
      </w:pPr>
    </w:p>
    <w:bookmarkStart w:id="52" w:name="page53"/>
    <w:bookmarkEnd w:id="52"/>
    <w:p>
      <w:pPr>
        <w:ind w:right="100"/>
        <w:spacing w:after="0" w:line="269" w:lineRule="auto"/>
        <w:rPr>
          <w:sz w:val="20"/>
          <w:szCs w:val="20"/>
          <w:color w:val="auto"/>
        </w:rPr>
      </w:pPr>
      <w:r>
        <w:rPr>
          <w:rFonts w:ascii="Times New Roman" w:cs="Times New Roman" w:eastAsia="Times New Roman" w:hAnsi="Times New Roman"/>
          <w:sz w:val="14"/>
          <w:szCs w:val="14"/>
          <w:color w:val="auto"/>
        </w:rPr>
        <w:t>We manage our cash, investments and capital structure so we are able to meet the short-term and long-term obligations of our business, while maintaining financial flexibility and liquidity. We forecast, analyze and monitor our cash flows to enable investment and financing within the overall constraints of our financial strategy. In recent years, our treasury management has been focused on more aggressive cash management using cash balances to reduce debt. In earlier years, we maintained significant cash balances in our bank accounts. We have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p>
    <w:p>
      <w:pPr>
        <w:spacing w:after="0" w:line="10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4"/>
          <w:szCs w:val="14"/>
          <w:color w:val="auto"/>
        </w:rPr>
        <w:t>For the year ended December 31, 2017, we extended the maturity of our primary corporate credit facility from March 2018 to December 2019, pending a longer term credit facility to be negotiated in conjunction with any further redevelopment work on our Courtenay central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10 – Borrowings</w:t>
      </w:r>
      <w:r>
        <w:rPr>
          <w:rFonts w:ascii="Times New Roman" w:cs="Times New Roman" w:eastAsia="Times New Roman" w:hAnsi="Times New Roman"/>
          <w:sz w:val="14"/>
          <w:szCs w:val="14"/>
          <w:color w:val="auto"/>
        </w:rPr>
        <w:t xml:space="preserve"> in the Consolidated Financial Statements for further details on our various borrowing arrangements.</w:t>
      </w:r>
    </w:p>
    <w:p>
      <w:pPr>
        <w:spacing w:after="0" w:line="15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4"/>
          <w:szCs w:val="14"/>
          <w:color w:val="auto"/>
        </w:rPr>
        <w:t>At December 31, 2017, our consolidated cash and cash equivalents totaled $13.7 million. Of this amount, $9.1 million, $2.9 million and $1.7 million were held by our U.S., Australian and New Zealand operations, respectively. Our current intention is to reinvest indefinitely Australian earnings but do not have the same plan for New Zealand earnings. If the Australian earnings were used to fund U.S. operations, they could be subject to additional income taxes upon repatriation.</w:t>
      </w:r>
    </w:p>
    <w:p>
      <w:pPr>
        <w:spacing w:after="0" w:line="10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4"/>
          <w:szCs w:val="14"/>
          <w:color w:val="auto"/>
        </w:rPr>
        <w:t>We have historically funded our working capital requirements, capital expenditures and investments in individual properties primarily from a combination of internally generated cash flows and debt. As noted in the preceding table, we have $75.0 million unused capacity of available corporate credit facilities at December 31, 2017. In addition, we have $49.5 million and $12.8 unused capacity for Union Square development uses and construction funding for New Zealand,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cash and cash equivalents for the three years ended December 31, 2017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920" w:type="dxa"/>
            <w:vAlign w:val="bottom"/>
            <w:tcBorders>
              <w:bottom w:val="single" w:sz="8" w:color="auto"/>
            </w:tcBorders>
          </w:tcPr>
          <w:p>
            <w:pPr>
              <w:spacing w:after="0"/>
              <w:rPr>
                <w:sz w:val="12"/>
                <w:szCs w:val="12"/>
                <w:color w:val="auto"/>
              </w:rPr>
            </w:pPr>
          </w:p>
        </w:tc>
      </w:tr>
      <w:tr>
        <w:trPr>
          <w:trHeight w:val="164"/>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2016</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2017 vs. 2016</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w w:val="97"/>
              </w:rPr>
              <w:t>2016 vs. 2015</w:t>
            </w:r>
          </w:p>
        </w:tc>
      </w:tr>
      <w:tr>
        <w:trPr>
          <w:trHeight w:val="152"/>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23,851</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30,188</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28,574</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6 %</w:t>
            </w:r>
          </w:p>
        </w:tc>
      </w:tr>
      <w:tr>
        <w:trPr>
          <w:trHeight w:val="163"/>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(6,786)</w:t>
            </w:r>
          </w:p>
        </w:tc>
        <w:tc>
          <w:tcPr>
            <w:tcW w:w="3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(42,861)</w:t>
            </w: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(29,710)</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84 %</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(44)%</w:t>
            </w:r>
          </w:p>
        </w:tc>
      </w:tr>
      <w:tr>
        <w:trPr>
          <w:trHeight w:val="163"/>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(22,055)</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(27,961)</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(&gt; 100)%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&gt; 100%</w:t>
            </w:r>
          </w:p>
        </w:tc>
      </w:tr>
      <w:tr>
        <w:trPr>
          <w:trHeight w:val="152"/>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Impact of exchange rate on cash</w:t>
            </w: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(1,449)</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(&gt; 100)%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&gt; 100%</w:t>
            </w:r>
          </w:p>
        </w:tc>
      </w:tr>
      <w:tr>
        <w:trPr>
          <w:trHeight w:val="22"/>
        </w:trPr>
        <w:tc>
          <w:tcPr>
            <w:tcW w:w="4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r>
        <w:trPr>
          <w:trHeight w:val="141"/>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cash and cash equivalents</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(5,349)</w:t>
            </w:r>
          </w:p>
        </w:tc>
        <w:tc>
          <w:tcPr>
            <w:tcW w:w="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(685)</w:t>
            </w:r>
          </w:p>
        </w:tc>
        <w:tc>
          <w:tcPr>
            <w:tcW w:w="3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(30,546)</w:t>
            </w:r>
          </w:p>
        </w:tc>
        <w:tc>
          <w:tcPr>
            <w:tcW w:w="11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(&gt; 100)%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98 %</w:t>
            </w:r>
          </w:p>
        </w:tc>
      </w:tr>
      <w:tr>
        <w:trPr>
          <w:trHeight w:val="22"/>
        </w:trPr>
        <w:tc>
          <w:tcPr>
            <w:tcW w:w="4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01" w:lineRule="exact"/>
        <w:rPr>
          <w:sz w:val="20"/>
          <w:szCs w:val="20"/>
          <w:color w:val="auto"/>
        </w:rPr>
      </w:pPr>
    </w:p>
    <w:p>
      <w:pPr>
        <w:ind w:right="280"/>
        <w:spacing w:after="0" w:line="303" w:lineRule="auto"/>
        <w:rPr>
          <w:sz w:val="20"/>
          <w:szCs w:val="20"/>
          <w:color w:val="auto"/>
        </w:rPr>
      </w:pPr>
      <w:r>
        <w:rPr>
          <w:rFonts w:ascii="Times New Roman" w:cs="Times New Roman" w:eastAsia="Times New Roman" w:hAnsi="Times New Roman"/>
          <w:sz w:val="14"/>
          <w:szCs w:val="14"/>
          <w:i w:val="1"/>
          <w:iCs w:val="1"/>
          <w:u w:val="single" w:color="auto"/>
          <w:color w:val="auto"/>
        </w:rPr>
        <w:t>2017 vs. 2016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provided by operating activities for 2017 decreased by $6.3 million or 21%, to $23.9 million, primarily driven by a $16.4 million reduction in net working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assets, partially offset by a $10.1 million increase in operational cash flows as a result of the decrease in corporate General and Administrative expenses.</w:t>
      </w:r>
    </w:p>
    <w:p>
      <w:pPr>
        <w:spacing w:after="0" w:line="82" w:lineRule="exact"/>
        <w:rPr>
          <w:sz w:val="20"/>
          <w:szCs w:val="20"/>
          <w:color w:val="auto"/>
        </w:rPr>
      </w:pPr>
    </w:p>
    <w:p>
      <w:pPr>
        <w:ind w:right="260"/>
        <w:spacing w:after="0" w:line="303" w:lineRule="auto"/>
        <w:rPr>
          <w:sz w:val="20"/>
          <w:szCs w:val="20"/>
          <w:color w:val="auto"/>
        </w:rPr>
      </w:pPr>
      <w:r>
        <w:rPr>
          <w:rFonts w:ascii="Times New Roman" w:cs="Times New Roman" w:eastAsia="Times New Roman" w:hAnsi="Times New Roman"/>
          <w:sz w:val="14"/>
          <w:szCs w:val="14"/>
          <w:i w:val="1"/>
          <w:iCs w:val="1"/>
          <w:u w:val="single" w:color="auto"/>
          <w:color w:val="auto"/>
        </w:rPr>
        <w:t>2016 vs. 2015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provided by operating activities for 2016 increased by $1.6 million or 6%, to $30.2 million, primarily driven by a $1.3 million increase in operational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flows as a result of the increase in segment operating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0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i w:val="1"/>
          <w:iCs w:val="1"/>
          <w:u w:val="single" w:color="auto"/>
          <w:color w:val="auto"/>
        </w:rPr>
        <w:t>2017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2017, the $6.8 million of cash used in investing activities was mainly related to the $65.9 million capital expenditures, which includes the redevelopment and expansion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Newmarket Village ETC in Brisbane, Australia, the on-going development of our Union Square project, and as well as the upgrade of a number of our existing cinemas. We also used $3.7 million towards the demolition of the Courtenay Central car parking structure in Wellington, New Zealand. These are offset by the $44.7 million received from the sale of our Burwood property as well as the $18.4 million final insurance settlement on our Courtenay Central parking structure.</w:t>
      </w:r>
    </w:p>
    <w:p>
      <w:pPr>
        <w:spacing w:after="0" w:line="10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2016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2016, the $42.9 million of cash used in investing activities was mainly related to the $49.2 million capital expenditures, which included the following: (i) $11.2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 of the new Corporate Headquarters office in Los Angeles, (ii) expenditures relating to the fit-out and opening of Olino and enhancement to our existing cinemas, and</w:t>
      </w:r>
    </w:p>
    <w:p>
      <w:pPr>
        <w:spacing w:after="0" w:line="1" w:lineRule="exact"/>
        <w:rPr>
          <w:sz w:val="20"/>
          <w:szCs w:val="20"/>
          <w:color w:val="auto"/>
        </w:rPr>
      </w:pPr>
    </w:p>
    <w:p>
      <w:pPr>
        <w:ind w:right="180" w:firstLine="7"/>
        <w:spacing w:after="0" w:line="268" w:lineRule="auto"/>
        <w:tabs>
          <w:tab w:leader="none" w:pos="25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relating to our various value creation projects, notably the Union Square redevelopment project and expansion projects for our Newmarket and Courtenay centers. These are offset by the $5.0 million advanced insurance settlement on our Courtenay Central parking structure earthquake damage and $831,000 proceeds from the sale closing of the Lake Taupo undeveloped land.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56"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4"/>
          <w:szCs w:val="14"/>
          <w:i w:val="1"/>
          <w:iCs w:val="1"/>
          <w:u w:val="single" w:color="auto"/>
          <w:color w:val="auto"/>
        </w:rPr>
        <w:t>2017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$22.0 million of cash used in financing activities was primarily due to the $15.4 million in loan repayments (net of $91.0 million new loan advances), and $6.5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used as part of the 2017 $25.0 million stock buyback program.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53" w:name="page54"/>
    <w:bookmarkEnd w:id="53"/>
    <w:p>
      <w:pPr>
        <w:ind w:right="160"/>
        <w:spacing w:after="0" w:line="280" w:lineRule="auto"/>
        <w:rPr>
          <w:sz w:val="20"/>
          <w:szCs w:val="20"/>
          <w:color w:val="auto"/>
        </w:rPr>
      </w:pPr>
      <w:r>
        <w:rPr>
          <w:rFonts w:ascii="Times New Roman" w:cs="Times New Roman" w:eastAsia="Times New Roman" w:hAnsi="Times New Roman"/>
          <w:sz w:val="14"/>
          <w:szCs w:val="14"/>
          <w:i w:val="1"/>
          <w:iCs w:val="1"/>
          <w:u w:val="single" w:color="auto"/>
          <w:color w:val="auto"/>
        </w:rPr>
        <w:t>2016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$11.2 million of cash provided by financing activities was primarily due to the $17.9 million new loan advances (net of $63.7 million repayments), offset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expenditures relating to the following: (i) $4.0 million capitalized borrowing costs to negotiate new loan arrangements, specifically the new Union Square construction financing and the U.S. Corporate Headquarters term loan, and (ii) $2.9 million cash outlays to complete our $10.0 million stock buyback program.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the maturities and scheduled principal repayments of our recorded contractual obligations as of December 31,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7"/>
              </w:rPr>
              <w:t>Thereafter</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2"/>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 current and non-current portion</w:t>
            </w:r>
            <w:r>
              <w:rPr>
                <w:rFonts w:ascii="Times New Roman" w:cs="Times New Roman" w:eastAsia="Times New Roman" w:hAnsi="Times New Roman"/>
                <w:sz w:val="5"/>
                <w:szCs w:val="5"/>
                <w:color w:val="auto"/>
              </w:rPr>
              <w:t>(1)</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89,190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8,487</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106,592</w:t>
            </w:r>
          </w:p>
        </w:tc>
      </w:tr>
      <w:tr>
        <w:trPr>
          <w:trHeight w:val="163"/>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Subordinated debt</w:t>
            </w:r>
            <w:r>
              <w:rPr>
                <w:rFonts w:ascii="Times New Roman" w:cs="Times New Roman" w:eastAsia="Times New Roman" w:hAnsi="Times New Roman"/>
                <w:sz w:val="5"/>
                <w:szCs w:val="5"/>
                <w:color w:val="auto"/>
              </w:rPr>
              <w:t>(1)</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27,913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27,913</w:t>
            </w:r>
          </w:p>
        </w:tc>
      </w:tr>
      <w:tr>
        <w:trPr>
          <w:trHeight w:val="163"/>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Pension liability</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2,907</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8,135</w:t>
            </w:r>
          </w:p>
        </w:tc>
      </w:tr>
      <w:tr>
        <w:trPr>
          <w:trHeight w:val="163"/>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Village East purchase option</w:t>
            </w:r>
            <w:r>
              <w:rPr>
                <w:rFonts w:ascii="Times New Roman" w:cs="Times New Roman" w:eastAsia="Times New Roman" w:hAnsi="Times New Roman"/>
                <w:sz w:val="5"/>
                <w:szCs w:val="5"/>
                <w:color w:val="auto"/>
              </w:rPr>
              <w:t>(2)</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5,900</w:t>
            </w:r>
          </w:p>
        </w:tc>
      </w:tr>
      <w:tr>
        <w:trPr>
          <w:trHeight w:val="163"/>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obligations</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31,609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31,554</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26,675</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26,407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206,733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330,818</w:t>
            </w:r>
          </w:p>
        </w:tc>
      </w:tr>
      <w:tr>
        <w:trPr>
          <w:trHeight w:val="163"/>
        </w:trPr>
        <w:tc>
          <w:tcPr>
            <w:tcW w:w="3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Estimated interest on debt</w:t>
            </w:r>
            <w:r>
              <w:rPr>
                <w:rFonts w:ascii="Times New Roman" w:cs="Times New Roman" w:eastAsia="Times New Roman" w:hAnsi="Times New Roman"/>
                <w:sz w:val="5"/>
                <w:szCs w:val="5"/>
                <w:color w:val="auto"/>
              </w:rPr>
              <w:t>(3)</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6,319</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5,023</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1,910</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1,886</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8,184</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25,220</w:t>
            </w:r>
          </w:p>
        </w:tc>
      </w:tr>
      <w:tr>
        <w:trPr>
          <w:trHeight w:val="134"/>
        </w:trPr>
        <w:tc>
          <w:tcPr>
            <w:tcW w:w="3300" w:type="dxa"/>
            <w:vAlign w:val="bottom"/>
            <w:tcBorders>
              <w:bottom w:val="single" w:sz="8" w:color="CCEEFF"/>
            </w:tcBorders>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240" w:type="dxa"/>
            <w:vAlign w:val="bottom"/>
            <w:tcBorders>
              <w:bottom w:val="single" w:sz="8" w:color="auto"/>
            </w:tcBorders>
            <w:shd w:val="clear" w:color="auto" w:fill="CCEEFF"/>
          </w:tcPr>
          <w:p>
            <w:pPr>
              <w:jc w:val="right"/>
              <w:ind w:right="4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54,874</w:t>
            </w: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4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126,451</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2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29,517</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4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29,247</w:t>
            </w:r>
          </w:p>
        </w:tc>
        <w:tc>
          <w:tcPr>
            <w:tcW w:w="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2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10,680</w:t>
            </w: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253,809</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2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504,578</w:t>
            </w:r>
          </w:p>
        </w:tc>
      </w:tr>
    </w:tbl>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10"/>
          <w:szCs w:val="10"/>
          <w:i w:val="1"/>
          <w:iCs w:val="1"/>
          <w:color w:val="auto"/>
        </w:rPr>
        <w:t>Information is presented gross of deferred financing costs.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(2)</w:t>
      </w:r>
      <w:r>
        <w:rPr>
          <w:rFonts w:ascii="Times New Roman" w:cs="Times New Roman" w:eastAsia="Times New Roman" w:hAnsi="Times New Roman"/>
          <w:sz w:val="10"/>
          <w:szCs w:val="10"/>
          <w:i w:val="1"/>
          <w:iCs w:val="1"/>
          <w:color w:val="auto"/>
        </w:rPr>
        <w:t>Represents the lease liability of the option associated with the ground lease purchase of the Village East Cinema.</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(3)</w:t>
      </w:r>
      <w:r>
        <w:rPr>
          <w:rFonts w:ascii="Times New Roman" w:cs="Times New Roman" w:eastAsia="Times New Roman" w:hAnsi="Times New Roman"/>
          <w:sz w:val="10"/>
          <w:szCs w:val="10"/>
          <w:i w:val="1"/>
          <w:iCs w:val="1"/>
          <w:color w:val="auto"/>
        </w:rPr>
        <w:t>Estimated interest on debt is based on the anticipated loan balances for future periods and current applicable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currently involved in certain legal proceedings and, as required, have accrued estimates of probable and estimable losses for the resolution of these claims.</w:t>
      </w:r>
    </w:p>
    <w:p>
      <w:pPr>
        <w:spacing w:after="0" w:line="149"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4"/>
          <w:szCs w:val="14"/>
          <w:color w:val="auto"/>
        </w:rPr>
        <w:t>Where we are the plaintiffs, we expense all legal fees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0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w:t>
      </w:r>
    </w:p>
    <w:p>
      <w:pPr>
        <w:spacing w:after="0" w:line="272"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4"/>
          <w:szCs w:val="14"/>
          <w:color w:val="auto"/>
        </w:rPr>
        <w:t xml:space="preserve">Please refer to </w:t>
      </w:r>
      <w:r>
        <w:rPr>
          <w:rFonts w:ascii="Times New Roman" w:cs="Times New Roman" w:eastAsia="Times New Roman" w:hAnsi="Times New Roman"/>
          <w:sz w:val="14"/>
          <w:szCs w:val="14"/>
          <w:i w:val="1"/>
          <w:iCs w:val="1"/>
          <w:color w:val="auto"/>
        </w:rPr>
        <w:t>Note 12 – Commitments and Contingencies</w:t>
      </w:r>
      <w:r>
        <w:rPr>
          <w:rFonts w:ascii="Times New Roman" w:cs="Times New Roman" w:eastAsia="Times New Roman" w:hAnsi="Times New Roman"/>
          <w:sz w:val="14"/>
          <w:szCs w:val="14"/>
          <w:color w:val="auto"/>
        </w:rPr>
        <w:t xml:space="preserve"> 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Data</w:t>
      </w:r>
      <w:r>
        <w:rPr>
          <w:rFonts w:ascii="Times New Roman" w:cs="Times New Roman" w:eastAsia="Times New Roman" w:hAnsi="Times New Roman"/>
          <w:sz w:val="14"/>
          <w:szCs w:val="14"/>
          <w:color w:val="auto"/>
        </w:rPr>
        <w:t>) on this report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30" w:lineRule="exact"/>
        <w:rPr>
          <w:sz w:val="20"/>
          <w:szCs w:val="20"/>
          <w:color w:val="auto"/>
        </w:rPr>
      </w:pPr>
    </w:p>
    <w:p>
      <w:pPr>
        <w:jc w:val="both"/>
        <w:ind w:right="340"/>
        <w:spacing w:after="0" w:line="264" w:lineRule="auto"/>
        <w:rPr>
          <w:sz w:val="20"/>
          <w:szCs w:val="20"/>
          <w:color w:val="auto"/>
        </w:rPr>
      </w:pPr>
      <w:r>
        <w:rPr>
          <w:rFonts w:ascii="Times New Roman" w:cs="Times New Roman" w:eastAsia="Times New Roman" w:hAnsi="Times New Roman"/>
          <w:sz w:val="14"/>
          <w:szCs w:val="14"/>
          <w:color w:val="auto"/>
        </w:rPr>
        <w:t xml:space="preserve">Other than the operating lease arrangements detailed in </w:t>
      </w:r>
      <w:r>
        <w:rPr>
          <w:rFonts w:ascii="Times New Roman" w:cs="Times New Roman" w:eastAsia="Times New Roman" w:hAnsi="Times New Roman"/>
          <w:sz w:val="14"/>
          <w:szCs w:val="14"/>
          <w:i w:val="1"/>
          <w:iCs w:val="1"/>
          <w:color w:val="auto"/>
        </w:rPr>
        <w:t>Note 12 – Commitments and Contingencies</w:t>
      </w:r>
      <w:r>
        <w:rPr>
          <w:rFonts w:ascii="Times New Roman" w:cs="Times New Roman" w:eastAsia="Times New Roman" w:hAnsi="Times New Roman"/>
          <w:sz w:val="14"/>
          <w:szCs w:val="14"/>
          <w:color w:val="auto"/>
        </w:rPr>
        <w:t xml:space="preserve"> 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on this report, 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RISK MANAGEMENT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Currency and interest rate risk</w:t>
      </w:r>
    </w:p>
    <w:p>
      <w:pPr>
        <w:spacing w:after="0" w:line="3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4"/>
          <w:szCs w:val="14"/>
          <w:color w:val="auto"/>
        </w:rPr>
        <w:t>Our Company’s objective in managing exposure to foreign currency and interest rate fluctuations is to reduce volatility of earnings and cash flows in order to allow management to focus on core business issues and challenges.</w:t>
      </w:r>
    </w:p>
    <w:p>
      <w:pPr>
        <w:spacing w:after="0" w:line="112"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4"/>
          <w:szCs w:val="14"/>
          <w:color w:val="auto"/>
        </w:rPr>
        <w:t>We currently manage our currency exposure by creating, whenever possible, natural hedges in Australia and New Zealand. This involves local country sourcing of goods and services, as well as borrowing in local currencies to match revenues and expenses. Since we intend to conduct business on a self-funding basis (except for funds used to pay an appropriate share of our U.S. corporate overhead), we do not believe the currency fluctuations present a material risk to the Company. As such, we do not use derivative financial instruments to hedge against the risk of foreign currency exposure.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3" w:right="739" w:bottom="1440" w:gutter="0" w:footer="0" w:header="0"/>
        </w:sectPr>
      </w:pPr>
    </w:p>
    <w:bookmarkStart w:id="54" w:name="page55"/>
    <w:bookmarkEnd w:id="54"/>
    <w:p>
      <w:pPr>
        <w:ind w:right="180"/>
        <w:spacing w:after="0" w:line="279" w:lineRule="auto"/>
        <w:rPr>
          <w:sz w:val="20"/>
          <w:szCs w:val="20"/>
          <w:color w:val="auto"/>
        </w:rPr>
      </w:pPr>
      <w:r>
        <w:rPr>
          <w:rFonts w:ascii="Times New Roman" w:cs="Times New Roman" w:eastAsia="Times New Roman" w:hAnsi="Times New Roman"/>
          <w:sz w:val="14"/>
          <w:szCs w:val="14"/>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w:t>
      </w:r>
    </w:p>
    <w:p>
      <w:pPr>
        <w:spacing w:after="0" w:line="3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we have managed the effects of inflation appropriately, and, as a result, it has not had a material impact on our operations and the resulting financial position or liquidity.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56"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4"/>
          <w:szCs w:val="14"/>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 including goodwill and intangible assets</w:t>
      </w:r>
    </w:p>
    <w:p>
      <w:pPr>
        <w:spacing w:after="0" w:line="32"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4"/>
          <w:szCs w:val="14"/>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99" w:lineRule="exact"/>
        <w:rPr>
          <w:sz w:val="20"/>
          <w:szCs w:val="20"/>
          <w:color w:val="auto"/>
        </w:rPr>
      </w:pPr>
    </w:p>
    <w:p>
      <w:pPr>
        <w:ind w:left="200" w:right="20" w:hanging="193"/>
        <w:spacing w:after="0" w:line="269" w:lineRule="auto"/>
        <w:tabs>
          <w:tab w:leader="none" w:pos="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Impairment of Long-lived Assets (other than Goodwill and Intangible Assets with indefinite lives) – </w:t>
      </w:r>
      <w:r>
        <w:rPr>
          <w:rFonts w:ascii="Times New Roman" w:cs="Times New Roman" w:eastAsia="Times New Roman" w:hAnsi="Times New Roman"/>
          <w:sz w:val="14"/>
          <w:szCs w:val="14"/>
          <w:color w:val="auto"/>
        </w:rPr>
        <w:t>we evaluate our long-lived assets and finite-lived intangible assets using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08" w:lineRule="exact"/>
        <w:rPr>
          <w:rFonts w:ascii="Times New Roman" w:cs="Times New Roman" w:eastAsia="Times New Roman" w:hAnsi="Times New Roman"/>
          <w:sz w:val="14"/>
          <w:szCs w:val="14"/>
          <w:color w:val="auto"/>
        </w:rPr>
      </w:pPr>
    </w:p>
    <w:p>
      <w:pPr>
        <w:ind w:left="20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Besides the write-down of the carrying amount of our parking structure adjacent to our Courtenay Central ETC in Wellington, New Zealand due to earthquake damage during the 4</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quarter of 2016, no other impairment losses were recorded for long-lived and finite-lived intangible assets for the three years ended December 31, 2017. Refer to </w:t>
      </w:r>
      <w:r>
        <w:rPr>
          <w:rFonts w:ascii="Times New Roman" w:cs="Times New Roman" w:eastAsia="Times New Roman" w:hAnsi="Times New Roman"/>
          <w:sz w:val="14"/>
          <w:szCs w:val="14"/>
          <w:i w:val="1"/>
          <w:iCs w:val="1"/>
          <w:color w:val="auto"/>
        </w:rPr>
        <w:t>Note 19</w:t>
      </w:r>
    </w:p>
    <w:p>
      <w:pPr>
        <w:ind w:left="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 Insurance Recoveries on Impairment and Related Losses due to Earthquake </w:t>
      </w:r>
      <w:r>
        <w:rPr>
          <w:rFonts w:ascii="Times New Roman" w:cs="Times New Roman" w:eastAsia="Times New Roman" w:hAnsi="Times New Roman"/>
          <w:sz w:val="14"/>
          <w:szCs w:val="14"/>
          <w:color w:val="auto"/>
        </w:rPr>
        <w:t>for further details.</w:t>
      </w:r>
    </w:p>
    <w:p>
      <w:pPr>
        <w:spacing w:after="0" w:line="147" w:lineRule="exact"/>
        <w:rPr>
          <w:rFonts w:ascii="Times New Roman" w:cs="Times New Roman" w:eastAsia="Times New Roman" w:hAnsi="Times New Roman"/>
          <w:sz w:val="14"/>
          <w:szCs w:val="14"/>
          <w:color w:val="auto"/>
        </w:rPr>
      </w:pPr>
    </w:p>
    <w:p>
      <w:pPr>
        <w:ind w:left="200" w:right="240" w:hanging="193"/>
        <w:spacing w:after="0" w:line="269" w:lineRule="auto"/>
        <w:tabs>
          <w:tab w:leader="none" w:pos="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Impairment of Goodwill and Intangible Assets with indefinite lives – </w:t>
      </w:r>
      <w:r>
        <w:rPr>
          <w:rFonts w:ascii="Times New Roman" w:cs="Times New Roman" w:eastAsia="Times New Roman" w:hAnsi="Times New Roman"/>
          <w:sz w:val="14"/>
          <w:szCs w:val="14"/>
          <w:color w:val="auto"/>
        </w:rPr>
        <w:t>goodwill and intangible assets with indefinite useful lives are not amortized, but instead, tested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 impairment losses were recorded for goodwill and indefinite-lived intangible assets for the three years ended December 31, 2017.</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3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4"/>
          <w:szCs w:val="14"/>
          <w:color w:val="auto"/>
        </w:rPr>
        <w:t xml:space="preserve">In recent years, our business acquisition efforts have been focused on our real estate segment. For real estate acquisitions meeting the definition of a “business”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the assets acquired and the liabilities assumed are recorded at their fair values as of the acquisition date. To accomplish this, we typically obtain third 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as described in more detail in the section “</w:t>
      </w:r>
      <w:r>
        <w:rPr>
          <w:rFonts w:ascii="Times New Roman" w:cs="Times New Roman" w:eastAsia="Times New Roman" w:hAnsi="Times New Roman"/>
          <w:sz w:val="14"/>
          <w:szCs w:val="14"/>
          <w:i w:val="1"/>
          <w:iCs w:val="1"/>
          <w:color w:val="auto"/>
        </w:rPr>
        <w:t>Business Acquisition Valuation and Purchase Price Allocation</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i w:val="1"/>
          <w:iCs w:val="1"/>
          <w:color w:val="auto"/>
        </w:rPr>
        <w:t>Note 2 – Summary of Significant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Accounting Policies </w:t>
      </w:r>
      <w:r>
        <w:rPr>
          <w:rFonts w:ascii="Times New Roman" w:cs="Times New Roman" w:eastAsia="Times New Roman" w:hAnsi="Times New Roman"/>
          <w:sz w:val="14"/>
          <w:szCs w:val="14"/>
          <w:color w:val="auto"/>
        </w:rPr>
        <w:t>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Recognition of Gift Card Breakage Income</w:t>
      </w:r>
    </w:p>
    <w:p>
      <w:pPr>
        <w:spacing w:after="0" w:line="3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4"/>
          <w:szCs w:val="14"/>
          <w:color w:val="auto"/>
        </w:rPr>
        <w:t>Generally, our revenue recognition is not assessed as an area requiring significant judgment and estimation in that our revenues from ticket and food and beverage sales are recognized when collected principally in cash or credit card at our theatre locations and through our online selling channels. In regards our real estate business, we execute lease contracts for existing tenancies, but revenue is recognized on a straight-line basis over the lease term.</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55" w:name="page56"/>
    <w:bookmarkEnd w:id="55"/>
    <w:p>
      <w:pPr>
        <w:spacing w:after="0" w:line="265" w:lineRule="auto"/>
        <w:rPr>
          <w:sz w:val="20"/>
          <w:szCs w:val="20"/>
          <w:color w:val="auto"/>
        </w:rPr>
      </w:pPr>
      <w:r>
        <w:rPr>
          <w:rFonts w:ascii="Times New Roman" w:cs="Times New Roman" w:eastAsia="Times New Roman" w:hAnsi="Times New Roman"/>
          <w:sz w:val="14"/>
          <w:szCs w:val="14"/>
          <w:color w:val="auto"/>
        </w:rPr>
        <w:t xml:space="preserve">Prior to 2014, we recognized revenue for our gift cards and gift certificates issued in the U.S., which do not expire and have no dormancy fees, only when they were redeemed. At the end of fourth quarter of 2016, we determined that we have sufficient historical information to recognize breakage income on them. Based on our review of our own historical redemption patterns using company-wide data accumulated over many years, we considered it preferable to estimate a certain percentage of our gift card and gift certificate sales to be recorded as breakage income as it better reflects of our historical redemption patterns and our earnings process. Effectively, we concluded that a portion of these sales may have a remote likelihood of redemption based on our own historical redemption patterns and thus the liability is derecognized for them. We will continue to review historical gift card redemption information at each reporting period to assess the continued appropriateness of the gift card breakage rates and pattern of redemption. Please refer to </w:t>
      </w:r>
      <w:r>
        <w:rPr>
          <w:rFonts w:ascii="Times New Roman" w:cs="Times New Roman" w:eastAsia="Times New Roman" w:hAnsi="Times New Roman"/>
          <w:sz w:val="14"/>
          <w:szCs w:val="14"/>
          <w:i w:val="1"/>
          <w:iCs w:val="1"/>
          <w:color w:val="auto"/>
        </w:rPr>
        <w:t>Note 2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Summary of Significant Accounting Policies – Accounting Changes </w:t>
      </w:r>
      <w:r>
        <w:rPr>
          <w:rFonts w:ascii="Times New Roman" w:cs="Times New Roman" w:eastAsia="Times New Roman" w:hAnsi="Times New Roman"/>
          <w:sz w:val="14"/>
          <w:szCs w:val="14"/>
          <w:color w:val="auto"/>
        </w:rPr>
        <w:t>for the impact of this accounting change.</w:t>
      </w:r>
    </w:p>
    <w:p>
      <w:pPr>
        <w:spacing w:after="0" w:line="10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Tax valuation allowance and deferred taxes </w:t>
      </w:r>
      <w:r>
        <w:rPr>
          <w:rFonts w:ascii="Times New Roman" w:cs="Times New Roman" w:eastAsia="Times New Roman" w:hAnsi="Times New Roman"/>
          <w:sz w:val="14"/>
          <w:szCs w:val="14"/>
          <w:color w:val="auto"/>
        </w:rPr>
        <w:t>We record our estimated future tax benefits and liabilities arising from the temporary differences between the tax bases of assets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liabilities and amounts reported in the accompanying consolidated balance sheets, as well as operating loss carry-forwards. We estimate the recoverability of any tax assets recorded on the balance sheet and provide any necessary allowances as required. As of December 31, 2017, we had recorded approximately $31.8 million of deferred tax assets (net of $1.6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$6.9 million resulting in a net deferred tax asset of $24.9 million. The recoverability of deferred tax assets is dependent upon our ability to generate future taxable income.</w:t>
      </w:r>
    </w:p>
    <w:p>
      <w:pPr>
        <w:spacing w:after="0" w:line="11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In the fourth quarter of calendar 2017, we recorded the impact of the change in the U.S. enacted federal income tax rate from 35% to 21% which reduced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deferred tax assets. During the fourth quarter and in connection with the preparation of our 2017 financial statements, we also determined that realization of our deferred tax assets in the tax jurisdictions was not more likely than not, primarily as a result of cumulative net losses recorded for three years and we recorded certain valuation allowance for our deferred tax assets in these tax jurisdictions. As a result of the change in enacted tax rate and recording changes in valuation allowance for our deferred tax assets various tax jurisdictions, we recorded a charge to income tax provision in the fourth quarter of approximately $8.3 million. See Note 9 – Income Taxes in the Notes to Consolidated Financial Statements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 (including the insurance recoverability of losses incurred as a result of the recent earthquake in New Zealand)</w:t>
      </w:r>
    </w:p>
    <w:p>
      <w:pPr>
        <w:spacing w:after="0" w:line="3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4"/>
          <w:szCs w:val="14"/>
          <w:color w:val="auto"/>
        </w:rPr>
        <w:t xml:space="preserve">For </w:t>
      </w:r>
      <w:r>
        <w:rPr>
          <w:rFonts w:ascii="Times New Roman" w:cs="Times New Roman" w:eastAsia="Times New Roman" w:hAnsi="Times New Roman"/>
          <w:sz w:val="14"/>
          <w:szCs w:val="14"/>
          <w:u w:val="single" w:color="auto"/>
          <w:color w:val="auto"/>
        </w:rPr>
        <w:t>loss contingencies</w:t>
      </w:r>
      <w:r>
        <w:rPr>
          <w:rFonts w:ascii="Times New Roman" w:cs="Times New Roman" w:eastAsia="Times New Roman" w:hAnsi="Times New Roman"/>
          <w:sz w:val="14"/>
          <w:szCs w:val="14"/>
          <w:color w:val="auto"/>
        </w:rPr>
        <w:t>, we record any loss contingencies when there is a “probable” likelihood that the liability had been incurred and the amount of the loss can be reasonably estimated.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w:t>
      </w:r>
      <w:r>
        <w:rPr>
          <w:rFonts w:ascii="Times New Roman" w:cs="Times New Roman" w:eastAsia="Times New Roman" w:hAnsi="Times New Roman"/>
          <w:sz w:val="14"/>
          <w:szCs w:val="14"/>
          <w:i w:val="1"/>
          <w:iCs w:val="1"/>
          <w:u w:val="single" w:color="auto"/>
          <w:color w:val="auto"/>
        </w:rPr>
        <w:t>other contingencies,</w:t>
      </w:r>
    </w:p>
    <w:p>
      <w:pPr>
        <w:spacing w:after="0" w:line="166" w:lineRule="exact"/>
        <w:rPr>
          <w:sz w:val="20"/>
          <w:szCs w:val="20"/>
          <w:color w:val="auto"/>
        </w:rPr>
      </w:pPr>
    </w:p>
    <w:p>
      <w:pPr>
        <w:ind w:left="200" w:right="280" w:hanging="193"/>
        <w:spacing w:after="0" w:line="300" w:lineRule="auto"/>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spacing w:after="0" w:line="86" w:lineRule="exact"/>
        <w:rPr>
          <w:sz w:val="20"/>
          <w:szCs w:val="20"/>
          <w:color w:val="auto"/>
        </w:rPr>
      </w:pPr>
    </w:p>
    <w:p>
      <w:pPr>
        <w:ind w:left="200" w:right="340" w:hanging="183"/>
        <w:spacing w:after="0" w:line="300" w:lineRule="auto"/>
        <w:rPr>
          <w:sz w:val="20"/>
          <w:szCs w:val="20"/>
          <w:color w:val="auto"/>
        </w:rPr>
      </w:pPr>
      <w:r>
        <w:rPr>
          <w:rFonts w:ascii="Times New Roman" w:cs="Times New Roman" w:eastAsia="Times New Roman" w:hAnsi="Times New Roman"/>
          <w:sz w:val="14"/>
          <w:szCs w:val="14"/>
          <w:color w:val="auto"/>
        </w:rPr>
        <w:t>(ii)for gain contingencies resulting from legal settlements, we record those settlements in our consolidated statements of operations when cash or other forms of payments are received.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regards to our significant contingencies during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contingencies</w:t>
      </w:r>
    </w:p>
    <w:p>
      <w:pPr>
        <w:spacing w:after="0" w:line="3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4"/>
          <w:szCs w:val="14"/>
          <w:color w:val="auto"/>
        </w:rPr>
        <w:t xml:space="preserve">From time-to-time,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 We do not record expected gains until the proceeds (either in cash or other forms of payments) are received by us. Please refer to </w:t>
      </w:r>
      <w:r>
        <w:rPr>
          <w:rFonts w:ascii="Times New Roman" w:cs="Times New Roman" w:eastAsia="Times New Roman" w:hAnsi="Times New Roman"/>
          <w:sz w:val="14"/>
          <w:szCs w:val="14"/>
          <w:i w:val="1"/>
          <w:iCs w:val="1"/>
          <w:color w:val="auto"/>
        </w:rPr>
        <w:t>Note 12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Commitments and Contingencies </w:t>
      </w:r>
      <w:r>
        <w:rPr>
          <w:rFonts w:ascii="Times New Roman" w:cs="Times New Roman" w:eastAsia="Times New Roman" w:hAnsi="Times New Roman"/>
          <w:sz w:val="14"/>
          <w:szCs w:val="14"/>
          <w:color w:val="auto"/>
        </w:rPr>
        <w:t>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on this report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information on legal matters.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Contingencies arising from earthquake damage on our Courtenay Central parking garage</w:t>
      </w:r>
    </w:p>
    <w:p>
      <w:pPr>
        <w:spacing w:after="0" w:line="30"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auto"/>
        </w:rPr>
        <w:t xml:space="preserve">We filed an insurance claim with our Insurer shortly after the earthquake incident. Our policy allows us to record a recoverable asset (to the extent of incurred losses) only when the collectability is probable. We have recorded certain incurred losses, consisting of the (i) written down carrying value of the damaged parking structure and (ii) certain losses related to the demolition activities, net of any expected insurance recovery, as discussed more fully in </w:t>
      </w:r>
      <w:r>
        <w:rPr>
          <w:rFonts w:ascii="Times New Roman" w:cs="Times New Roman" w:eastAsia="Times New Roman" w:hAnsi="Times New Roman"/>
          <w:sz w:val="14"/>
          <w:szCs w:val="14"/>
          <w:i w:val="1"/>
          <w:iCs w:val="1"/>
          <w:color w:val="auto"/>
        </w:rPr>
        <w:t>Note 19 – Insurance Recoveries on Impairment and Related Losses due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Earthquake </w:t>
      </w:r>
      <w:r>
        <w:rPr>
          <w:rFonts w:ascii="Times New Roman" w:cs="Times New Roman" w:eastAsia="Times New Roman" w:hAnsi="Times New Roman"/>
          <w:sz w:val="14"/>
          <w:szCs w:val="14"/>
          <w:color w:val="auto"/>
        </w:rPr>
        <w:t>to the Consolidated Financial Statements.</w:t>
      </w:r>
    </w:p>
    <w:p>
      <w:pPr>
        <w:spacing w:after="0" w:line="144"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4"/>
          <w:szCs w:val="14"/>
          <w:color w:val="auto"/>
        </w:rPr>
        <w:t>For a summary of our significant accounting policies, including the critical accounting estimates discussed above, see Note 2 to the Consolidated Financial Statements included herein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on this report.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25" w:right="7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7A – Quantitative and Qualitative Disclosure about Market Risk</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4"/>
          <w:szCs w:val="14"/>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111" w:lineRule="exact"/>
        <w:rPr>
          <w:sz w:val="20"/>
          <w:szCs w:val="20"/>
          <w:color w:val="auto"/>
        </w:rPr>
      </w:pPr>
    </w:p>
    <w:p>
      <w:pPr>
        <w:ind w:left="520" w:hanging="252"/>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based on a single point in time; and,</w:t>
      </w:r>
    </w:p>
    <w:p>
      <w:pPr>
        <w:spacing w:after="0" w:line="27"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does not include the effects of other complex market reactions that would arise from the changes modeled.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Although the results of such an analysis may be useful as a benchmark, they should not be viewed as forecasts.</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4"/>
          <w:szCs w:val="14"/>
          <w:color w:val="auto"/>
        </w:rPr>
        <w:t>At December 31, 2017, approximately 40% and 15% of our assets were invested in assets denominated in Australian dollars (Reading Australia) and New Zealand dollars (Reading New Zealand), respectively, including approximately $4.5 million in cash and cash equivalents. At December 31, 2016, approximately 42% and 18% of our assets were invested in assets denominated in Australian and New Zealand dollars, respectively, including approximately $10.4 million in cash and cash equivalents.</w:t>
      </w:r>
    </w:p>
    <w:p>
      <w:pPr>
        <w:spacing w:after="0" w:line="1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Although foreign currency has had an effect on our current earnings, the effect of the translation adjustment on our assets and liabilities noted in our other comprehensive income was an increase of $8,810,000 for the year ended December 31, 2017. As we continue to progress our acquisition and development activities in Australia and New Zealand, that the foreign currency effect on our earnings may be significant in the future.</w:t>
      </w:r>
    </w:p>
    <w:p>
      <w:pPr>
        <w:spacing w:after="0" w:line="10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4"/>
          <w:szCs w:val="14"/>
          <w:color w:val="auto"/>
        </w:rPr>
        <w:t>Historically, our policy has been to borrow in local currencies to finance the development and construction of our long-term assets in Australia and New Zealand whenever possible.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73% and 75%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result in an increase or decrease of $12.4 million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 million, respectively, and the change in our net income for the year would be $2.2 million and $883,000, respectively. Presently, we have no plan to hedge such exposure.</w:t>
      </w:r>
    </w:p>
    <w:p>
      <w:pPr>
        <w:spacing w:after="0" w:line="138"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4"/>
          <w:szCs w:val="14"/>
          <w:color w:val="auto"/>
        </w:rPr>
        <w:t>We record unrealized foreign currency translation gains or losses that could materially affect our financial position. We have accumulated unrealized foreign currency translation gains of approximately $23.6 million and $14.8 million as of December 31, 2017 and 2016, respectively.</w:t>
      </w:r>
    </w:p>
    <w:p>
      <w:pPr>
        <w:spacing w:after="0" w:line="9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4"/>
          <w:szCs w:val="14"/>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10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color w:val="auto"/>
        </w:rPr>
        <w:t>We have a combination of fixed and variable interest rate loans. In connection with our variable interest rate loans, a change of approximately 1% in short-term interest rates would have resulted in approximately $1.1 million increase or decrease in our 2017 interest expense.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14" w:right="7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8 – Financial Statements and Supplementary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tc>
        <w:tc>
          <w:tcPr>
            <w:tcW w:w="170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20" w:type="dxa"/>
            <w:vAlign w:val="bottom"/>
            <w:gridSpan w:val="18"/>
          </w:tcPr>
          <w:p>
            <w:pPr>
              <w:jc w:val="center"/>
              <w:ind w:right="2180"/>
              <w:spacing w:after="0"/>
              <w:rPr>
                <w:sz w:val="20"/>
                <w:szCs w:val="20"/>
                <w:color w:val="auto"/>
              </w:rPr>
            </w:pPr>
            <w:r>
              <w:rPr>
                <w:rFonts w:ascii="Times New Roman" w:cs="Times New Roman" w:eastAsia="Times New Roman" w:hAnsi="Times New Roman"/>
                <w:sz w:val="13"/>
                <w:szCs w:val="13"/>
                <w:b w:val="1"/>
                <w:bCs w:val="1"/>
                <w:color w:val="auto"/>
                <w:w w:val="99"/>
              </w:rPr>
              <w:t>TABLE OF CONTENTS</w:t>
            </w:r>
          </w:p>
        </w:tc>
        <w:tc>
          <w:tcPr>
            <w:tcW w:w="620" w:type="dxa"/>
            <w:vAlign w:val="bottom"/>
            <w:vMerge w:val="restart"/>
          </w:tcPr>
          <w:p>
            <w:pPr>
              <w:spacing w:after="0"/>
              <w:rPr>
                <w:sz w:val="14"/>
                <w:szCs w:val="14"/>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180" w:type="dxa"/>
            <w:vAlign w:val="bottom"/>
            <w:vMerge w:val="restart"/>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00" w:type="dxa"/>
            <w:vAlign w:val="bottom"/>
            <w:shd w:val="clear" w:color="auto" w:fill="CCEEFF"/>
          </w:tcPr>
          <w:p>
            <w:pPr>
              <w:spacing w:after="0"/>
              <w:rPr>
                <w:sz w:val="20"/>
                <w:szCs w:val="20"/>
                <w:color w:val="auto"/>
              </w:rPr>
            </w:pPr>
          </w:p>
        </w:tc>
        <w:tc>
          <w:tcPr>
            <w:tcW w:w="6560" w:type="dxa"/>
            <w:vAlign w:val="bottom"/>
            <w:gridSpan w:val="33"/>
            <w:vMerge w:val="restart"/>
            <w:shd w:val="clear" w:color="auto" w:fill="CCEEFF"/>
          </w:tcPr>
          <w:p>
            <w:pPr>
              <w:spacing w:after="0"/>
              <w:rPr>
                <w:rFonts w:ascii="Times New Roman" w:cs="Times New Roman" w:eastAsia="Times New Roman" w:hAnsi="Times New Roman"/>
                <w:sz w:val="14"/>
                <w:szCs w:val="14"/>
                <w:color w:val="0000EE"/>
              </w:rPr>
            </w:pPr>
            <w:hyperlink w:anchor="page59">
              <w:r>
                <w:rPr>
                  <w:rFonts w:ascii="Times New Roman" w:cs="Times New Roman" w:eastAsia="Times New Roman" w:hAnsi="Times New Roman"/>
                  <w:sz w:val="14"/>
                  <w:szCs w:val="14"/>
                  <w:color w:val="0000EE"/>
                </w:rPr>
                <w:t>Management’s Report on Internal Control over Financial Reporting</w:t>
              </w:r>
            </w:hyperlink>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59</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00" w:type="dxa"/>
            <w:vAlign w:val="bottom"/>
            <w:shd w:val="clear" w:color="auto" w:fill="CCEEFF"/>
          </w:tcPr>
          <w:p>
            <w:pPr>
              <w:spacing w:after="0"/>
              <w:rPr>
                <w:sz w:val="2"/>
                <w:szCs w:val="2"/>
                <w:color w:val="auto"/>
              </w:rPr>
            </w:pPr>
          </w:p>
        </w:tc>
        <w:tc>
          <w:tcPr>
            <w:tcW w:w="6560" w:type="dxa"/>
            <w:vAlign w:val="bottom"/>
            <w:gridSpan w:val="33"/>
            <w:vMerge w:val="continue"/>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100" w:type="dxa"/>
            <w:vAlign w:val="bottom"/>
            <w:shd w:val="clear" w:color="auto" w:fill="CCEEFF"/>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00" w:type="dxa"/>
            <w:vAlign w:val="bottom"/>
          </w:tcPr>
          <w:p>
            <w:pPr>
              <w:spacing w:after="0"/>
              <w:rPr>
                <w:sz w:val="19"/>
                <w:szCs w:val="19"/>
                <w:color w:val="auto"/>
              </w:rPr>
            </w:pPr>
          </w:p>
        </w:tc>
        <w:tc>
          <w:tcPr>
            <w:tcW w:w="6560" w:type="dxa"/>
            <w:vAlign w:val="bottom"/>
            <w:gridSpan w:val="33"/>
            <w:vMerge w:val="restart"/>
          </w:tcPr>
          <w:p>
            <w:pPr>
              <w:spacing w:after="0"/>
              <w:rPr>
                <w:rFonts w:ascii="Times New Roman" w:cs="Times New Roman" w:eastAsia="Times New Roman" w:hAnsi="Times New Roman"/>
                <w:sz w:val="14"/>
                <w:szCs w:val="14"/>
                <w:color w:val="0000EE"/>
              </w:rPr>
            </w:pPr>
            <w:hyperlink w:anchor="page60">
              <w:r>
                <w:rPr>
                  <w:rFonts w:ascii="Times New Roman" w:cs="Times New Roman" w:eastAsia="Times New Roman" w:hAnsi="Times New Roman"/>
                  <w:sz w:val="14"/>
                  <w:szCs w:val="14"/>
                  <w:color w:val="0000EE"/>
                </w:rPr>
                <w:t>Report of Independent Registered Public Accounting Firm (Consolidated Financial Statements)</w:t>
              </w:r>
            </w:hyperlink>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60</w:t>
            </w: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00" w:type="dxa"/>
            <w:vAlign w:val="bottom"/>
          </w:tcPr>
          <w:p>
            <w:pPr>
              <w:spacing w:after="0"/>
              <w:rPr>
                <w:sz w:val="2"/>
                <w:szCs w:val="2"/>
                <w:color w:val="auto"/>
              </w:rPr>
            </w:pPr>
          </w:p>
        </w:tc>
        <w:tc>
          <w:tcPr>
            <w:tcW w:w="6560" w:type="dxa"/>
            <w:vAlign w:val="bottom"/>
            <w:gridSpan w:val="33"/>
            <w:vMerge w:val="continue"/>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
        </w:trPr>
        <w:tc>
          <w:tcPr>
            <w:tcW w:w="100" w:type="dxa"/>
            <w:vAlign w:val="bottom"/>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00" w:type="dxa"/>
            <w:vAlign w:val="bottom"/>
            <w:shd w:val="clear" w:color="auto" w:fill="CCEEFF"/>
          </w:tcPr>
          <w:p>
            <w:pPr>
              <w:spacing w:after="0"/>
              <w:rPr>
                <w:sz w:val="20"/>
                <w:szCs w:val="20"/>
                <w:color w:val="auto"/>
              </w:rPr>
            </w:pPr>
          </w:p>
        </w:tc>
        <w:tc>
          <w:tcPr>
            <w:tcW w:w="5940" w:type="dxa"/>
            <w:vAlign w:val="bottom"/>
            <w:gridSpan w:val="32"/>
            <w:vMerge w:val="restart"/>
            <w:shd w:val="clear" w:color="auto" w:fill="CCEEFF"/>
          </w:tcPr>
          <w:p>
            <w:pPr>
              <w:spacing w:after="0"/>
              <w:rPr>
                <w:rFonts w:ascii="Times New Roman" w:cs="Times New Roman" w:eastAsia="Times New Roman" w:hAnsi="Times New Roman"/>
                <w:sz w:val="14"/>
                <w:szCs w:val="14"/>
                <w:color w:val="0000EE"/>
              </w:rPr>
            </w:pPr>
            <w:hyperlink w:anchor="page61">
              <w:r>
                <w:rPr>
                  <w:rFonts w:ascii="Times New Roman" w:cs="Times New Roman" w:eastAsia="Times New Roman" w:hAnsi="Times New Roman"/>
                  <w:sz w:val="14"/>
                  <w:szCs w:val="14"/>
                  <w:color w:val="0000EE"/>
                </w:rPr>
                <w:t>Report of Independent Registered Public Accounting Firm (Internal Control over Financial Reporting)</w:t>
              </w:r>
            </w:hyperlink>
          </w:p>
        </w:tc>
        <w:tc>
          <w:tcPr>
            <w:tcW w:w="620" w:type="dxa"/>
            <w:vAlign w:val="bottom"/>
            <w:vMerge w:val="restart"/>
            <w:shd w:val="clear" w:color="auto" w:fill="CCEEFF"/>
          </w:tcPr>
          <w:p>
            <w:pPr>
              <w:spacing w:after="0"/>
              <w:rPr>
                <w:sz w:val="20"/>
                <w:szCs w:val="20"/>
                <w:color w:val="auto"/>
              </w:rPr>
            </w:pPr>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61</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CCEEFF"/>
            </w:tcBorders>
            <w:shd w:val="clear" w:color="auto" w:fill="CCEEFF"/>
          </w:tcPr>
          <w:p>
            <w:pPr>
              <w:spacing w:after="0"/>
              <w:rPr>
                <w:sz w:val="3"/>
                <w:szCs w:val="3"/>
                <w:color w:val="auto"/>
              </w:rPr>
            </w:pPr>
          </w:p>
        </w:tc>
        <w:tc>
          <w:tcPr>
            <w:tcW w:w="5940" w:type="dxa"/>
            <w:vAlign w:val="bottom"/>
            <w:tcBorders>
              <w:bottom w:val="single" w:sz="8" w:color="0000EE"/>
            </w:tcBorders>
            <w:gridSpan w:val="32"/>
            <w:vMerge w:val="continue"/>
            <w:shd w:val="clear" w:color="auto" w:fill="CCEEFF"/>
          </w:tcPr>
          <w:p>
            <w:pPr>
              <w:spacing w:after="0"/>
              <w:rPr>
                <w:sz w:val="3"/>
                <w:szCs w:val="3"/>
                <w:color w:val="auto"/>
              </w:rPr>
            </w:pPr>
          </w:p>
        </w:tc>
        <w:tc>
          <w:tcPr>
            <w:tcW w:w="620" w:type="dxa"/>
            <w:vAlign w:val="bottom"/>
            <w:tcBorders>
              <w:bottom w:val="single" w:sz="8" w:color="CCEEFF"/>
            </w:tcBorders>
            <w:vMerge w:val="continue"/>
            <w:shd w:val="clear" w:color="auto" w:fill="CCEEFF"/>
          </w:tcPr>
          <w:p>
            <w:pPr>
              <w:spacing w:after="0"/>
              <w:rPr>
                <w:sz w:val="3"/>
                <w:szCs w:val="3"/>
                <w:color w:val="auto"/>
              </w:rPr>
            </w:pPr>
          </w:p>
        </w:tc>
        <w:tc>
          <w:tcPr>
            <w:tcW w:w="62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740" w:type="dxa"/>
            <w:vAlign w:val="bottom"/>
            <w:gridSpan w:val="23"/>
            <w:vMerge w:val="restart"/>
          </w:tcPr>
          <w:p>
            <w:pPr>
              <w:spacing w:after="0"/>
              <w:rPr>
                <w:rFonts w:ascii="Times New Roman" w:cs="Times New Roman" w:eastAsia="Times New Roman" w:hAnsi="Times New Roman"/>
                <w:sz w:val="14"/>
                <w:szCs w:val="14"/>
                <w:color w:val="0000EE"/>
              </w:rPr>
            </w:pPr>
            <w:hyperlink w:anchor="page62">
              <w:r>
                <w:rPr>
                  <w:rFonts w:ascii="Times New Roman" w:cs="Times New Roman" w:eastAsia="Times New Roman" w:hAnsi="Times New Roman"/>
                  <w:sz w:val="14"/>
                  <w:szCs w:val="14"/>
                  <w:color w:val="0000EE"/>
                </w:rPr>
                <w:t>Consolidated Balance Sheets as of December 31, 2017 and 2016</w:t>
              </w:r>
            </w:hyperlink>
          </w:p>
        </w:tc>
        <w:tc>
          <w:tcPr>
            <w:tcW w:w="2820" w:type="dxa"/>
            <w:vAlign w:val="bottom"/>
            <w:gridSpan w:val="10"/>
            <w:vMerge w:val="restart"/>
          </w:tcPr>
          <w:p>
            <w:pPr>
              <w:spacing w:after="0"/>
              <w:rPr>
                <w:sz w:val="19"/>
                <w:szCs w:val="19"/>
                <w:color w:val="auto"/>
              </w:rPr>
            </w:pPr>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3740" w:type="dxa"/>
            <w:vAlign w:val="bottom"/>
            <w:tcBorders>
              <w:bottom w:val="single" w:sz="8" w:color="0000EE"/>
            </w:tcBorders>
            <w:gridSpan w:val="23"/>
            <w:vMerge w:val="continue"/>
          </w:tcPr>
          <w:p>
            <w:pPr>
              <w:spacing w:after="0"/>
              <w:rPr>
                <w:sz w:val="3"/>
                <w:szCs w:val="3"/>
                <w:color w:val="auto"/>
              </w:rPr>
            </w:pPr>
          </w:p>
        </w:tc>
        <w:tc>
          <w:tcPr>
            <w:tcW w:w="2820" w:type="dxa"/>
            <w:vAlign w:val="bottom"/>
            <w:gridSpan w:val="10"/>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00" w:type="dxa"/>
            <w:vAlign w:val="bottom"/>
            <w:shd w:val="clear" w:color="auto" w:fill="CCEEFF"/>
          </w:tcPr>
          <w:p>
            <w:pPr>
              <w:spacing w:after="0"/>
              <w:rPr>
                <w:sz w:val="20"/>
                <w:szCs w:val="20"/>
                <w:color w:val="auto"/>
              </w:rPr>
            </w:pPr>
          </w:p>
        </w:tc>
        <w:tc>
          <w:tcPr>
            <w:tcW w:w="6560" w:type="dxa"/>
            <w:vAlign w:val="bottom"/>
            <w:gridSpan w:val="33"/>
            <w:vMerge w:val="restart"/>
            <w:shd w:val="clear" w:color="auto" w:fill="CCEEFF"/>
          </w:tcPr>
          <w:p>
            <w:pPr>
              <w:spacing w:after="0"/>
              <w:rPr>
                <w:rFonts w:ascii="Times New Roman" w:cs="Times New Roman" w:eastAsia="Times New Roman" w:hAnsi="Times New Roman"/>
                <w:sz w:val="14"/>
                <w:szCs w:val="14"/>
                <w:color w:val="0000EE"/>
              </w:rPr>
            </w:pPr>
            <w:hyperlink w:anchor="page63">
              <w:r>
                <w:rPr>
                  <w:rFonts w:ascii="Times New Roman" w:cs="Times New Roman" w:eastAsia="Times New Roman" w:hAnsi="Times New Roman"/>
                  <w:sz w:val="14"/>
                  <w:szCs w:val="14"/>
                  <w:color w:val="0000EE"/>
                </w:rPr>
                <w:t>Consolidated Statements of Income for the Three Years Ended December 31, 2017</w:t>
              </w:r>
            </w:hyperlink>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00" w:type="dxa"/>
            <w:vAlign w:val="bottom"/>
            <w:shd w:val="clear" w:color="auto" w:fill="CCEEFF"/>
          </w:tcPr>
          <w:p>
            <w:pPr>
              <w:spacing w:after="0"/>
              <w:rPr>
                <w:sz w:val="2"/>
                <w:szCs w:val="2"/>
                <w:color w:val="auto"/>
              </w:rPr>
            </w:pPr>
          </w:p>
        </w:tc>
        <w:tc>
          <w:tcPr>
            <w:tcW w:w="6560" w:type="dxa"/>
            <w:vAlign w:val="bottom"/>
            <w:gridSpan w:val="33"/>
            <w:vMerge w:val="continue"/>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100" w:type="dxa"/>
            <w:vAlign w:val="bottom"/>
            <w:shd w:val="clear" w:color="auto" w:fill="CCEEFF"/>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00" w:type="dxa"/>
            <w:vAlign w:val="bottom"/>
          </w:tcPr>
          <w:p>
            <w:pPr>
              <w:spacing w:after="0"/>
              <w:rPr>
                <w:sz w:val="19"/>
                <w:szCs w:val="19"/>
                <w:color w:val="auto"/>
              </w:rPr>
            </w:pPr>
          </w:p>
        </w:tc>
        <w:tc>
          <w:tcPr>
            <w:tcW w:w="5740" w:type="dxa"/>
            <w:vAlign w:val="bottom"/>
            <w:gridSpan w:val="31"/>
            <w:vMerge w:val="restart"/>
          </w:tcPr>
          <w:p>
            <w:pPr>
              <w:spacing w:after="0"/>
              <w:rPr>
                <w:rFonts w:ascii="Times New Roman" w:cs="Times New Roman" w:eastAsia="Times New Roman" w:hAnsi="Times New Roman"/>
                <w:sz w:val="14"/>
                <w:szCs w:val="14"/>
                <w:color w:val="0000EE"/>
              </w:rPr>
            </w:pPr>
            <w:hyperlink w:anchor="page64">
              <w:r>
                <w:rPr>
                  <w:rFonts w:ascii="Times New Roman" w:cs="Times New Roman" w:eastAsia="Times New Roman" w:hAnsi="Times New Roman"/>
                  <w:sz w:val="14"/>
                  <w:szCs w:val="14"/>
                  <w:color w:val="0000EE"/>
                </w:rPr>
                <w:t>Consolidated Statements of Comprehensive Income for the Three Years Ended December 31, 2017</w:t>
              </w:r>
            </w:hyperlink>
          </w:p>
        </w:tc>
        <w:tc>
          <w:tcPr>
            <w:tcW w:w="820" w:type="dxa"/>
            <w:vAlign w:val="bottom"/>
            <w:gridSpan w:val="2"/>
            <w:vMerge w:val="restart"/>
          </w:tcPr>
          <w:p>
            <w:pPr>
              <w:spacing w:after="0"/>
              <w:rPr>
                <w:sz w:val="19"/>
                <w:szCs w:val="19"/>
                <w:color w:val="auto"/>
              </w:rPr>
            </w:pPr>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5740" w:type="dxa"/>
            <w:vAlign w:val="bottom"/>
            <w:tcBorders>
              <w:bottom w:val="single" w:sz="8" w:color="0000EE"/>
            </w:tcBorders>
            <w:gridSpan w:val="31"/>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00" w:type="dxa"/>
            <w:vAlign w:val="bottom"/>
            <w:shd w:val="clear" w:color="auto" w:fill="CCEEFF"/>
          </w:tcPr>
          <w:p>
            <w:pPr>
              <w:spacing w:after="0"/>
              <w:rPr>
                <w:sz w:val="20"/>
                <w:szCs w:val="20"/>
                <w:color w:val="auto"/>
              </w:rPr>
            </w:pPr>
          </w:p>
        </w:tc>
        <w:tc>
          <w:tcPr>
            <w:tcW w:w="5580" w:type="dxa"/>
            <w:vAlign w:val="bottom"/>
            <w:gridSpan w:val="30"/>
            <w:vMerge w:val="restart"/>
            <w:shd w:val="clear" w:color="auto" w:fill="CCEEFF"/>
          </w:tcPr>
          <w:p>
            <w:pPr>
              <w:spacing w:after="0"/>
              <w:rPr>
                <w:rFonts w:ascii="Times New Roman" w:cs="Times New Roman" w:eastAsia="Times New Roman" w:hAnsi="Times New Roman"/>
                <w:sz w:val="14"/>
                <w:szCs w:val="14"/>
                <w:color w:val="0000EE"/>
              </w:rPr>
            </w:pPr>
            <w:hyperlink w:anchor="page65">
              <w:r>
                <w:rPr>
                  <w:rFonts w:ascii="Times New Roman" w:cs="Times New Roman" w:eastAsia="Times New Roman" w:hAnsi="Times New Roman"/>
                  <w:sz w:val="14"/>
                  <w:szCs w:val="14"/>
                  <w:color w:val="0000EE"/>
                </w:rPr>
                <w:t>Consolidated Statements of Stockholders’ Equity for the Three Years Ended December 31, 2017</w:t>
              </w:r>
            </w:hyperlink>
          </w:p>
        </w:tc>
        <w:tc>
          <w:tcPr>
            <w:tcW w:w="980" w:type="dxa"/>
            <w:vAlign w:val="bottom"/>
            <w:gridSpan w:val="3"/>
            <w:vMerge w:val="restart"/>
            <w:shd w:val="clear" w:color="auto" w:fill="CCEEFF"/>
          </w:tcPr>
          <w:p>
            <w:pPr>
              <w:spacing w:after="0"/>
              <w:rPr>
                <w:sz w:val="20"/>
                <w:szCs w:val="20"/>
                <w:color w:val="auto"/>
              </w:rPr>
            </w:pPr>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CCEEFF"/>
            </w:tcBorders>
            <w:shd w:val="clear" w:color="auto" w:fill="CCEEFF"/>
          </w:tcPr>
          <w:p>
            <w:pPr>
              <w:spacing w:after="0"/>
              <w:rPr>
                <w:sz w:val="3"/>
                <w:szCs w:val="3"/>
                <w:color w:val="auto"/>
              </w:rPr>
            </w:pPr>
          </w:p>
        </w:tc>
        <w:tc>
          <w:tcPr>
            <w:tcW w:w="5580" w:type="dxa"/>
            <w:vAlign w:val="bottom"/>
            <w:tcBorders>
              <w:bottom w:val="single" w:sz="8" w:color="0000EE"/>
            </w:tcBorders>
            <w:gridSpan w:val="30"/>
            <w:vMerge w:val="continue"/>
            <w:shd w:val="clear" w:color="auto" w:fill="CCEEFF"/>
          </w:tcPr>
          <w:p>
            <w:pPr>
              <w:spacing w:after="0"/>
              <w:rPr>
                <w:sz w:val="3"/>
                <w:szCs w:val="3"/>
                <w:color w:val="auto"/>
              </w:rPr>
            </w:pPr>
          </w:p>
        </w:tc>
        <w:tc>
          <w:tcPr>
            <w:tcW w:w="980" w:type="dxa"/>
            <w:vAlign w:val="bottom"/>
            <w:tcBorders>
              <w:bottom w:val="single" w:sz="8" w:color="CCEEFF"/>
            </w:tcBorders>
            <w:gridSpan w:val="3"/>
            <w:vMerge w:val="continue"/>
            <w:shd w:val="clear" w:color="auto" w:fill="CCEEFF"/>
          </w:tcPr>
          <w:p>
            <w:pPr>
              <w:spacing w:after="0"/>
              <w:rPr>
                <w:sz w:val="3"/>
                <w:szCs w:val="3"/>
                <w:color w:val="auto"/>
              </w:rPr>
            </w:pPr>
          </w:p>
        </w:tc>
        <w:tc>
          <w:tcPr>
            <w:tcW w:w="62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40" w:type="dxa"/>
            <w:vAlign w:val="bottom"/>
            <w:gridSpan w:val="28"/>
            <w:vMerge w:val="restart"/>
          </w:tcPr>
          <w:p>
            <w:pPr>
              <w:spacing w:after="0"/>
              <w:rPr>
                <w:rFonts w:ascii="Times New Roman" w:cs="Times New Roman" w:eastAsia="Times New Roman" w:hAnsi="Times New Roman"/>
                <w:sz w:val="14"/>
                <w:szCs w:val="14"/>
                <w:color w:val="0000EE"/>
              </w:rPr>
            </w:pPr>
            <w:hyperlink w:anchor="page66">
              <w:r>
                <w:rPr>
                  <w:rFonts w:ascii="Times New Roman" w:cs="Times New Roman" w:eastAsia="Times New Roman" w:hAnsi="Times New Roman"/>
                  <w:sz w:val="14"/>
                  <w:szCs w:val="14"/>
                  <w:color w:val="0000EE"/>
                </w:rPr>
                <w:t>Consolidated Statements of Cash Flows for the Three Years Ended December 31, 2017</w:t>
              </w:r>
            </w:hyperlink>
          </w:p>
        </w:tc>
        <w:tc>
          <w:tcPr>
            <w:tcW w:w="1520" w:type="dxa"/>
            <w:vAlign w:val="bottom"/>
            <w:gridSpan w:val="5"/>
            <w:vMerge w:val="restart"/>
          </w:tcPr>
          <w:p>
            <w:pPr>
              <w:spacing w:after="0"/>
              <w:rPr>
                <w:sz w:val="19"/>
                <w:szCs w:val="19"/>
                <w:color w:val="auto"/>
              </w:rPr>
            </w:pPr>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5040" w:type="dxa"/>
            <w:vAlign w:val="bottom"/>
            <w:tcBorders>
              <w:bottom w:val="single" w:sz="8" w:color="0000EE"/>
            </w:tcBorders>
            <w:gridSpan w:val="28"/>
            <w:vMerge w:val="continue"/>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00" w:type="dxa"/>
            <w:vAlign w:val="bottom"/>
            <w:shd w:val="clear" w:color="auto" w:fill="CCEEFF"/>
          </w:tcPr>
          <w:p>
            <w:pPr>
              <w:spacing w:after="0"/>
              <w:rPr>
                <w:sz w:val="20"/>
                <w:szCs w:val="20"/>
                <w:color w:val="auto"/>
              </w:rPr>
            </w:pPr>
          </w:p>
        </w:tc>
        <w:tc>
          <w:tcPr>
            <w:tcW w:w="2540" w:type="dxa"/>
            <w:vAlign w:val="bottom"/>
            <w:gridSpan w:val="15"/>
            <w:vMerge w:val="restart"/>
            <w:shd w:val="clear" w:color="auto" w:fill="CCEEFF"/>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Notes to Consolidated Financial Statements</w:t>
              </w:r>
            </w:hyperlink>
          </w:p>
        </w:tc>
        <w:tc>
          <w:tcPr>
            <w:tcW w:w="4020" w:type="dxa"/>
            <w:vAlign w:val="bottom"/>
            <w:gridSpan w:val="18"/>
            <w:vMerge w:val="restart"/>
            <w:shd w:val="clear" w:color="auto" w:fill="CCEEFF"/>
          </w:tcPr>
          <w:p>
            <w:pPr>
              <w:spacing w:after="0"/>
              <w:rPr>
                <w:sz w:val="20"/>
                <w:szCs w:val="20"/>
                <w:color w:val="auto"/>
              </w:rPr>
            </w:pPr>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CCEEFF"/>
            </w:tcBorders>
            <w:shd w:val="clear" w:color="auto" w:fill="CCEEFF"/>
          </w:tcPr>
          <w:p>
            <w:pPr>
              <w:spacing w:after="0"/>
              <w:rPr>
                <w:sz w:val="3"/>
                <w:szCs w:val="3"/>
                <w:color w:val="auto"/>
              </w:rPr>
            </w:pPr>
          </w:p>
        </w:tc>
        <w:tc>
          <w:tcPr>
            <w:tcW w:w="2540" w:type="dxa"/>
            <w:vAlign w:val="bottom"/>
            <w:tcBorders>
              <w:bottom w:val="single" w:sz="8" w:color="0000EE"/>
            </w:tcBorders>
            <w:gridSpan w:val="15"/>
            <w:vMerge w:val="continue"/>
            <w:shd w:val="clear" w:color="auto" w:fill="CCEEFF"/>
          </w:tcPr>
          <w:p>
            <w:pPr>
              <w:spacing w:after="0"/>
              <w:rPr>
                <w:sz w:val="3"/>
                <w:szCs w:val="3"/>
                <w:color w:val="auto"/>
              </w:rPr>
            </w:pPr>
          </w:p>
        </w:tc>
        <w:tc>
          <w:tcPr>
            <w:tcW w:w="4020" w:type="dxa"/>
            <w:vAlign w:val="bottom"/>
            <w:tcBorders>
              <w:bottom w:val="single" w:sz="8" w:color="CCEEFF"/>
            </w:tcBorders>
            <w:gridSpan w:val="18"/>
            <w:vMerge w:val="continue"/>
            <w:shd w:val="clear" w:color="auto" w:fill="CCEEFF"/>
          </w:tcPr>
          <w:p>
            <w:pPr>
              <w:spacing w:after="0"/>
              <w:rPr>
                <w:sz w:val="3"/>
                <w:szCs w:val="3"/>
                <w:color w:val="auto"/>
              </w:rPr>
            </w:pPr>
          </w:p>
        </w:tc>
        <w:tc>
          <w:tcPr>
            <w:tcW w:w="62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560" w:type="dxa"/>
            <w:vAlign w:val="bottom"/>
            <w:gridSpan w:val="33"/>
          </w:tcPr>
          <w:p>
            <w:pPr>
              <w:spacing w:after="0"/>
              <w:rPr>
                <w:rFonts w:ascii="Times New Roman" w:cs="Times New Roman" w:eastAsia="Times New Roman" w:hAnsi="Times New Roman"/>
                <w:sz w:val="14"/>
                <w:szCs w:val="14"/>
                <w:color w:val="0000EE"/>
              </w:rPr>
            </w:pPr>
            <w:hyperlink w:anchor="page67">
              <w:r>
                <w:rPr>
                  <w:rFonts w:ascii="Times New Roman" w:cs="Times New Roman" w:eastAsia="Times New Roman" w:hAnsi="Times New Roman"/>
                  <w:sz w:val="14"/>
                  <w:szCs w:val="14"/>
                  <w:color w:val="0000EE"/>
                </w:rPr>
                <w:t>Note 1 – Description of Business and Segment Reporting</w:t>
              </w:r>
            </w:hyperlink>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CCEEFF"/>
          </w:tcPr>
          <w:p>
            <w:pPr>
              <w:spacing w:after="0"/>
              <w:rPr>
                <w:sz w:val="19"/>
                <w:szCs w:val="19"/>
                <w:color w:val="auto"/>
              </w:rPr>
            </w:pPr>
          </w:p>
        </w:tc>
        <w:tc>
          <w:tcPr>
            <w:tcW w:w="656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Note 2 – Summary of Significant Accounting Policies</w:t>
              </w:r>
            </w:hyperlink>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shd w:val="clear" w:color="auto" w:fill="CCEEFF"/>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0" w:type="dxa"/>
            <w:vAlign w:val="bottom"/>
            <w:tcBorders>
              <w:top w:val="single" w:sz="8" w:color="CCEEFF"/>
            </w:tcBorders>
          </w:tcPr>
          <w:p>
            <w:pPr>
              <w:spacing w:after="0"/>
              <w:rPr>
                <w:sz w:val="16"/>
                <w:szCs w:val="16"/>
                <w:color w:val="auto"/>
              </w:rPr>
            </w:pPr>
          </w:p>
        </w:tc>
        <w:tc>
          <w:tcPr>
            <w:tcW w:w="3120" w:type="dxa"/>
            <w:vAlign w:val="bottom"/>
            <w:tcBorders>
              <w:top w:val="single" w:sz="8" w:color="0000EE"/>
            </w:tcBorders>
            <w:gridSpan w:val="18"/>
          </w:tcPr>
          <w:p>
            <w:pPr>
              <w:spacing w:after="0"/>
              <w:rPr>
                <w:rFonts w:ascii="Times New Roman" w:cs="Times New Roman" w:eastAsia="Times New Roman" w:hAnsi="Times New Roman"/>
                <w:sz w:val="14"/>
                <w:szCs w:val="14"/>
                <w:color w:val="0000EE"/>
              </w:rPr>
            </w:pPr>
            <w:hyperlink w:anchor="page79">
              <w:r>
                <w:rPr>
                  <w:rFonts w:ascii="Times New Roman" w:cs="Times New Roman" w:eastAsia="Times New Roman" w:hAnsi="Times New Roman"/>
                  <w:sz w:val="14"/>
                  <w:szCs w:val="14"/>
                  <w:color w:val="0000EE"/>
                </w:rPr>
                <w:t>Note 3 – Earnings Per Share</w:t>
              </w:r>
            </w:hyperlink>
          </w:p>
        </w:tc>
        <w:tc>
          <w:tcPr>
            <w:tcW w:w="3440" w:type="dxa"/>
            <w:vAlign w:val="bottom"/>
            <w:tcBorders>
              <w:top w:val="single" w:sz="8" w:color="CCEEFF"/>
            </w:tcBorders>
            <w:gridSpan w:val="15"/>
          </w:tcPr>
          <w:p>
            <w:pPr>
              <w:spacing w:after="0"/>
              <w:rPr>
                <w:sz w:val="16"/>
                <w:szCs w:val="16"/>
                <w:color w:val="auto"/>
              </w:rPr>
            </w:pPr>
          </w:p>
        </w:tc>
        <w:tc>
          <w:tcPr>
            <w:tcW w:w="900" w:type="dxa"/>
            <w:vAlign w:val="bottom"/>
            <w:tcBorders>
              <w:top w:val="single" w:sz="8" w:color="CCEEFF"/>
            </w:tcBorders>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Borders>
              <w:top w:val="single" w:sz="8" w:color="CCEEFF"/>
            </w:tcBorders>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0000EE"/>
            </w:tcBorders>
            <w:gridSpan w:val="6"/>
            <w:shd w:val="clear" w:color="auto" w:fill="CCEEFF"/>
          </w:tcPr>
          <w:p>
            <w:pPr>
              <w:spacing w:after="0"/>
              <w:rPr>
                <w:rFonts w:ascii="Times New Roman" w:cs="Times New Roman" w:eastAsia="Times New Roman" w:hAnsi="Times New Roman"/>
                <w:sz w:val="14"/>
                <w:szCs w:val="14"/>
                <w:color w:val="0000EE"/>
              </w:rPr>
            </w:pPr>
            <w:hyperlink w:anchor="page79">
              <w:r>
                <w:rPr>
                  <w:rFonts w:ascii="Times New Roman" w:cs="Times New Roman" w:eastAsia="Times New Roman" w:hAnsi="Times New Roman"/>
                  <w:sz w:val="14"/>
                  <w:szCs w:val="14"/>
                  <w:color w:val="0000EE"/>
                </w:rPr>
                <w:t>Note 4 – Real Estate Transactions</w:t>
              </w:r>
            </w:hyperlink>
          </w:p>
        </w:tc>
        <w:tc>
          <w:tcPr>
            <w:tcW w:w="4600" w:type="dxa"/>
            <w:vAlign w:val="bottom"/>
            <w:tcBorders>
              <w:bottom w:val="single" w:sz="8" w:color="CCEEFF"/>
            </w:tcBorders>
            <w:gridSpan w:val="27"/>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Borders>
              <w:bottom w:val="single" w:sz="8" w:color="CCEEFF"/>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6560" w:type="dxa"/>
            <w:vAlign w:val="bottom"/>
            <w:gridSpan w:val="33"/>
          </w:tcPr>
          <w:p>
            <w:pPr>
              <w:spacing w:after="0"/>
              <w:rPr>
                <w:rFonts w:ascii="Times New Roman" w:cs="Times New Roman" w:eastAsia="Times New Roman" w:hAnsi="Times New Roman"/>
                <w:sz w:val="14"/>
                <w:szCs w:val="14"/>
                <w:color w:val="0000EE"/>
              </w:rPr>
            </w:pPr>
            <w:hyperlink w:anchor="page81">
              <w:r>
                <w:rPr>
                  <w:rFonts w:ascii="Times New Roman" w:cs="Times New Roman" w:eastAsia="Times New Roman" w:hAnsi="Times New Roman"/>
                  <w:sz w:val="14"/>
                  <w:szCs w:val="14"/>
                  <w:color w:val="0000EE"/>
                </w:rPr>
                <w:t>Note 5 – Properties and Equipments</w:t>
              </w:r>
            </w:hyperlink>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shd w:val="clear" w:color="auto" w:fill="CCEEFF"/>
          </w:tcPr>
          <w:p>
            <w:pPr>
              <w:spacing w:after="0"/>
              <w:rPr>
                <w:sz w:val="20"/>
                <w:szCs w:val="20"/>
                <w:color w:val="auto"/>
              </w:rPr>
            </w:pPr>
          </w:p>
        </w:tc>
        <w:tc>
          <w:tcPr>
            <w:tcW w:w="656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82">
              <w:r>
                <w:rPr>
                  <w:rFonts w:ascii="Times New Roman" w:cs="Times New Roman" w:eastAsia="Times New Roman" w:hAnsi="Times New Roman"/>
                  <w:sz w:val="14"/>
                  <w:szCs w:val="14"/>
                  <w:color w:val="0000EE"/>
                </w:rPr>
                <w:t>Note 6 – Investments in Unconsolidated Joint Ventures</w:t>
              </w:r>
            </w:hyperlink>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 w:type="dxa"/>
            <w:vAlign w:val="bottom"/>
            <w:tcBorders>
              <w:top w:val="single" w:sz="8" w:color="CCEEFF"/>
            </w:tcBorders>
          </w:tcPr>
          <w:p>
            <w:pPr>
              <w:spacing w:after="0"/>
              <w:rPr>
                <w:sz w:val="16"/>
                <w:szCs w:val="16"/>
                <w:color w:val="auto"/>
              </w:rPr>
            </w:pPr>
          </w:p>
        </w:tc>
        <w:tc>
          <w:tcPr>
            <w:tcW w:w="3180" w:type="dxa"/>
            <w:vAlign w:val="bottom"/>
            <w:tcBorders>
              <w:top w:val="single" w:sz="8" w:color="0000EE"/>
            </w:tcBorders>
            <w:gridSpan w:val="20"/>
          </w:tcPr>
          <w:p>
            <w:pPr>
              <w:spacing w:after="0"/>
              <w:rPr>
                <w:rFonts w:ascii="Times New Roman" w:cs="Times New Roman" w:eastAsia="Times New Roman" w:hAnsi="Times New Roman"/>
                <w:sz w:val="14"/>
                <w:szCs w:val="14"/>
                <w:color w:val="0000EE"/>
              </w:rPr>
            </w:pPr>
            <w:hyperlink w:anchor="page83">
              <w:r>
                <w:rPr>
                  <w:rFonts w:ascii="Times New Roman" w:cs="Times New Roman" w:eastAsia="Times New Roman" w:hAnsi="Times New Roman"/>
                  <w:sz w:val="14"/>
                  <w:szCs w:val="14"/>
                  <w:color w:val="0000EE"/>
                </w:rPr>
                <w:t>Note 7 – Goodwill and Intangible Assets</w:t>
              </w:r>
            </w:hyperlink>
          </w:p>
        </w:tc>
        <w:tc>
          <w:tcPr>
            <w:tcW w:w="3380" w:type="dxa"/>
            <w:vAlign w:val="bottom"/>
            <w:tcBorders>
              <w:top w:val="single" w:sz="8" w:color="CCEEFF"/>
            </w:tcBorders>
            <w:gridSpan w:val="13"/>
          </w:tcPr>
          <w:p>
            <w:pPr>
              <w:spacing w:after="0"/>
              <w:rPr>
                <w:sz w:val="16"/>
                <w:szCs w:val="16"/>
                <w:color w:val="auto"/>
              </w:rPr>
            </w:pPr>
          </w:p>
        </w:tc>
        <w:tc>
          <w:tcPr>
            <w:tcW w:w="900" w:type="dxa"/>
            <w:vAlign w:val="bottom"/>
            <w:tcBorders>
              <w:top w:val="single" w:sz="8" w:color="CCEEFF"/>
            </w:tcBorders>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tcBorders>
              <w:top w:val="single" w:sz="8" w:color="CCEEFF"/>
            </w:tcBorders>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shd w:val="clear" w:color="auto" w:fill="CCEEFF"/>
          </w:tcPr>
          <w:p>
            <w:pPr>
              <w:spacing w:after="0"/>
              <w:rPr>
                <w:sz w:val="20"/>
                <w:szCs w:val="20"/>
                <w:color w:val="auto"/>
              </w:rPr>
            </w:pPr>
          </w:p>
        </w:tc>
        <w:tc>
          <w:tcPr>
            <w:tcW w:w="656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84">
              <w:r>
                <w:rPr>
                  <w:rFonts w:ascii="Times New Roman" w:cs="Times New Roman" w:eastAsia="Times New Roman" w:hAnsi="Times New Roman"/>
                  <w:sz w:val="14"/>
                  <w:szCs w:val="14"/>
                  <w:color w:val="0000EE"/>
                </w:rPr>
                <w:t>Note 8 – Prepaid and Other Assets</w:t>
              </w:r>
            </w:hyperlink>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 w:type="dxa"/>
            <w:vAlign w:val="bottom"/>
            <w:tcBorders>
              <w:top w:val="single" w:sz="8" w:color="CCEEFF"/>
            </w:tcBorders>
          </w:tcPr>
          <w:p>
            <w:pPr>
              <w:spacing w:after="0"/>
              <w:rPr>
                <w:sz w:val="16"/>
                <w:szCs w:val="16"/>
                <w:color w:val="auto"/>
              </w:rPr>
            </w:pPr>
          </w:p>
        </w:tc>
        <w:tc>
          <w:tcPr>
            <w:tcW w:w="2000" w:type="dxa"/>
            <w:vAlign w:val="bottom"/>
            <w:tcBorders>
              <w:top w:val="single" w:sz="8" w:color="0000EE"/>
            </w:tcBorders>
            <w:gridSpan w:val="7"/>
          </w:tcPr>
          <w:p>
            <w:pPr>
              <w:spacing w:after="0"/>
              <w:rPr>
                <w:rFonts w:ascii="Times New Roman" w:cs="Times New Roman" w:eastAsia="Times New Roman" w:hAnsi="Times New Roman"/>
                <w:sz w:val="14"/>
                <w:szCs w:val="14"/>
                <w:color w:val="0000EE"/>
              </w:rPr>
            </w:pPr>
            <w:hyperlink w:anchor="page84">
              <w:r>
                <w:rPr>
                  <w:rFonts w:ascii="Times New Roman" w:cs="Times New Roman" w:eastAsia="Times New Roman" w:hAnsi="Times New Roman"/>
                  <w:sz w:val="14"/>
                  <w:szCs w:val="14"/>
                  <w:color w:val="0000EE"/>
                </w:rPr>
                <w:t>Note 9 – Income Taxes</w:t>
              </w:r>
            </w:hyperlink>
          </w:p>
        </w:tc>
        <w:tc>
          <w:tcPr>
            <w:tcW w:w="4560" w:type="dxa"/>
            <w:vAlign w:val="bottom"/>
            <w:tcBorders>
              <w:top w:val="single" w:sz="8" w:color="CCEEFF"/>
            </w:tcBorders>
            <w:gridSpan w:val="26"/>
          </w:tcPr>
          <w:p>
            <w:pPr>
              <w:spacing w:after="0"/>
              <w:rPr>
                <w:sz w:val="16"/>
                <w:szCs w:val="16"/>
                <w:color w:val="auto"/>
              </w:rPr>
            </w:pPr>
          </w:p>
        </w:tc>
        <w:tc>
          <w:tcPr>
            <w:tcW w:w="900" w:type="dxa"/>
            <w:vAlign w:val="bottom"/>
            <w:tcBorders>
              <w:top w:val="single" w:sz="8" w:color="CCEEFF"/>
            </w:tcBorders>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Borders>
              <w:top w:val="single" w:sz="8" w:color="CCEEFF"/>
            </w:tcBorders>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4"/>
                <w:szCs w:val="14"/>
                <w:color w:val="0000EE"/>
              </w:rPr>
            </w:pPr>
            <w:hyperlink w:anchor="page87">
              <w:r>
                <w:rPr>
                  <w:rFonts w:ascii="Times New Roman" w:cs="Times New Roman" w:eastAsia="Times New Roman" w:hAnsi="Times New Roman"/>
                  <w:sz w:val="14"/>
                  <w:szCs w:val="14"/>
                  <w:color w:val="0000EE"/>
                </w:rPr>
                <w:t>Note 10 – Borrowings</w:t>
              </w:r>
            </w:hyperlink>
          </w:p>
        </w:tc>
        <w:tc>
          <w:tcPr>
            <w:tcW w:w="5260" w:type="dxa"/>
            <w:vAlign w:val="bottom"/>
            <w:tcBorders>
              <w:bottom w:val="single" w:sz="8" w:color="CCEEFF"/>
            </w:tcBorders>
            <w:gridSpan w:val="31"/>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87</w:t>
            </w:r>
          </w:p>
        </w:tc>
        <w:tc>
          <w:tcPr>
            <w:tcW w:w="180" w:type="dxa"/>
            <w:vAlign w:val="bottom"/>
            <w:tcBorders>
              <w:bottom w:val="single" w:sz="8" w:color="CCEEFF"/>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6560" w:type="dxa"/>
            <w:vAlign w:val="bottom"/>
            <w:gridSpan w:val="33"/>
          </w:tcPr>
          <w:p>
            <w:pPr>
              <w:spacing w:after="0"/>
              <w:rPr>
                <w:rFonts w:ascii="Times New Roman" w:cs="Times New Roman" w:eastAsia="Times New Roman" w:hAnsi="Times New Roman"/>
                <w:sz w:val="14"/>
                <w:szCs w:val="14"/>
                <w:color w:val="0000EE"/>
              </w:rPr>
            </w:pPr>
            <w:hyperlink w:anchor="page90">
              <w:r>
                <w:rPr>
                  <w:rFonts w:ascii="Times New Roman" w:cs="Times New Roman" w:eastAsia="Times New Roman" w:hAnsi="Times New Roman"/>
                  <w:sz w:val="14"/>
                  <w:szCs w:val="14"/>
                  <w:color w:val="0000EE"/>
                </w:rPr>
                <w:t>Note 11 – Pension and Other Liabilities</w:t>
              </w:r>
            </w:hyperlink>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0000EE"/>
            </w:tcBorders>
            <w:gridSpan w:val="15"/>
            <w:shd w:val="clear" w:color="auto" w:fill="CCEEFF"/>
          </w:tcPr>
          <w:p>
            <w:pPr>
              <w:spacing w:after="0"/>
              <w:rPr>
                <w:rFonts w:ascii="Times New Roman" w:cs="Times New Roman" w:eastAsia="Times New Roman" w:hAnsi="Times New Roman"/>
                <w:sz w:val="14"/>
                <w:szCs w:val="14"/>
                <w:color w:val="0000EE"/>
              </w:rPr>
            </w:pPr>
            <w:hyperlink w:anchor="page92">
              <w:r>
                <w:rPr>
                  <w:rFonts w:ascii="Times New Roman" w:cs="Times New Roman" w:eastAsia="Times New Roman" w:hAnsi="Times New Roman"/>
                  <w:sz w:val="14"/>
                  <w:szCs w:val="14"/>
                  <w:color w:val="0000EE"/>
                </w:rPr>
                <w:t>Note 12 – Commitments and Contingencies</w:t>
              </w:r>
            </w:hyperlink>
          </w:p>
        </w:tc>
        <w:tc>
          <w:tcPr>
            <w:tcW w:w="4020" w:type="dxa"/>
            <w:vAlign w:val="bottom"/>
            <w:tcBorders>
              <w:bottom w:val="single" w:sz="8" w:color="CCEEFF"/>
            </w:tcBorders>
            <w:gridSpan w:val="18"/>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tcBorders>
              <w:bottom w:val="single" w:sz="8" w:color="CCEEFF"/>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6560" w:type="dxa"/>
            <w:vAlign w:val="bottom"/>
            <w:gridSpan w:val="33"/>
          </w:tcPr>
          <w:p>
            <w:pPr>
              <w:spacing w:after="0"/>
              <w:rPr>
                <w:rFonts w:ascii="Times New Roman" w:cs="Times New Roman" w:eastAsia="Times New Roman" w:hAnsi="Times New Roman"/>
                <w:sz w:val="14"/>
                <w:szCs w:val="14"/>
                <w:color w:val="0000EE"/>
              </w:rPr>
            </w:pPr>
            <w:hyperlink w:anchor="page99">
              <w:r>
                <w:rPr>
                  <w:rFonts w:ascii="Times New Roman" w:cs="Times New Roman" w:eastAsia="Times New Roman" w:hAnsi="Times New Roman"/>
                  <w:sz w:val="14"/>
                  <w:szCs w:val="14"/>
                  <w:color w:val="0000EE"/>
                </w:rPr>
                <w:t>Note 13 – Noncontrolling Interests</w:t>
              </w:r>
            </w:hyperlink>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99</w:t>
            </w: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0000EE"/>
            </w:tcBorders>
            <w:gridSpan w:val="22"/>
            <w:shd w:val="clear" w:color="auto" w:fill="CCEEFF"/>
          </w:tcPr>
          <w:p>
            <w:pPr>
              <w:spacing w:after="0"/>
              <w:rPr>
                <w:rFonts w:ascii="Times New Roman" w:cs="Times New Roman" w:eastAsia="Times New Roman" w:hAnsi="Times New Roman"/>
                <w:sz w:val="14"/>
                <w:szCs w:val="14"/>
                <w:color w:val="0000EE"/>
              </w:rPr>
            </w:pPr>
            <w:hyperlink w:anchor="page100">
              <w:r>
                <w:rPr>
                  <w:rFonts w:ascii="Times New Roman" w:cs="Times New Roman" w:eastAsia="Times New Roman" w:hAnsi="Times New Roman"/>
                  <w:sz w:val="14"/>
                  <w:szCs w:val="14"/>
                  <w:color w:val="0000EE"/>
                </w:rPr>
                <w:t>Note 14 – Share-based Compensation and Repurchase Plans</w:t>
              </w:r>
            </w:hyperlink>
          </w:p>
        </w:tc>
        <w:tc>
          <w:tcPr>
            <w:tcW w:w="3060" w:type="dxa"/>
            <w:vAlign w:val="bottom"/>
            <w:tcBorders>
              <w:bottom w:val="single" w:sz="8" w:color="CCEEFF"/>
            </w:tcBorders>
            <w:gridSpan w:val="11"/>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w w:val="95"/>
              </w:rPr>
              <w:t>100</w:t>
            </w:r>
          </w:p>
        </w:tc>
        <w:tc>
          <w:tcPr>
            <w:tcW w:w="180" w:type="dxa"/>
            <w:vAlign w:val="bottom"/>
            <w:tcBorders>
              <w:bottom w:val="single" w:sz="8" w:color="CCEEFF"/>
            </w:tcBorders>
            <w:shd w:val="clear" w:color="auto" w:fill="CCEEFF"/>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6560" w:type="dxa"/>
            <w:vAlign w:val="bottom"/>
            <w:gridSpan w:val="33"/>
          </w:tcPr>
          <w:p>
            <w:pPr>
              <w:spacing w:after="0"/>
              <w:rPr>
                <w:rFonts w:ascii="Times New Roman" w:cs="Times New Roman" w:eastAsia="Times New Roman" w:hAnsi="Times New Roman"/>
                <w:sz w:val="14"/>
                <w:szCs w:val="14"/>
                <w:color w:val="0000EE"/>
              </w:rPr>
            </w:pPr>
            <w:hyperlink w:anchor="page102">
              <w:r>
                <w:rPr>
                  <w:rFonts w:ascii="Times New Roman" w:cs="Times New Roman" w:eastAsia="Times New Roman" w:hAnsi="Times New Roman"/>
                  <w:sz w:val="14"/>
                  <w:szCs w:val="14"/>
                  <w:color w:val="0000EE"/>
                </w:rPr>
                <w:t>Note 15 – Accumulated Other Comprehensive Income</w:t>
              </w:r>
            </w:hyperlink>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w w:val="95"/>
              </w:rPr>
              <w:t>102</w:t>
            </w: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shd w:val="clear" w:color="auto" w:fill="CCEEFF"/>
          </w:tcPr>
          <w:p>
            <w:pPr>
              <w:spacing w:after="0"/>
              <w:rPr>
                <w:sz w:val="20"/>
                <w:szCs w:val="20"/>
                <w:color w:val="auto"/>
              </w:rPr>
            </w:pPr>
          </w:p>
        </w:tc>
        <w:tc>
          <w:tcPr>
            <w:tcW w:w="656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102">
              <w:r>
                <w:rPr>
                  <w:rFonts w:ascii="Times New Roman" w:cs="Times New Roman" w:eastAsia="Times New Roman" w:hAnsi="Times New Roman"/>
                  <w:sz w:val="14"/>
                  <w:szCs w:val="14"/>
                  <w:color w:val="0000EE"/>
                </w:rPr>
                <w:t>Note 16 – Fair Value Measurements</w:t>
              </w:r>
            </w:hyperlink>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w w:val="95"/>
              </w:rPr>
              <w:t>102</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0000EE"/>
            </w:tcBorders>
            <w:gridSpan w:val="10"/>
          </w:tcPr>
          <w:p>
            <w:pPr>
              <w:spacing w:after="0"/>
              <w:rPr>
                <w:rFonts w:ascii="Times New Roman" w:cs="Times New Roman" w:eastAsia="Times New Roman" w:hAnsi="Times New Roman"/>
                <w:sz w:val="14"/>
                <w:szCs w:val="14"/>
                <w:color w:val="0000EE"/>
              </w:rPr>
            </w:pPr>
            <w:hyperlink w:anchor="page103">
              <w:r>
                <w:rPr>
                  <w:rFonts w:ascii="Times New Roman" w:cs="Times New Roman" w:eastAsia="Times New Roman" w:hAnsi="Times New Roman"/>
                  <w:sz w:val="14"/>
                  <w:szCs w:val="14"/>
                  <w:color w:val="0000EE"/>
                </w:rPr>
                <w:t>Note 17 – Leases</w:t>
              </w:r>
            </w:hyperlink>
          </w:p>
        </w:tc>
        <w:tc>
          <w:tcPr>
            <w:tcW w:w="4480" w:type="dxa"/>
            <w:vAlign w:val="bottom"/>
            <w:tcBorders>
              <w:top w:val="single" w:sz="8" w:color="CCEEFF"/>
            </w:tcBorders>
            <w:gridSpan w:val="23"/>
          </w:tcPr>
          <w:p>
            <w:pPr>
              <w:spacing w:after="0"/>
              <w:rPr>
                <w:sz w:val="16"/>
                <w:szCs w:val="16"/>
                <w:color w:val="auto"/>
              </w:rPr>
            </w:pPr>
          </w:p>
        </w:tc>
        <w:tc>
          <w:tcPr>
            <w:tcW w:w="900" w:type="dxa"/>
            <w:vAlign w:val="bottom"/>
            <w:tcBorders>
              <w:top w:val="single" w:sz="8" w:color="CCEEFF"/>
            </w:tcBorders>
            <w:gridSpan w:val="2"/>
          </w:tcPr>
          <w:p>
            <w:pPr>
              <w:jc w:val="center"/>
              <w:ind w:left="548"/>
              <w:spacing w:after="0"/>
              <w:rPr>
                <w:sz w:val="20"/>
                <w:szCs w:val="20"/>
                <w:color w:val="auto"/>
              </w:rPr>
            </w:pPr>
            <w:r>
              <w:rPr>
                <w:rFonts w:ascii="Times New Roman" w:cs="Times New Roman" w:eastAsia="Times New Roman" w:hAnsi="Times New Roman"/>
                <w:sz w:val="14"/>
                <w:szCs w:val="14"/>
                <w:color w:val="auto"/>
                <w:w w:val="95"/>
              </w:rPr>
              <w:t>103</w:t>
            </w:r>
          </w:p>
        </w:tc>
        <w:tc>
          <w:tcPr>
            <w:tcW w:w="180" w:type="dxa"/>
            <w:vAlign w:val="bottom"/>
            <w:tcBorders>
              <w:top w:val="single" w:sz="8" w:color="CCEEFF"/>
            </w:tcBorders>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00" w:type="dxa"/>
            <w:vAlign w:val="bottom"/>
            <w:shd w:val="clear" w:color="auto" w:fill="CCEEFF"/>
          </w:tcPr>
          <w:p>
            <w:pPr>
              <w:spacing w:after="0"/>
              <w:rPr>
                <w:sz w:val="16"/>
                <w:szCs w:val="16"/>
                <w:color w:val="auto"/>
              </w:rPr>
            </w:pPr>
          </w:p>
        </w:tc>
        <w:tc>
          <w:tcPr>
            <w:tcW w:w="656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107">
              <w:r>
                <w:rPr>
                  <w:rFonts w:ascii="Times New Roman" w:cs="Times New Roman" w:eastAsia="Times New Roman" w:hAnsi="Times New Roman"/>
                  <w:sz w:val="14"/>
                  <w:szCs w:val="14"/>
                  <w:color w:val="0000EE"/>
                </w:rPr>
                <w:t>Note 18 – Related Party Transactions</w:t>
              </w:r>
            </w:hyperlink>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w w:val="95"/>
              </w:rPr>
              <w:t>105</w:t>
            </w:r>
          </w:p>
        </w:tc>
        <w:tc>
          <w:tcPr>
            <w:tcW w:w="180" w:type="dxa"/>
            <w:vAlign w:val="bottom"/>
            <w:shd w:val="clear" w:color="auto" w:fill="CCEEFF"/>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6560" w:type="dxa"/>
            <w:vAlign w:val="bottom"/>
            <w:gridSpan w:val="33"/>
          </w:tcPr>
          <w:p>
            <w:pPr>
              <w:spacing w:after="0"/>
              <w:rPr>
                <w:rFonts w:ascii="Times New Roman" w:cs="Times New Roman" w:eastAsia="Times New Roman" w:hAnsi="Times New Roman"/>
                <w:sz w:val="14"/>
                <w:szCs w:val="14"/>
                <w:color w:val="0000EE"/>
              </w:rPr>
            </w:pPr>
            <w:hyperlink w:anchor="page107">
              <w:r>
                <w:rPr>
                  <w:rFonts w:ascii="Times New Roman" w:cs="Times New Roman" w:eastAsia="Times New Roman" w:hAnsi="Times New Roman"/>
                  <w:sz w:val="14"/>
                  <w:szCs w:val="14"/>
                  <w:color w:val="0000EE"/>
                </w:rPr>
                <w:t>Note 19 – Insurance Recoveries on Impairment and Related Losses due to Earthquake</w:t>
              </w:r>
            </w:hyperlink>
          </w:p>
        </w:tc>
        <w:tc>
          <w:tcPr>
            <w:tcW w:w="90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w w:val="95"/>
              </w:rPr>
              <w:t>107</w:t>
            </w: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shd w:val="clear" w:color="auto" w:fill="CCEEFF"/>
          </w:tcPr>
          <w:p>
            <w:pPr>
              <w:spacing w:after="0"/>
              <w:rPr>
                <w:sz w:val="20"/>
                <w:szCs w:val="20"/>
                <w:color w:val="auto"/>
              </w:rPr>
            </w:pPr>
          </w:p>
        </w:tc>
        <w:tc>
          <w:tcPr>
            <w:tcW w:w="656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w:anchor="page108">
              <w:r>
                <w:rPr>
                  <w:rFonts w:ascii="Times New Roman" w:cs="Times New Roman" w:eastAsia="Times New Roman" w:hAnsi="Times New Roman"/>
                  <w:sz w:val="14"/>
                  <w:szCs w:val="14"/>
                  <w:color w:val="0000EE"/>
                </w:rPr>
                <w:t>Note 20 – Unaudited Quarterly Financial Information</w:t>
              </w:r>
            </w:hyperlink>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w w:val="95"/>
              </w:rPr>
              <w:t>108</w:t>
            </w:r>
          </w:p>
        </w:tc>
        <w:tc>
          <w:tcPr>
            <w:tcW w:w="18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 w:type="dxa"/>
            <w:vAlign w:val="bottom"/>
            <w:tcBorders>
              <w:top w:val="single" w:sz="8" w:color="CCEEFF"/>
            </w:tcBorders>
          </w:tcPr>
          <w:p>
            <w:pPr>
              <w:spacing w:after="0"/>
              <w:rPr>
                <w:sz w:val="16"/>
                <w:szCs w:val="16"/>
                <w:color w:val="auto"/>
              </w:rPr>
            </w:pPr>
          </w:p>
        </w:tc>
        <w:tc>
          <w:tcPr>
            <w:tcW w:w="3100" w:type="dxa"/>
            <w:vAlign w:val="bottom"/>
            <w:tcBorders>
              <w:top w:val="single" w:sz="8" w:color="0000EE"/>
            </w:tcBorders>
            <w:gridSpan w:val="17"/>
          </w:tcPr>
          <w:p>
            <w:pPr>
              <w:spacing w:after="0"/>
              <w:rPr>
                <w:rFonts w:ascii="Times New Roman" w:cs="Times New Roman" w:eastAsia="Times New Roman" w:hAnsi="Times New Roman"/>
                <w:sz w:val="14"/>
                <w:szCs w:val="14"/>
                <w:color w:val="0000EE"/>
              </w:rPr>
            </w:pPr>
            <w:hyperlink w:anchor="page108">
              <w:r>
                <w:rPr>
                  <w:rFonts w:ascii="Times New Roman" w:cs="Times New Roman" w:eastAsia="Times New Roman" w:hAnsi="Times New Roman"/>
                  <w:sz w:val="14"/>
                  <w:szCs w:val="14"/>
                  <w:color w:val="0000EE"/>
                </w:rPr>
                <w:t>Note 21 – Subsequent Events</w:t>
              </w:r>
            </w:hyperlink>
          </w:p>
        </w:tc>
        <w:tc>
          <w:tcPr>
            <w:tcW w:w="3460" w:type="dxa"/>
            <w:vAlign w:val="bottom"/>
            <w:tcBorders>
              <w:top w:val="single" w:sz="8" w:color="CCEEFF"/>
            </w:tcBorders>
            <w:gridSpan w:val="16"/>
          </w:tcPr>
          <w:p>
            <w:pPr>
              <w:spacing w:after="0"/>
              <w:rPr>
                <w:sz w:val="16"/>
                <w:szCs w:val="16"/>
                <w:color w:val="auto"/>
              </w:rPr>
            </w:pPr>
          </w:p>
        </w:tc>
        <w:tc>
          <w:tcPr>
            <w:tcW w:w="900" w:type="dxa"/>
            <w:vAlign w:val="bottom"/>
            <w:tcBorders>
              <w:top w:val="single" w:sz="8" w:color="CCEEFF"/>
            </w:tcBorders>
            <w:gridSpan w:val="2"/>
          </w:tcPr>
          <w:p>
            <w:pPr>
              <w:jc w:val="center"/>
              <w:ind w:left="548"/>
              <w:spacing w:after="0"/>
              <w:rPr>
                <w:sz w:val="20"/>
                <w:szCs w:val="20"/>
                <w:color w:val="auto"/>
              </w:rPr>
            </w:pPr>
            <w:r>
              <w:rPr>
                <w:rFonts w:ascii="Times New Roman" w:cs="Times New Roman" w:eastAsia="Times New Roman" w:hAnsi="Times New Roman"/>
                <w:sz w:val="14"/>
                <w:szCs w:val="14"/>
                <w:color w:val="auto"/>
                <w:w w:val="95"/>
              </w:rPr>
              <w:t>108</w:t>
            </w:r>
          </w:p>
        </w:tc>
        <w:tc>
          <w:tcPr>
            <w:tcW w:w="180" w:type="dxa"/>
            <w:vAlign w:val="bottom"/>
            <w:tcBorders>
              <w:top w:val="single" w:sz="8" w:color="CCEEFF"/>
            </w:tcBorders>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shd w:val="clear" w:color="auto" w:fill="CCEEFF"/>
          </w:tcPr>
          <w:p>
            <w:pPr>
              <w:spacing w:after="0"/>
              <w:rPr>
                <w:sz w:val="19"/>
                <w:szCs w:val="19"/>
                <w:color w:val="auto"/>
              </w:rPr>
            </w:pPr>
          </w:p>
        </w:tc>
        <w:tc>
          <w:tcPr>
            <w:tcW w:w="2860" w:type="dxa"/>
            <w:vAlign w:val="bottom"/>
            <w:gridSpan w:val="16"/>
            <w:vMerge w:val="restart"/>
            <w:shd w:val="clear" w:color="auto" w:fill="CCEEFF"/>
          </w:tcPr>
          <w:p>
            <w:pPr>
              <w:spacing w:after="0"/>
              <w:rPr>
                <w:rFonts w:ascii="Times New Roman" w:cs="Times New Roman" w:eastAsia="Times New Roman" w:hAnsi="Times New Roman"/>
                <w:sz w:val="14"/>
                <w:szCs w:val="14"/>
                <w:color w:val="0000EE"/>
              </w:rPr>
            </w:pPr>
            <w:hyperlink w:anchor="page109">
              <w:r>
                <w:rPr>
                  <w:rFonts w:ascii="Times New Roman" w:cs="Times New Roman" w:eastAsia="Times New Roman" w:hAnsi="Times New Roman"/>
                  <w:sz w:val="14"/>
                  <w:szCs w:val="14"/>
                  <w:color w:val="0000EE"/>
                </w:rPr>
                <w:t>Schedule II – Valuation and Qualifying Accounts</w:t>
              </w:r>
            </w:hyperlink>
          </w:p>
        </w:tc>
        <w:tc>
          <w:tcPr>
            <w:tcW w:w="3700" w:type="dxa"/>
            <w:vAlign w:val="bottom"/>
            <w:gridSpan w:val="17"/>
            <w:vMerge w:val="restart"/>
            <w:shd w:val="clear" w:color="auto" w:fill="CCEEFF"/>
          </w:tcPr>
          <w:p>
            <w:pPr>
              <w:spacing w:after="0"/>
              <w:rPr>
                <w:sz w:val="19"/>
                <w:szCs w:val="19"/>
                <w:color w:val="auto"/>
              </w:rPr>
            </w:pPr>
          </w:p>
        </w:tc>
        <w:tc>
          <w:tcPr>
            <w:tcW w:w="90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w w:val="95"/>
              </w:rPr>
              <w:t>109</w:t>
            </w:r>
          </w:p>
        </w:tc>
        <w:tc>
          <w:tcPr>
            <w:tcW w:w="180" w:type="dxa"/>
            <w:vAlign w:val="bottom"/>
            <w:shd w:val="clear" w:color="auto" w:fill="CCEEFF"/>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CCEEFF"/>
            </w:tcBorders>
            <w:shd w:val="clear" w:color="auto" w:fill="CCEEFF"/>
          </w:tcPr>
          <w:p>
            <w:pPr>
              <w:spacing w:after="0"/>
              <w:rPr>
                <w:sz w:val="3"/>
                <w:szCs w:val="3"/>
                <w:color w:val="auto"/>
              </w:rPr>
            </w:pPr>
          </w:p>
        </w:tc>
        <w:tc>
          <w:tcPr>
            <w:tcW w:w="2860" w:type="dxa"/>
            <w:vAlign w:val="bottom"/>
            <w:tcBorders>
              <w:bottom w:val="single" w:sz="8" w:color="0000EE"/>
            </w:tcBorders>
            <w:gridSpan w:val="16"/>
            <w:vMerge w:val="continue"/>
            <w:shd w:val="clear" w:color="auto" w:fill="CCEEFF"/>
          </w:tcPr>
          <w:p>
            <w:pPr>
              <w:spacing w:after="0"/>
              <w:rPr>
                <w:sz w:val="3"/>
                <w:szCs w:val="3"/>
                <w:color w:val="auto"/>
              </w:rPr>
            </w:pPr>
          </w:p>
        </w:tc>
        <w:tc>
          <w:tcPr>
            <w:tcW w:w="3700" w:type="dxa"/>
            <w:vAlign w:val="bottom"/>
            <w:tcBorders>
              <w:bottom w:val="single" w:sz="8" w:color="CCEEFF"/>
            </w:tcBorders>
            <w:gridSpan w:val="17"/>
            <w:vMerge w:val="continue"/>
            <w:shd w:val="clear" w:color="auto" w:fill="CCEEFF"/>
          </w:tcPr>
          <w:p>
            <w:pPr>
              <w:spacing w:after="0"/>
              <w:rPr>
                <w:sz w:val="3"/>
                <w:szCs w:val="3"/>
                <w:color w:val="auto"/>
              </w:rPr>
            </w:pPr>
          </w:p>
        </w:tc>
        <w:tc>
          <w:tcPr>
            <w:tcW w:w="62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95"/>
        </w:trPr>
        <w:tc>
          <w:tcPr>
            <w:tcW w:w="5620" w:type="dxa"/>
            <w:vAlign w:val="bottom"/>
            <w:gridSpan w:val="30"/>
          </w:tcPr>
          <w:p>
            <w:pPr>
              <w:jc w:val="right"/>
              <w:ind w:right="340"/>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6610985</wp:posOffset>
            </wp:positionH>
            <wp:positionV relativeFrom="paragraph">
              <wp:posOffset>-33020</wp:posOffset>
            </wp:positionV>
            <wp:extent cx="32385" cy="46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-33020</wp:posOffset>
            </wp:positionV>
            <wp:extent cx="32385" cy="46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10440"/>
          </w:cols>
          <w:pgMar w:left="740" w:top="114" w:right="719" w:bottom="1440" w:gutter="0" w:footer="0" w:header="0"/>
        </w:sectPr>
      </w:pPr>
    </w:p>
    <w:bookmarkStart w:id="58" w:name="page59"/>
    <w:bookmarkEnd w:id="58"/>
    <w:p>
      <w:pPr>
        <w:ind w:left="1680"/>
        <w:spacing w:after="0"/>
        <w:rPr>
          <w:sz w:val="20"/>
          <w:szCs w:val="20"/>
          <w:color w:val="auto"/>
        </w:rPr>
      </w:pPr>
      <w:r>
        <w:rPr>
          <w:rFonts w:ascii="Times New Roman" w:cs="Times New Roman" w:eastAsia="Times New Roman" w:hAnsi="Times New Roman"/>
          <w:sz w:val="17"/>
          <w:szCs w:val="17"/>
          <w:b w:val="1"/>
          <w:bCs w:val="1"/>
          <w:u w:val="single" w:color="auto"/>
          <w:color w:val="auto"/>
        </w:rPr>
        <w:t>MANAGEMENT'S REPORT ON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 and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p>
      <w:pPr>
        <w:spacing w:after="0" w:line="6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on this assessment, our management believes that the Company’s internal control over financial reporting is effective as of December 31, 2017.</w:t>
      </w:r>
    </w:p>
    <w:p>
      <w:pPr>
        <w:spacing w:after="0" w:line="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2017 has been audited by Grant Thornton LLP, an independent registered public accounting firm, as stated in their report, which is included herein</w:t>
      </w:r>
      <w:r>
        <w:rPr>
          <w:rFonts w:ascii="Times New Roman" w:cs="Times New Roman" w:eastAsia="Times New Roman" w:hAnsi="Times New Roman"/>
          <w:sz w:val="12"/>
          <w:szCs w:val="12"/>
          <w:color w:val="auto"/>
        </w:rPr>
        <w:t>.</w:t>
      </w:r>
    </w:p>
    <w:p>
      <w:pPr>
        <w:sectPr>
          <w:pgSz w:w="11900" w:h="16838" w:orient="portrait"/>
          <w:cols w:equalWidth="0" w:num="1">
            <w:col w:w="10400"/>
          </w:cols>
          <w:pgMar w:left="740" w:top="114" w:right="759" w:bottom="1440" w:gutter="0" w:footer="0" w:header="0"/>
        </w:sectPr>
      </w:pPr>
    </w:p>
    <w:p>
      <w:pPr>
        <w:spacing w:after="0" w:line="2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Ellen M. Cotter</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Ellen M. Cotter</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March 15, 2018</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u w:val="single" w:color="auto"/>
          <w:color w:val="auto"/>
        </w:rPr>
        <w:t>/s/ Devasis Ghose</w:t>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Devasis Ghose</w:t>
      </w:r>
    </w:p>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March 15, 2018</w:t>
      </w:r>
    </w:p>
    <w:p>
      <w:pPr>
        <w:spacing w:after="0" w:line="200" w:lineRule="exact"/>
        <w:rPr>
          <w:sz w:val="20"/>
          <w:szCs w:val="20"/>
          <w:color w:val="auto"/>
        </w:rPr>
      </w:pPr>
    </w:p>
    <w:p>
      <w:pPr>
        <w:sectPr>
          <w:pgSz w:w="11900" w:h="16838" w:orient="portrait"/>
          <w:cols w:equalWidth="0" w:num="2">
            <w:col w:w="3560" w:space="720"/>
            <w:col w:w="6120"/>
          </w:cols>
          <w:pgMar w:left="740" w:top="114" w:right="759" w:bottom="1440" w:gutter="0" w:footer="0" w:header="0"/>
          <w:type w:val="continuous"/>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00"/>
          </w:cols>
          <w:pgMar w:left="740" w:top="114" w:right="759" w:bottom="1440" w:gutter="0" w:footer="0" w:header="0"/>
          <w:type w:val="continuous"/>
        </w:sectPr>
      </w:pPr>
    </w:p>
    <w:bookmarkStart w:id="59" w:name="page60"/>
    <w:bookmarkEnd w:id="59"/>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 and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Opinion on the financial statements</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Reading International, Inc. and subsidiaries (the “Company”) as of December 31, 2017 and 2016, the related consolidated statements of comprehensive income, changes in shareholders’ equity, and cash flows for each of the three years in the period ended December 31, 2017, and the related notes and schedules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 xml:space="preserve">We also have audited, in accordance with the standards of the Public Company Accounting Oversight Board (United States) (“PCAOB”), the Company’s internal control over financial reporting as of December 31, 2017, based on criteria established in the 2013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issued by the Committee of Sponsoring Organizations of the Treadway Commission (“COSO”), and our report dated March 15, 2018 expressed an unqualified opinion</w:t>
      </w:r>
      <w:r>
        <w:rPr>
          <w:rFonts w:ascii="Times New Roman" w:cs="Times New Roman" w:eastAsia="Times New Roman" w:hAnsi="Times New Roman"/>
          <w:sz w:val="14"/>
          <w:szCs w:val="14"/>
          <w:color w:val="0000FF"/>
        </w:rPr>
        <w: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Basis for opinion</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 Angeles, CA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15, 2018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14" w:right="7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REPORT OF INDEPENDENT REGISTERED PUBLIC ACCOUNTING FIRM</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 and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Opinion on internal control over financial reporting</w:t>
      </w:r>
    </w:p>
    <w:p>
      <w:pPr>
        <w:spacing w:after="0" w:line="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Reading International, Inc. and subsidiaries (the “Company”) as of December 31, 2017, based on criteria established in the 2013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the 2013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Control—Integrated Framework </w:t>
      </w:r>
      <w:r>
        <w:rPr>
          <w:rFonts w:ascii="Times New Roman" w:cs="Times New Roman" w:eastAsia="Times New Roman" w:hAnsi="Times New Roman"/>
          <w:sz w:val="14"/>
          <w:szCs w:val="14"/>
          <w:color w:val="auto"/>
        </w:rPr>
        <w:t>issued by COSO.</w:t>
      </w:r>
    </w:p>
    <w:p>
      <w:pPr>
        <w:spacing w:after="0" w:line="17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financial statements of the Company as of and for the year ended December 31, 2017, and our report dated March 15th, 2018 expressed unqualified opinion on those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Basis for opinion</w:t>
      </w:r>
    </w:p>
    <w:p>
      <w:pPr>
        <w:spacing w:after="0" w:line="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 Discussion and Analysis Report of Reading International Inc.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Definition and limitations of internal control over financial reporting</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firstLine="7"/>
        <w:spacing w:after="0" w:line="277" w:lineRule="auto"/>
        <w:tabs>
          <w:tab w:leader="none" w:pos="20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15, 2018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310" w:right="7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READING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 as of December 31, 2017 and 2016</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information)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4"/>
                <w:szCs w:val="14"/>
                <w:color w:val="auto"/>
              </w:rPr>
            </w:pP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7"/>
        </w:trPr>
        <w:tc>
          <w:tcPr>
            <w:tcW w:w="59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2017</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2016</w:t>
            </w:r>
            <w:r>
              <w:rPr>
                <w:rFonts w:ascii="Times New Roman" w:cs="Times New Roman" w:eastAsia="Times New Roman" w:hAnsi="Times New Roman"/>
                <w:sz w:val="14"/>
                <w:szCs w:val="14"/>
                <w:b w:val="1"/>
                <w:bCs w:val="1"/>
                <w:color w:val="auto"/>
                <w:vertAlign w:val="superscript"/>
              </w:rPr>
              <w:t>(1)</w:t>
            </w:r>
          </w:p>
        </w:tc>
      </w:tr>
      <w:tr>
        <w:trPr>
          <w:trHeight w:val="1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13,668</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19,017</w:t>
            </w:r>
          </w:p>
        </w:tc>
      </w:tr>
      <w:tr>
        <w:trPr>
          <w:trHeight w:val="163"/>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Receivables</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13,050</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8,772</w:t>
            </w:r>
          </w:p>
        </w:tc>
      </w:tr>
      <w:tr>
        <w:trPr>
          <w:trHeight w:val="16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Inventories</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1,432</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w:t>
            </w:r>
          </w:p>
        </w:tc>
      </w:tr>
      <w:tr>
        <w:trPr>
          <w:trHeight w:val="163"/>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5,325</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5,787</w:t>
            </w:r>
          </w:p>
        </w:tc>
      </w:tr>
      <w:tr>
        <w:trPr>
          <w:trHeight w:val="163"/>
        </w:trPr>
        <w:tc>
          <w:tcPr>
            <w:tcW w:w="59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Land held for sale</w:t>
            </w:r>
          </w:p>
        </w:tc>
        <w:tc>
          <w:tcPr>
            <w:tcW w:w="16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37,674</w:t>
            </w:r>
          </w:p>
        </w:tc>
      </w:tr>
      <w:tr>
        <w:trPr>
          <w:trHeight w:val="154"/>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620" w:type="dxa"/>
            <w:vAlign w:val="bottom"/>
          </w:tcPr>
          <w:p>
            <w:pPr>
              <w:spacing w:after="0"/>
              <w:rPr>
                <w:sz w:val="13"/>
                <w:szCs w:val="13"/>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33,475</w:t>
            </w: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72,641</w:t>
            </w:r>
          </w:p>
        </w:tc>
      </w:tr>
      <w:tr>
        <w:trPr>
          <w:trHeight w:val="1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properties, net</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264,724</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211,886</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Investment and development properties, net</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61,254</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43,687</w:t>
            </w:r>
          </w:p>
        </w:tc>
      </w:tr>
      <w:tr>
        <w:trPr>
          <w:trHeight w:val="1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 unconsolidated joint ventures</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5,304</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5,071</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20,276</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19,828</w:t>
            </w:r>
          </w:p>
        </w:tc>
      </w:tr>
      <w:tr>
        <w:trPr>
          <w:trHeight w:val="1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8,542</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10,037</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 net</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24,908</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28,667</w:t>
            </w:r>
          </w:p>
        </w:tc>
      </w:tr>
      <w:tr>
        <w:trPr>
          <w:trHeight w:val="163"/>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6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4,543</w:t>
            </w: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13,949</w:t>
            </w:r>
          </w:p>
        </w:tc>
      </w:tr>
      <w:tr>
        <w:trPr>
          <w:trHeight w:val="155"/>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423,026</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405,766</w:t>
            </w:r>
          </w:p>
        </w:tc>
      </w:tr>
      <w:tr>
        <w:trPr>
          <w:trHeight w:val="1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6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34,359</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26,479</w:t>
            </w:r>
          </w:p>
        </w:tc>
      </w:tr>
      <w:tr>
        <w:trPr>
          <w:trHeight w:val="163"/>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Film rent payable</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13,511</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10,528</w:t>
            </w:r>
          </w:p>
        </w:tc>
      </w:tr>
      <w:tr>
        <w:trPr>
          <w:trHeight w:val="16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Debt – current portion</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8,109</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r>
      <w:tr>
        <w:trPr>
          <w:trHeight w:val="163"/>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payable</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2,938</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3,523</w:t>
            </w:r>
          </w:p>
        </w:tc>
      </w:tr>
      <w:tr>
        <w:trPr>
          <w:trHeight w:val="16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current revenue</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9,850</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10,758</w:t>
            </w:r>
          </w:p>
        </w:tc>
      </w:tr>
      <w:tr>
        <w:trPr>
          <w:trHeight w:val="163"/>
        </w:trPr>
        <w:tc>
          <w:tcPr>
            <w:tcW w:w="5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6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11,679</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14,131</w:t>
            </w:r>
          </w:p>
        </w:tc>
      </w:tr>
      <w:tr>
        <w:trPr>
          <w:trHeight w:val="15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6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80,446</w:t>
            </w: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65,986</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Debt – long-term portion</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94,862</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115,707</w:t>
            </w:r>
          </w:p>
        </w:tc>
      </w:tr>
      <w:tr>
        <w:trPr>
          <w:trHeight w:val="1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27,554</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27,340</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Noncurrent tax liabilities</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12,274</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19,953</w:t>
            </w:r>
          </w:p>
        </w:tc>
      </w:tr>
      <w:tr>
        <w:trPr>
          <w:trHeight w:val="163"/>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6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26,649</w:t>
            </w: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30,165</w:t>
            </w:r>
          </w:p>
        </w:tc>
      </w:tr>
      <w:tr>
        <w:trPr>
          <w:trHeight w:val="154"/>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241,785</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259,151</w:t>
            </w:r>
          </w:p>
        </w:tc>
      </w:tr>
      <w:tr>
        <w:trPr>
          <w:trHeight w:val="15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16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non-voting common shares, par value $0.01, 100,000,000 shares authorized,</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3"/>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33,019,565 issued and 21,251,291 outstanding at December 31, 2017 and 32,856,267</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issued and 21,497,717 outstanding at December 31, 2016</w:t>
            </w:r>
          </w:p>
        </w:tc>
        <w:tc>
          <w:tcPr>
            <w:tcW w:w="16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231</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Class B voting common shares, par value $0.01, 20,000,000 shares authorized and</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1,680,590 issued and outstanding at December 31, 2017 and 2016</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17</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Nonvoting preferred shares, par value $0.01, 12,000 shares authorized and no issued</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or outstanding shares at December 31, 2017 and 2016</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2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145,898</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144,569</w:t>
            </w:r>
          </w:p>
        </w:tc>
      </w:tr>
      <w:tr>
        <w:trPr>
          <w:trHeight w:val="16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16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32,679</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w:t>
            </w:r>
          </w:p>
        </w:tc>
      </w:tr>
      <w:tr>
        <w:trPr>
          <w:trHeight w:val="16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Treasury shares, at cost</w:t>
            </w:r>
          </w:p>
        </w:tc>
        <w:tc>
          <w:tcPr>
            <w:tcW w:w="16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(22,906)</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(16,374)</w:t>
            </w:r>
          </w:p>
        </w:tc>
      </w:tr>
      <w:tr>
        <w:trPr>
          <w:trHeight w:val="163"/>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6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20,991</w:t>
            </w: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12,075</w:t>
            </w:r>
          </w:p>
        </w:tc>
      </w:tr>
      <w:tr>
        <w:trPr>
          <w:trHeight w:val="154"/>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Reading International, Inc. ("RDI") Stockholders’ Equity</w:t>
            </w:r>
          </w:p>
        </w:tc>
        <w:tc>
          <w:tcPr>
            <w:tcW w:w="1620" w:type="dxa"/>
            <w:vAlign w:val="bottom"/>
          </w:tcPr>
          <w:p>
            <w:pPr>
              <w:spacing w:after="0"/>
              <w:rPr>
                <w:sz w:val="13"/>
                <w:szCs w:val="13"/>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176,910</w:t>
            </w: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142,197</w:t>
            </w:r>
          </w:p>
        </w:tc>
      </w:tr>
      <w:tr>
        <w:trPr>
          <w:trHeight w:val="163"/>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6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4,331</w:t>
            </w: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4,418</w:t>
            </w:r>
          </w:p>
        </w:tc>
      </w:tr>
      <w:tr>
        <w:trPr>
          <w:trHeight w:val="154"/>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16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181,241</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146,615</w:t>
            </w:r>
          </w:p>
        </w:tc>
      </w:tr>
      <w:tr>
        <w:trPr>
          <w:trHeight w:val="155"/>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6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423,026</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405,766</w:t>
            </w: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integral part of the Consolidated Financial Statements.</w:t>
      </w:r>
    </w:p>
    <w:p>
      <w:pPr>
        <w:spacing w:after="0" w:line="101" w:lineRule="exact"/>
        <w:rPr>
          <w:sz w:val="20"/>
          <w:szCs w:val="20"/>
          <w:color w:val="auto"/>
        </w:rPr>
      </w:pPr>
    </w:p>
    <w:p>
      <w:pPr>
        <w:ind w:left="100" w:hanging="93"/>
        <w:spacing w:after="0"/>
        <w:tabs>
          <w:tab w:leader="none" w:pos="100" w:val="left"/>
        </w:tabs>
        <w:numPr>
          <w:ilvl w:val="0"/>
          <w:numId w:val="53"/>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10"/>
          <w:szCs w:val="10"/>
          <w:color w:val="auto"/>
        </w:rPr>
        <w:t xml:space="preserve">Certain prior year balances have been reclassified to conform to the 2017 presentation (see Note 2 – </w:t>
      </w:r>
      <w:r>
        <w:rPr>
          <w:rFonts w:ascii="Times New Roman" w:cs="Times New Roman" w:eastAsia="Times New Roman" w:hAnsi="Times New Roman"/>
          <w:sz w:val="10"/>
          <w:szCs w:val="10"/>
          <w:i w:val="1"/>
          <w:iCs w:val="1"/>
          <w:color w:val="auto"/>
        </w:rPr>
        <w:t>Summary of Significant Accounting Policies – Reclassifications</w:t>
      </w:r>
      <w:r>
        <w:rPr>
          <w:rFonts w:ascii="Times New Roman" w:cs="Times New Roman" w:eastAsia="Times New Roman" w:hAnsi="Times New Roman"/>
          <w:sz w:val="10"/>
          <w:szCs w:val="10"/>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READING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for the Three Years Ended December 31, 2017</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and per share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2017</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2016</w:t>
            </w:r>
            <w:r>
              <w:rPr>
                <w:rFonts w:ascii="Times New Roman" w:cs="Times New Roman" w:eastAsia="Times New Roman" w:hAnsi="Times New Roman"/>
                <w:sz w:val="14"/>
                <w:szCs w:val="14"/>
                <w:b w:val="1"/>
                <w:bCs w:val="1"/>
                <w:color w:val="auto"/>
                <w:vertAlign w:val="superscript"/>
              </w:rPr>
              <w:t>(1)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2015</w:t>
            </w:r>
            <w:r>
              <w:rPr>
                <w:rFonts w:ascii="Times New Roman" w:cs="Times New Roman" w:eastAsia="Times New Roman" w:hAnsi="Times New Roman"/>
                <w:sz w:val="14"/>
                <w:szCs w:val="14"/>
                <w:b w:val="1"/>
                <w:bCs w:val="1"/>
                <w:color w:val="auto"/>
                <w:vertAlign w:val="superscript"/>
              </w:rPr>
              <w:t>(1)</w:t>
            </w:r>
          </w:p>
        </w:tc>
      </w:tr>
      <w:tr>
        <w:trPr>
          <w:trHeight w:val="16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3"/>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Cinema</w:t>
            </w:r>
          </w:p>
        </w:tc>
        <w:tc>
          <w:tcPr>
            <w:tcW w:w="156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263,464</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256,922</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242,823</w:t>
            </w:r>
          </w:p>
        </w:tc>
      </w:tr>
      <w:tr>
        <w:trPr>
          <w:trHeight w:val="163"/>
        </w:trPr>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 estate</w:t>
            </w:r>
          </w:p>
        </w:tc>
        <w:tc>
          <w:tcPr>
            <w:tcW w:w="1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16,270</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13,551</w:t>
            </w:r>
          </w:p>
        </w:tc>
        <w:tc>
          <w:tcPr>
            <w:tcW w:w="3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15,042</w:t>
            </w:r>
          </w:p>
        </w:tc>
      </w:tr>
      <w:tr>
        <w:trPr>
          <w:trHeight w:val="154"/>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1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279,734</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270,473</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257,865</w:t>
            </w:r>
          </w:p>
        </w:tc>
      </w:tr>
      <w:tr>
        <w:trPr>
          <w:trHeight w:val="15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Costs and Expenses</w:t>
            </w:r>
          </w:p>
        </w:tc>
        <w:tc>
          <w:tcPr>
            <w:tcW w:w="1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3"/>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Cinema</w:t>
            </w:r>
          </w:p>
        </w:tc>
        <w:tc>
          <w:tcPr>
            <w:tcW w:w="1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(207,447)</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(198,523)</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(190,007)</w:t>
            </w:r>
          </w:p>
        </w:tc>
      </w:tr>
      <w:tr>
        <w:trPr>
          <w:trHeight w:val="16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 estate</w:t>
            </w:r>
          </w:p>
        </w:tc>
        <w:tc>
          <w:tcPr>
            <w:tcW w:w="1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(9,437)</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(9,044)</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(10,948)</w:t>
            </w:r>
          </w:p>
        </w:tc>
      </w:tr>
      <w:tr>
        <w:trPr>
          <w:trHeight w:val="163"/>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(16,942)</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(15,689)</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(14,562)</w:t>
            </w:r>
          </w:p>
        </w:tc>
      </w:tr>
      <w:tr>
        <w:trPr>
          <w:trHeight w:val="163"/>
        </w:trPr>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(25,347)</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(26,906)</w:t>
            </w:r>
          </w:p>
        </w:tc>
        <w:tc>
          <w:tcPr>
            <w:tcW w:w="3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(18,652)</w:t>
            </w:r>
          </w:p>
        </w:tc>
      </w:tr>
      <w:tr>
        <w:trPr>
          <w:trHeight w:val="154"/>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1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(259,173)</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(250,162)</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(234,169)</w:t>
            </w:r>
          </w:p>
        </w:tc>
      </w:tr>
      <w:tr>
        <w:trPr>
          <w:trHeight w:val="15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5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20,561</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20,311</w:t>
            </w: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23,696</w:t>
            </w:r>
          </w:p>
        </w:tc>
      </w:tr>
      <w:tr>
        <w:trPr>
          <w:trHeight w:val="163"/>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net</w:t>
            </w:r>
          </w:p>
        </w:tc>
        <w:tc>
          <w:tcPr>
            <w:tcW w:w="1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(6,194)</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(6,782)</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(7,304)</w:t>
            </w:r>
          </w:p>
        </w:tc>
      </w:tr>
      <w:tr>
        <w:trPr>
          <w:trHeight w:val="16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Casualty gain (loss)</w:t>
            </w:r>
          </w:p>
        </w:tc>
        <w:tc>
          <w:tcPr>
            <w:tcW w:w="1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9,217</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Net gain on sale of assets</w:t>
            </w:r>
          </w:p>
        </w:tc>
        <w:tc>
          <w:tcPr>
            <w:tcW w:w="1560" w:type="dxa"/>
            <w:vAlign w:val="bottom"/>
          </w:tcPr>
          <w:p>
            <w:pPr>
              <w:spacing w:after="0"/>
              <w:rPr>
                <w:sz w:val="14"/>
                <w:szCs w:val="14"/>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9,360</w:t>
            </w:r>
          </w:p>
        </w:tc>
        <w:tc>
          <w:tcPr>
            <w:tcW w:w="3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393</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11,023</w:t>
            </w:r>
          </w:p>
        </w:tc>
      </w:tr>
      <w:tr>
        <w:trPr>
          <w:trHeight w:val="163"/>
        </w:trPr>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588</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3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r>
      <w:tr>
        <w:trPr>
          <w:trHeight w:val="154"/>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before taxes and earnings of unconsolidated joint ventures</w:t>
            </w:r>
          </w:p>
        </w:tc>
        <w:tc>
          <w:tcPr>
            <w:tcW w:w="1560" w:type="dxa"/>
            <w:vAlign w:val="bottom"/>
          </w:tcPr>
          <w:p>
            <w:pPr>
              <w:spacing w:after="0"/>
              <w:rPr>
                <w:sz w:val="13"/>
                <w:szCs w:val="1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33,532</w:t>
            </w:r>
          </w:p>
        </w:tc>
        <w:tc>
          <w:tcPr>
            <w:tcW w:w="340" w:type="dxa"/>
            <w:vAlign w:val="bottom"/>
          </w:tcPr>
          <w:p>
            <w:pPr>
              <w:spacing w:after="0"/>
              <w:rPr>
                <w:sz w:val="13"/>
                <w:szCs w:val="13"/>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12,438</w:t>
            </w:r>
          </w:p>
        </w:tc>
        <w:tc>
          <w:tcPr>
            <w:tcW w:w="3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26,975</w:t>
            </w:r>
          </w:p>
        </w:tc>
      </w:tr>
      <w:tr>
        <w:trPr>
          <w:trHeight w:val="163"/>
        </w:trPr>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earnings of unconsolidated joint ventures</w:t>
            </w:r>
          </w:p>
        </w:tc>
        <w:tc>
          <w:tcPr>
            <w:tcW w:w="1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815</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999</w:t>
            </w:r>
          </w:p>
        </w:tc>
        <w:tc>
          <w:tcPr>
            <w:tcW w:w="3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r>
      <w:tr>
        <w:trPr>
          <w:trHeight w:val="154"/>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560" w:type="dxa"/>
            <w:vAlign w:val="bottom"/>
          </w:tcPr>
          <w:p>
            <w:pPr>
              <w:spacing w:after="0"/>
              <w:rPr>
                <w:sz w:val="13"/>
                <w:szCs w:val="1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34,347</w:t>
            </w:r>
          </w:p>
        </w:tc>
        <w:tc>
          <w:tcPr>
            <w:tcW w:w="340" w:type="dxa"/>
            <w:vAlign w:val="bottom"/>
          </w:tcPr>
          <w:p>
            <w:pPr>
              <w:spacing w:after="0"/>
              <w:rPr>
                <w:sz w:val="13"/>
                <w:szCs w:val="13"/>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13,437</w:t>
            </w:r>
          </w:p>
        </w:tc>
        <w:tc>
          <w:tcPr>
            <w:tcW w:w="3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28,179</w:t>
            </w:r>
          </w:p>
        </w:tc>
      </w:tr>
      <w:tr>
        <w:trPr>
          <w:trHeight w:val="163"/>
        </w:trPr>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(4,020)</w:t>
            </w:r>
          </w:p>
        </w:tc>
        <w:tc>
          <w:tcPr>
            <w:tcW w:w="3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(5,148)</w:t>
            </w:r>
          </w:p>
        </w:tc>
      </w:tr>
      <w:tr>
        <w:trPr>
          <w:trHeight w:val="154"/>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56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31,010</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9,417</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23,031</w:t>
            </w:r>
          </w:p>
        </w:tc>
      </w:tr>
      <w:tr>
        <w:trPr>
          <w:trHeight w:val="163"/>
        </w:trPr>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w:t>
            </w:r>
          </w:p>
        </w:tc>
        <w:tc>
          <w:tcPr>
            <w:tcW w:w="1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14</w:t>
            </w:r>
          </w:p>
        </w:tc>
        <w:tc>
          <w:tcPr>
            <w:tcW w:w="3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88"/>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RDI controlling interests</w:t>
            </w:r>
          </w:p>
        </w:tc>
        <w:tc>
          <w:tcPr>
            <w:tcW w:w="1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30,999</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9,403</w:t>
            </w: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23,110</w:t>
            </w:r>
          </w:p>
        </w:tc>
      </w:tr>
      <w:tr>
        <w:trPr>
          <w:trHeight w:val="197"/>
        </w:trPr>
        <w:tc>
          <w:tcPr>
            <w:tcW w:w="4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Basic income per share attributable to RDI controlling interests</w:t>
            </w:r>
          </w:p>
        </w:tc>
        <w:tc>
          <w:tcPr>
            <w:tcW w:w="15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1.35</w:t>
            </w: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0.40</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0.99</w:t>
            </w:r>
          </w:p>
        </w:tc>
      </w:tr>
      <w:tr>
        <w:trPr>
          <w:trHeight w:val="197"/>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Diluted income per share attributable to RDI controlling interests</w:t>
            </w:r>
          </w:p>
        </w:tc>
        <w:tc>
          <w:tcPr>
            <w:tcW w:w="1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1.33</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0.40</w:t>
            </w: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0.98</w:t>
            </w:r>
          </w:p>
        </w:tc>
      </w:tr>
      <w:tr>
        <w:trPr>
          <w:trHeight w:val="16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 average number of shares outstanding–basic</w:t>
            </w:r>
          </w:p>
        </w:tc>
        <w:tc>
          <w:tcPr>
            <w:tcW w:w="1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23,041,190</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23,320,048</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23,293,696</w:t>
            </w:r>
          </w:p>
        </w:tc>
      </w:tr>
      <w:tr>
        <w:trPr>
          <w:trHeight w:val="164"/>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Weighted average number of shares outstanding–diluted</w:t>
            </w:r>
          </w:p>
        </w:tc>
        <w:tc>
          <w:tcPr>
            <w:tcW w:w="1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23,247,969</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23,521,157</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23,495,618</w:t>
            </w: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integral part of the Consolidated Financial Statements.</w:t>
      </w:r>
    </w:p>
    <w:p>
      <w:pPr>
        <w:spacing w:after="0" w:line="101" w:lineRule="exact"/>
        <w:rPr>
          <w:sz w:val="20"/>
          <w:szCs w:val="20"/>
          <w:color w:val="auto"/>
        </w:rPr>
      </w:pPr>
    </w:p>
    <w:p>
      <w:pPr>
        <w:ind w:left="100" w:hanging="93"/>
        <w:spacing w:after="0"/>
        <w:tabs>
          <w:tab w:leader="none" w:pos="100" w:val="left"/>
        </w:tabs>
        <w:numPr>
          <w:ilvl w:val="0"/>
          <w:numId w:val="54"/>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10"/>
          <w:szCs w:val="10"/>
          <w:color w:val="auto"/>
        </w:rPr>
        <w:t xml:space="preserve">Certain prior year balances have been reclassified to conform to the 2017 presentation (see Note 2 – </w:t>
      </w:r>
      <w:r>
        <w:rPr>
          <w:rFonts w:ascii="Times New Roman" w:cs="Times New Roman" w:eastAsia="Times New Roman" w:hAnsi="Times New Roman"/>
          <w:sz w:val="10"/>
          <w:szCs w:val="10"/>
          <w:i w:val="1"/>
          <w:iCs w:val="1"/>
          <w:color w:val="auto"/>
        </w:rPr>
        <w:t>Summary of Significant Accounting Policies – Reclassifications</w:t>
      </w:r>
      <w:r>
        <w:rPr>
          <w:rFonts w:ascii="Times New Roman" w:cs="Times New Roman" w:eastAsia="Times New Roman" w:hAnsi="Times New Roman"/>
          <w:sz w:val="10"/>
          <w:szCs w:val="10"/>
          <w:color w:val="auto"/>
        </w:rPr>
        <w: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8" w:right="7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READING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for the Three Years Ended December 31, 2017</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(U.S. dollars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2017</w:t>
            </w: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2016</w:t>
            </w:r>
            <w:r>
              <w:rPr>
                <w:rFonts w:ascii="Times New Roman" w:cs="Times New Roman" w:eastAsia="Times New Roman" w:hAnsi="Times New Roman"/>
                <w:sz w:val="14"/>
                <w:szCs w:val="14"/>
                <w:b w:val="1"/>
                <w:bCs w:val="1"/>
                <w:color w:val="auto"/>
                <w:vertAlign w:val="superscript"/>
              </w:rPr>
              <w:t>(1)</w:t>
            </w: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2015</w:t>
            </w:r>
            <w:r>
              <w:rPr>
                <w:rFonts w:ascii="Times New Roman" w:cs="Times New Roman" w:eastAsia="Times New Roman" w:hAnsi="Times New Roman"/>
                <w:sz w:val="14"/>
                <w:szCs w:val="14"/>
                <w:b w:val="1"/>
                <w:bCs w:val="1"/>
                <w:color w:val="auto"/>
                <w:vertAlign w:val="superscript"/>
              </w:rPr>
              <w:t>(1)</w:t>
            </w: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02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31,010</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9,417</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23,031</w:t>
            </w:r>
          </w:p>
        </w:tc>
      </w:tr>
      <w:tr>
        <w:trPr>
          <w:trHeight w:val="163"/>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gain (loss)</w:t>
            </w:r>
          </w:p>
        </w:tc>
        <w:tc>
          <w:tcPr>
            <w:tcW w:w="2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8,810</w:t>
            </w:r>
          </w:p>
        </w:tc>
        <w:tc>
          <w:tcPr>
            <w:tcW w:w="104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142</w:t>
            </w: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(16,488)</w:t>
            </w:r>
          </w:p>
        </w:tc>
      </w:tr>
      <w:tr>
        <w:trPr>
          <w:trHeight w:val="163"/>
        </w:trPr>
        <w:tc>
          <w:tcPr>
            <w:tcW w:w="4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20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127</w:t>
            </w: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54"/>
        </w:trPr>
        <w:tc>
          <w:tcPr>
            <w:tcW w:w="4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Comprehensive Income</w:t>
            </w:r>
          </w:p>
        </w:tc>
        <w:tc>
          <w:tcPr>
            <w:tcW w:w="2020" w:type="dxa"/>
            <w:vAlign w:val="bottom"/>
          </w:tcPr>
          <w:p>
            <w:pPr>
              <w:jc w:val="right"/>
              <w:ind w:right="795"/>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39,945</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9,686</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6,752</w:t>
            </w: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w:t>
            </w:r>
          </w:p>
        </w:tc>
        <w:tc>
          <w:tcPr>
            <w:tcW w:w="20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14</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Less: Comprehensive income (loss) attributable to noncontrolling interests</w:t>
            </w:r>
          </w:p>
        </w:tc>
        <w:tc>
          <w:tcPr>
            <w:tcW w:w="2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209"/>
        </w:trPr>
        <w:tc>
          <w:tcPr>
            <w:tcW w:w="4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Comprehensive income attributable to Reading International, Inc.</w:t>
            </w:r>
          </w:p>
        </w:tc>
        <w:tc>
          <w:tcPr>
            <w:tcW w:w="202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39,915</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9,673</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6,877</w:t>
            </w: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integral part of the Consolidated Financial Statements</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ind w:left="100" w:hanging="93"/>
        <w:spacing w:after="0"/>
        <w:tabs>
          <w:tab w:leader="none" w:pos="100" w:val="left"/>
        </w:tabs>
        <w:numPr>
          <w:ilvl w:val="0"/>
          <w:numId w:val="5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10"/>
          <w:szCs w:val="10"/>
          <w:color w:val="auto"/>
        </w:rPr>
        <w:t xml:space="preserve">Certain prior year balances have been reclassified to conform to the 2017 presentation (see Note 2 – </w:t>
      </w:r>
      <w:r>
        <w:rPr>
          <w:rFonts w:ascii="Times New Roman" w:cs="Times New Roman" w:eastAsia="Times New Roman" w:hAnsi="Times New Roman"/>
          <w:sz w:val="10"/>
          <w:szCs w:val="10"/>
          <w:i w:val="1"/>
          <w:iCs w:val="1"/>
          <w:color w:val="auto"/>
        </w:rPr>
        <w:t>Summary of Significant Accounting Policies – Reclassifications</w:t>
      </w:r>
      <w:r>
        <w:rPr>
          <w:rFonts w:ascii="Times New Roman" w:cs="Times New Roman" w:eastAsia="Times New Roman" w:hAnsi="Times New Roman"/>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128" w:right="7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READING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for the Three Years Ended December 31, 2017</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4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right"/>
              <w:ind w:right="269"/>
              <w:spacing w:after="0"/>
              <w:rPr>
                <w:sz w:val="20"/>
                <w:szCs w:val="20"/>
                <w:color w:val="auto"/>
              </w:rPr>
            </w:pPr>
            <w:r>
              <w:rPr>
                <w:rFonts w:ascii="Times New Roman" w:cs="Times New Roman" w:eastAsia="Times New Roman" w:hAnsi="Times New Roman"/>
                <w:sz w:val="10"/>
                <w:szCs w:val="10"/>
                <w:b w:val="1"/>
                <w:bCs w:val="1"/>
                <w:color w:val="auto"/>
              </w:rPr>
              <w:t>Common Shares</w:t>
            </w: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w w:val="99"/>
              </w:rPr>
              <w:t>Retained</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80" w:type="dxa"/>
            <w:vAlign w:val="bottom"/>
          </w:tcPr>
          <w:p>
            <w:pPr>
              <w:spacing w:after="0"/>
              <w:rPr>
                <w:sz w:val="10"/>
                <w:szCs w:val="10"/>
                <w:color w:val="auto"/>
              </w:rPr>
            </w:pPr>
          </w:p>
        </w:tc>
        <w:tc>
          <w:tcPr>
            <w:tcW w:w="700" w:type="dxa"/>
            <w:vAlign w:val="bottom"/>
          </w:tcPr>
          <w:p>
            <w:pPr>
              <w:jc w:val="center"/>
              <w:ind w:right="209"/>
              <w:spacing w:after="0"/>
              <w:rPr>
                <w:sz w:val="20"/>
                <w:szCs w:val="20"/>
                <w:color w:val="auto"/>
              </w:rPr>
            </w:pPr>
            <w:r>
              <w:rPr>
                <w:rFonts w:ascii="Times New Roman" w:cs="Times New Roman" w:eastAsia="Times New Roman" w:hAnsi="Times New Roman"/>
                <w:sz w:val="10"/>
                <w:szCs w:val="10"/>
                <w:b w:val="1"/>
                <w:bCs w:val="1"/>
                <w:color w:val="auto"/>
              </w:rPr>
              <w:t>Reading</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9"/>
        </w:trPr>
        <w:tc>
          <w:tcPr>
            <w:tcW w:w="24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Class A</w:t>
            </w:r>
          </w:p>
        </w:tc>
        <w:tc>
          <w:tcPr>
            <w:tcW w:w="70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0"/>
                <w:szCs w:val="10"/>
                <w:b w:val="1"/>
                <w:bCs w:val="1"/>
                <w:color w:val="auto"/>
                <w:w w:val="99"/>
              </w:rPr>
              <w:t>Class B</w:t>
            </w:r>
          </w:p>
        </w:tc>
        <w:tc>
          <w:tcPr>
            <w:tcW w:w="480" w:type="dxa"/>
            <w:vAlign w:val="bottom"/>
          </w:tcPr>
          <w:p>
            <w:pPr>
              <w:jc w:val="center"/>
              <w:ind w:left="69"/>
              <w:spacing w:after="0"/>
              <w:rPr>
                <w:sz w:val="20"/>
                <w:szCs w:val="20"/>
                <w:color w:val="auto"/>
              </w:rPr>
            </w:pPr>
            <w:r>
              <w:rPr>
                <w:rFonts w:ascii="Times New Roman" w:cs="Times New Roman" w:eastAsia="Times New Roman" w:hAnsi="Times New Roman"/>
                <w:sz w:val="10"/>
                <w:szCs w:val="10"/>
                <w:b w:val="1"/>
                <w:bCs w:val="1"/>
                <w:color w:val="auto"/>
                <w:w w:val="99"/>
              </w:rPr>
              <w:t>Class B</w:t>
            </w:r>
          </w:p>
        </w:tc>
        <w:tc>
          <w:tcPr>
            <w:tcW w:w="160" w:type="dxa"/>
            <w:vAlign w:val="bottom"/>
            <w:tcBorders>
              <w:right w:val="single" w:sz="8" w:color="auto"/>
            </w:tcBorders>
          </w:tcPr>
          <w:p>
            <w:pPr>
              <w:spacing w:after="0"/>
              <w:rPr>
                <w:sz w:val="11"/>
                <w:szCs w:val="11"/>
                <w:color w:val="auto"/>
              </w:rPr>
            </w:pPr>
          </w:p>
        </w:tc>
        <w:tc>
          <w:tcPr>
            <w:tcW w:w="740" w:type="dxa"/>
            <w:vAlign w:val="bottom"/>
            <w:gridSpan w:val="2"/>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1"/>
                <w:szCs w:val="11"/>
                <w:color w:val="auto"/>
              </w:rPr>
            </w:pPr>
          </w:p>
        </w:tc>
        <w:tc>
          <w:tcPr>
            <w:tcW w:w="640" w:type="dxa"/>
            <w:vAlign w:val="bottom"/>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80" w:type="dxa"/>
            <w:vAlign w:val="bottom"/>
            <w:gridSpan w:val="2"/>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International Inc.</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229"/>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1"/>
        </w:trPr>
        <w:tc>
          <w:tcPr>
            <w:tcW w:w="24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Voting</w:t>
            </w:r>
          </w:p>
        </w:tc>
        <w:tc>
          <w:tcPr>
            <w:tcW w:w="180" w:type="dxa"/>
            <w:vAlign w:val="bottom"/>
          </w:tcPr>
          <w:p>
            <w:pPr>
              <w:spacing w:after="0"/>
              <w:rPr>
                <w:sz w:val="12"/>
                <w:szCs w:val="12"/>
                <w:color w:val="auto"/>
              </w:rPr>
            </w:pPr>
          </w:p>
        </w:tc>
        <w:tc>
          <w:tcPr>
            <w:tcW w:w="500" w:type="dxa"/>
            <w:vAlign w:val="bottom"/>
            <w:tcBorders>
              <w:right w:val="single" w:sz="8" w:color="auto"/>
            </w:tcBorders>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rPr>
              <w:t>Par</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Non-Voting</w:t>
            </w:r>
          </w:p>
        </w:tc>
        <w:tc>
          <w:tcPr>
            <w:tcW w:w="480" w:type="dxa"/>
            <w:vAlign w:val="bottom"/>
          </w:tcPr>
          <w:p>
            <w:pPr>
              <w:jc w:val="center"/>
              <w:ind w:left="69"/>
              <w:spacing w:after="0"/>
              <w:rPr>
                <w:sz w:val="20"/>
                <w:szCs w:val="20"/>
                <w:color w:val="auto"/>
              </w:rPr>
            </w:pPr>
            <w:r>
              <w:rPr>
                <w:rFonts w:ascii="Times New Roman" w:cs="Times New Roman" w:eastAsia="Times New Roman" w:hAnsi="Times New Roman"/>
                <w:sz w:val="10"/>
                <w:szCs w:val="10"/>
                <w:b w:val="1"/>
                <w:bCs w:val="1"/>
                <w:color w:val="auto"/>
              </w:rPr>
              <w:t>Par</w:t>
            </w: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12"/>
                <w:szCs w:val="12"/>
                <w:color w:val="auto"/>
              </w:rPr>
            </w:pPr>
          </w:p>
        </w:tc>
        <w:tc>
          <w:tcPr>
            <w:tcW w:w="580" w:type="dxa"/>
            <w:vAlign w:val="bottom"/>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80" w:type="dxa"/>
            <w:vAlign w:val="bottom"/>
            <w:gridSpan w:val="2"/>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780" w:type="dxa"/>
            <w:vAlign w:val="bottom"/>
            <w:gridSpan w:val="2"/>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Stockholders’</w:t>
            </w:r>
          </w:p>
        </w:tc>
      </w:tr>
      <w:tr>
        <w:trPr>
          <w:trHeight w:val="133"/>
        </w:trPr>
        <w:tc>
          <w:tcPr>
            <w:tcW w:w="248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88"/>
        </w:trPr>
        <w:tc>
          <w:tcPr>
            <w:tcW w:w="24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At January 1, 2015</w:t>
            </w:r>
          </w:p>
        </w:tc>
        <w:tc>
          <w:tcPr>
            <w:tcW w:w="5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21,741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228</w:t>
            </w:r>
          </w:p>
        </w:tc>
        <w:tc>
          <w:tcPr>
            <w:tcW w:w="700" w:type="dxa"/>
            <w:vAlign w:val="bottom"/>
            <w:tcBorders>
              <w:bottom w:val="single" w:sz="8" w:color="auto"/>
              <w:right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1,495</w:t>
            </w:r>
          </w:p>
        </w:tc>
        <w:tc>
          <w:tcPr>
            <w:tcW w:w="4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140,237</w:t>
            </w:r>
          </w:p>
        </w:tc>
        <w:tc>
          <w:tcPr>
            <w:tcW w:w="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(30,833)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(8,582)</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28,039</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129,104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4,612</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133,716</w:t>
            </w:r>
          </w:p>
        </w:tc>
      </w:tr>
      <w:tr>
        <w:trPr>
          <w:trHeight w:val="152"/>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5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3"/>
                <w:szCs w:val="13"/>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23,110</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23,110</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23,031</w:t>
            </w:r>
          </w:p>
        </w:tc>
      </w:tr>
      <w:tr>
        <w:trPr>
          <w:trHeight w:val="163"/>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 net</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(16,233)</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(16,233)</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(16,279)</w:t>
            </w:r>
          </w:p>
        </w:tc>
      </w:tr>
      <w:tr>
        <w:trPr>
          <w:trHeight w:val="163"/>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56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color w:val="auto"/>
              </w:rPr>
              <w:t>7</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4"/>
                <w:szCs w:val="14"/>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4"/>
                <w:szCs w:val="1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1,458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1,458</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1,458</w:t>
            </w:r>
          </w:p>
        </w:tc>
      </w:tr>
      <w:tr>
        <w:trPr>
          <w:trHeight w:val="163"/>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 repurchase plan</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(240)</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(3,110)</w:t>
            </w:r>
          </w:p>
        </w:tc>
      </w:tr>
      <w:tr>
        <w:trPr>
          <w:trHeight w:val="95"/>
        </w:trPr>
        <w:tc>
          <w:tcPr>
            <w:tcW w:w="2480" w:type="dxa"/>
            <w:vAlign w:val="bottom"/>
            <w:tcBorders>
              <w:right w:val="single" w:sz="8" w:color="auto"/>
            </w:tcBorders>
          </w:tcPr>
          <w:p>
            <w:pPr>
              <w:spacing w:after="0" w:line="95" w:lineRule="exact"/>
              <w:rPr>
                <w:sz w:val="20"/>
                <w:szCs w:val="20"/>
                <w:color w:val="auto"/>
              </w:rPr>
            </w:pPr>
            <w:r>
              <w:rPr>
                <w:rFonts w:ascii="Times New Roman" w:cs="Times New Roman" w:eastAsia="Times New Roman" w:hAnsi="Times New Roman"/>
                <w:sz w:val="10"/>
                <w:szCs w:val="10"/>
                <w:color w:val="auto"/>
              </w:rPr>
              <w:t>Class A common stock issued for share-based bonuses and</w:t>
            </w:r>
          </w:p>
        </w:tc>
        <w:tc>
          <w:tcPr>
            <w:tcW w:w="5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33"/>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options exercised</w:t>
            </w:r>
          </w:p>
        </w:tc>
        <w:tc>
          <w:tcPr>
            <w:tcW w:w="56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color w:val="auto"/>
              </w:rPr>
              <w:t>235</w:t>
            </w:r>
          </w:p>
        </w:tc>
        <w:tc>
          <w:tcPr>
            <w:tcW w:w="180" w:type="dxa"/>
            <w:vAlign w:val="bottom"/>
          </w:tcPr>
          <w:p>
            <w:pPr>
              <w:spacing w:after="0"/>
              <w:rPr>
                <w:sz w:val="11"/>
                <w:szCs w:val="11"/>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490</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492</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w:t>
            </w:r>
          </w:p>
        </w:tc>
      </w:tr>
      <w:tr>
        <w:trPr>
          <w:trHeight w:val="95"/>
        </w:trPr>
        <w:tc>
          <w:tcPr>
            <w:tcW w:w="2480" w:type="dxa"/>
            <w:vAlign w:val="bottom"/>
            <w:tcBorders>
              <w:right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In-kind exchange of shares for the exercise of options, net</w:t>
            </w:r>
          </w:p>
        </w:tc>
        <w:tc>
          <w:tcPr>
            <w:tcW w:w="560" w:type="dxa"/>
            <w:vAlign w:val="bottom"/>
            <w:tcBorders>
              <w:right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tcBorders>
              <w:right w:val="single" w:sz="8" w:color="auto"/>
            </w:tcBorders>
            <w:shd w:val="clear" w:color="auto" w:fill="CCEEFF"/>
          </w:tcPr>
          <w:p>
            <w:pPr>
              <w:spacing w:after="0"/>
              <w:rPr>
                <w:sz w:val="8"/>
                <w:szCs w:val="8"/>
                <w:color w:val="auto"/>
              </w:rPr>
            </w:pPr>
          </w:p>
        </w:tc>
        <w:tc>
          <w:tcPr>
            <w:tcW w:w="700" w:type="dxa"/>
            <w:vAlign w:val="bottom"/>
            <w:tcBorders>
              <w:right w:val="single" w:sz="8" w:color="auto"/>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tcBorders>
              <w:right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2"/>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issued</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(89)</w:t>
            </w:r>
          </w:p>
        </w:tc>
        <w:tc>
          <w:tcPr>
            <w:tcW w:w="1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1,630</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(1,832)</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w:t>
            </w:r>
          </w:p>
        </w:tc>
      </w:tr>
      <w:tr>
        <w:trPr>
          <w:trHeight w:val="163"/>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Contributions from noncontrolling shareholders</w:t>
            </w:r>
          </w:p>
        </w:tc>
        <w:tc>
          <w:tcPr>
            <w:tcW w:w="5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0"/>
                <w:szCs w:val="10"/>
                <w:color w:val="auto"/>
              </w:rPr>
              <w:t>185</w:t>
            </w:r>
          </w:p>
        </w:tc>
        <w:tc>
          <w:tcPr>
            <w:tcW w:w="480" w:type="dxa"/>
            <w:vAlign w:val="bottom"/>
          </w:tcPr>
          <w:p>
            <w:pPr>
              <w:spacing w:after="0"/>
              <w:rPr>
                <w:sz w:val="14"/>
                <w:szCs w:val="14"/>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17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r>
      <w:tr>
        <w:trPr>
          <w:trHeight w:val="163"/>
        </w:trPr>
        <w:tc>
          <w:tcPr>
            <w:tcW w:w="24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Distributions to noncontrolling shareholders</w:t>
            </w:r>
          </w:p>
        </w:tc>
        <w:tc>
          <w:tcPr>
            <w:tcW w:w="56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r>
      <w:tr>
        <w:trPr>
          <w:trHeight w:val="188"/>
        </w:trPr>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At December 31, 2015</w:t>
            </w:r>
          </w:p>
        </w:tc>
        <w:tc>
          <w:tcPr>
            <w:tcW w:w="56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21,654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229</w:t>
            </w:r>
          </w:p>
        </w:tc>
        <w:tc>
          <w:tcPr>
            <w:tcW w:w="700" w:type="dxa"/>
            <w:vAlign w:val="bottom"/>
            <w:tcBorders>
              <w:bottom w:val="single" w:sz="8" w:color="auto"/>
              <w:right w:val="single" w:sz="8" w:color="auto"/>
            </w:tcBorders>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1,680</w:t>
            </w:r>
          </w:p>
        </w:tc>
        <w:tc>
          <w:tcPr>
            <w:tcW w:w="4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143,815</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(7,723)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(13,524)</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11,806</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134,620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4,331</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138,951</w:t>
            </w:r>
          </w:p>
        </w:tc>
      </w:tr>
      <w:tr>
        <w:trPr>
          <w:trHeight w:val="152"/>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9,403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9,403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14</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9,417</w:t>
            </w:r>
          </w:p>
        </w:tc>
      </w:tr>
      <w:tr>
        <w:trPr>
          <w:trHeight w:val="163"/>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Other comprehensive income (loss), net</w:t>
            </w:r>
          </w:p>
        </w:tc>
        <w:tc>
          <w:tcPr>
            <w:tcW w:w="5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4"/>
                <w:szCs w:val="14"/>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269</w:t>
            </w:r>
          </w:p>
        </w:tc>
        <w:tc>
          <w:tcPr>
            <w:tcW w:w="18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269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w:t>
            </w:r>
          </w:p>
        </w:tc>
      </w:tr>
      <w:tr>
        <w:trPr>
          <w:trHeight w:val="163"/>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609</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609</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609</w:t>
            </w:r>
          </w:p>
        </w:tc>
      </w:tr>
      <w:tr>
        <w:trPr>
          <w:trHeight w:val="163"/>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Share repurchase plan</w:t>
            </w:r>
          </w:p>
        </w:tc>
        <w:tc>
          <w:tcPr>
            <w:tcW w:w="5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(181)</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4"/>
                <w:szCs w:val="14"/>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(2,850)</w:t>
            </w:r>
          </w:p>
        </w:tc>
      </w:tr>
      <w:tr>
        <w:trPr>
          <w:trHeight w:val="95"/>
        </w:trPr>
        <w:tc>
          <w:tcPr>
            <w:tcW w:w="2480" w:type="dxa"/>
            <w:vAlign w:val="bottom"/>
            <w:tcBorders>
              <w:right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Class A common stock issued for share-based bonuses and</w:t>
            </w:r>
          </w:p>
        </w:tc>
        <w:tc>
          <w:tcPr>
            <w:tcW w:w="560" w:type="dxa"/>
            <w:vAlign w:val="bottom"/>
            <w:tcBorders>
              <w:right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tcBorders>
              <w:right w:val="single" w:sz="8" w:color="auto"/>
            </w:tcBorders>
            <w:shd w:val="clear" w:color="auto" w:fill="CCEEFF"/>
          </w:tcPr>
          <w:p>
            <w:pPr>
              <w:spacing w:after="0"/>
              <w:rPr>
                <w:sz w:val="8"/>
                <w:szCs w:val="8"/>
                <w:color w:val="auto"/>
              </w:rPr>
            </w:pPr>
          </w:p>
        </w:tc>
        <w:tc>
          <w:tcPr>
            <w:tcW w:w="700" w:type="dxa"/>
            <w:vAlign w:val="bottom"/>
            <w:tcBorders>
              <w:right w:val="single" w:sz="8" w:color="auto"/>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tcBorders>
              <w:right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2"/>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options exercised</w:t>
            </w:r>
          </w:p>
        </w:tc>
        <w:tc>
          <w:tcPr>
            <w:tcW w:w="56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13</w:t>
            </w:r>
          </w:p>
        </w:tc>
        <w:tc>
          <w:tcPr>
            <w:tcW w:w="1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145</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147</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w:t>
            </w:r>
          </w:p>
        </w:tc>
      </w:tr>
      <w:tr>
        <w:trPr>
          <w:trHeight w:val="95"/>
        </w:trPr>
        <w:tc>
          <w:tcPr>
            <w:tcW w:w="2480" w:type="dxa"/>
            <w:vAlign w:val="bottom"/>
            <w:tcBorders>
              <w:right w:val="single" w:sz="8" w:color="auto"/>
            </w:tcBorders>
          </w:tcPr>
          <w:p>
            <w:pPr>
              <w:spacing w:after="0" w:line="95" w:lineRule="exact"/>
              <w:rPr>
                <w:sz w:val="20"/>
                <w:szCs w:val="20"/>
                <w:color w:val="auto"/>
              </w:rPr>
            </w:pPr>
            <w:r>
              <w:rPr>
                <w:rFonts w:ascii="Times New Roman" w:cs="Times New Roman" w:eastAsia="Times New Roman" w:hAnsi="Times New Roman"/>
                <w:sz w:val="10"/>
                <w:szCs w:val="10"/>
                <w:color w:val="auto"/>
              </w:rPr>
              <w:t>In-kind exchange of shares for the exercise of options, net</w:t>
            </w:r>
          </w:p>
        </w:tc>
        <w:tc>
          <w:tcPr>
            <w:tcW w:w="5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2"/>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issued</w:t>
            </w:r>
          </w:p>
        </w:tc>
        <w:tc>
          <w:tcPr>
            <w:tcW w:w="56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tcPr>
          <w:p>
            <w:pPr>
              <w:spacing w:after="0"/>
              <w:rPr>
                <w:sz w:val="10"/>
                <w:szCs w:val="10"/>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0"/>
                <w:szCs w:val="1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63"/>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Contributions from noncontrolling shareholders</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268</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w:t>
            </w:r>
          </w:p>
        </w:tc>
      </w:tr>
      <w:tr>
        <w:trPr>
          <w:trHeight w:val="163"/>
        </w:trPr>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Distributions to noncontrolling shareholders</w:t>
            </w:r>
          </w:p>
        </w:tc>
        <w:tc>
          <w:tcPr>
            <w:tcW w:w="56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w:t>
            </w:r>
          </w:p>
        </w:tc>
      </w:tr>
      <w:tr>
        <w:trPr>
          <w:trHeight w:val="188"/>
        </w:trPr>
        <w:tc>
          <w:tcPr>
            <w:tcW w:w="24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At December 31, 2016</w:t>
            </w:r>
          </w:p>
        </w:tc>
        <w:tc>
          <w:tcPr>
            <w:tcW w:w="5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21,498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230</w:t>
            </w:r>
          </w:p>
        </w:tc>
        <w:tc>
          <w:tcPr>
            <w:tcW w:w="700" w:type="dxa"/>
            <w:vAlign w:val="bottom"/>
            <w:tcBorders>
              <w:bottom w:val="single" w:sz="8" w:color="auto"/>
              <w:right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1,680</w:t>
            </w:r>
          </w:p>
        </w:tc>
        <w:tc>
          <w:tcPr>
            <w:tcW w:w="4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144,569</w:t>
            </w:r>
          </w:p>
        </w:tc>
        <w:tc>
          <w:tcPr>
            <w:tcW w:w="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1,680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(16,374)</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12,075</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142,197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4,418</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146,615</w:t>
            </w:r>
          </w:p>
        </w:tc>
      </w:tr>
      <w:tr>
        <w:trPr>
          <w:trHeight w:val="152"/>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Net income</w:t>
            </w:r>
          </w:p>
        </w:tc>
        <w:tc>
          <w:tcPr>
            <w:tcW w:w="5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3"/>
                <w:szCs w:val="13"/>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30,999</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30,999</w:t>
            </w:r>
          </w:p>
        </w:tc>
        <w:tc>
          <w:tcPr>
            <w:tcW w:w="120" w:type="dxa"/>
            <w:vAlign w:val="bottom"/>
          </w:tcPr>
          <w:p>
            <w:pPr>
              <w:spacing w:after="0"/>
              <w:rPr>
                <w:sz w:val="13"/>
                <w:szCs w:val="13"/>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11</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31,010</w:t>
            </w:r>
          </w:p>
        </w:tc>
      </w:tr>
      <w:tr>
        <w:trPr>
          <w:trHeight w:val="163"/>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 net</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8,916</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8,916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19</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8,935</w:t>
            </w:r>
          </w:p>
        </w:tc>
      </w:tr>
      <w:tr>
        <w:trPr>
          <w:trHeight w:val="163"/>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5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4"/>
                <w:szCs w:val="14"/>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4"/>
                <w:szCs w:val="1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1,000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1,000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r>
      <w:tr>
        <w:trPr>
          <w:trHeight w:val="163"/>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 repurchase plan</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(410)</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(6,532)</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(6,532)</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(6,532)</w:t>
            </w:r>
          </w:p>
        </w:tc>
      </w:tr>
      <w:tr>
        <w:trPr>
          <w:trHeight w:val="95"/>
        </w:trPr>
        <w:tc>
          <w:tcPr>
            <w:tcW w:w="2480" w:type="dxa"/>
            <w:vAlign w:val="bottom"/>
            <w:tcBorders>
              <w:right w:val="single" w:sz="8" w:color="auto"/>
            </w:tcBorders>
          </w:tcPr>
          <w:p>
            <w:pPr>
              <w:spacing w:after="0" w:line="95" w:lineRule="exact"/>
              <w:rPr>
                <w:sz w:val="20"/>
                <w:szCs w:val="20"/>
                <w:color w:val="auto"/>
              </w:rPr>
            </w:pPr>
            <w:r>
              <w:rPr>
                <w:rFonts w:ascii="Times New Roman" w:cs="Times New Roman" w:eastAsia="Times New Roman" w:hAnsi="Times New Roman"/>
                <w:sz w:val="10"/>
                <w:szCs w:val="10"/>
                <w:color w:val="auto"/>
              </w:rPr>
              <w:t>Class A common stock issued for share-based bonuses and</w:t>
            </w:r>
          </w:p>
        </w:tc>
        <w:tc>
          <w:tcPr>
            <w:tcW w:w="5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2"/>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options exercised</w:t>
            </w:r>
          </w:p>
        </w:tc>
        <w:tc>
          <w:tcPr>
            <w:tcW w:w="56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color w:val="auto"/>
              </w:rPr>
              <w:t>90</w:t>
            </w:r>
          </w:p>
        </w:tc>
        <w:tc>
          <w:tcPr>
            <w:tcW w:w="180" w:type="dxa"/>
            <w:vAlign w:val="bottom"/>
          </w:tcPr>
          <w:p>
            <w:pPr>
              <w:spacing w:after="0"/>
              <w:rPr>
                <w:sz w:val="10"/>
                <w:szCs w:val="10"/>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0"/>
                <w:szCs w:val="1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329</w:t>
            </w:r>
          </w:p>
        </w:tc>
        <w:tc>
          <w:tcPr>
            <w:tcW w:w="1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330</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330</w:t>
            </w:r>
          </w:p>
        </w:tc>
      </w:tr>
      <w:tr>
        <w:trPr>
          <w:trHeight w:val="95"/>
        </w:trPr>
        <w:tc>
          <w:tcPr>
            <w:tcW w:w="2480" w:type="dxa"/>
            <w:vAlign w:val="bottom"/>
            <w:tcBorders>
              <w:right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In-kind exchange of share for the exercise of options, net</w:t>
            </w:r>
          </w:p>
        </w:tc>
        <w:tc>
          <w:tcPr>
            <w:tcW w:w="560" w:type="dxa"/>
            <w:vAlign w:val="bottom"/>
            <w:tcBorders>
              <w:right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tcBorders>
              <w:right w:val="single" w:sz="8" w:color="auto"/>
            </w:tcBorders>
            <w:shd w:val="clear" w:color="auto" w:fill="CCEEFF"/>
          </w:tcPr>
          <w:p>
            <w:pPr>
              <w:spacing w:after="0"/>
              <w:rPr>
                <w:sz w:val="8"/>
                <w:szCs w:val="8"/>
                <w:color w:val="auto"/>
              </w:rPr>
            </w:pPr>
          </w:p>
        </w:tc>
        <w:tc>
          <w:tcPr>
            <w:tcW w:w="700" w:type="dxa"/>
            <w:vAlign w:val="bottom"/>
            <w:tcBorders>
              <w:right w:val="single" w:sz="8" w:color="auto"/>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tcBorders>
              <w:right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2"/>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issued</w:t>
            </w:r>
          </w:p>
        </w:tc>
        <w:tc>
          <w:tcPr>
            <w:tcW w:w="56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23</w:t>
            </w:r>
          </w:p>
        </w:tc>
        <w:tc>
          <w:tcPr>
            <w:tcW w:w="1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217"/>
        </w:trPr>
        <w:tc>
          <w:tcPr>
            <w:tcW w:w="2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Restricted Stock Units</w:t>
            </w:r>
          </w:p>
        </w:tc>
        <w:tc>
          <w:tcPr>
            <w:tcW w:w="56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color w:val="auto"/>
              </w:rPr>
              <w:t>50</w:t>
            </w:r>
          </w:p>
        </w:tc>
        <w:tc>
          <w:tcPr>
            <w:tcW w:w="18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8"/>
                <w:szCs w:val="18"/>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63"/>
        </w:trPr>
        <w:tc>
          <w:tcPr>
            <w:tcW w:w="2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Contributions from noncontrolling shareholders</w:t>
            </w:r>
          </w:p>
        </w:tc>
        <w:tc>
          <w:tcPr>
            <w:tcW w:w="56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193</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w:t>
            </w:r>
          </w:p>
        </w:tc>
      </w:tr>
      <w:tr>
        <w:trPr>
          <w:trHeight w:val="163"/>
        </w:trPr>
        <w:tc>
          <w:tcPr>
            <w:tcW w:w="2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Distributions to noncontrolling shareholders</w:t>
            </w:r>
          </w:p>
        </w:tc>
        <w:tc>
          <w:tcPr>
            <w:tcW w:w="56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(310)</w:t>
            </w:r>
          </w:p>
        </w:tc>
      </w:tr>
      <w:tr>
        <w:trPr>
          <w:trHeight w:val="188"/>
        </w:trPr>
        <w:tc>
          <w:tcPr>
            <w:tcW w:w="24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At December 31, 2017</w:t>
            </w:r>
          </w:p>
        </w:tc>
        <w:tc>
          <w:tcPr>
            <w:tcW w:w="5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21,251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231</w:t>
            </w:r>
          </w:p>
        </w:tc>
        <w:tc>
          <w:tcPr>
            <w:tcW w:w="700" w:type="dxa"/>
            <w:vAlign w:val="bottom"/>
            <w:tcBorders>
              <w:bottom w:val="single" w:sz="8" w:color="auto"/>
              <w:right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1,680</w:t>
            </w:r>
          </w:p>
        </w:tc>
        <w:tc>
          <w:tcPr>
            <w:tcW w:w="4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145,898</w:t>
            </w:r>
          </w:p>
        </w:tc>
        <w:tc>
          <w:tcPr>
            <w:tcW w:w="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32,679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(22,906)</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20,991</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176,910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4,331</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181,241</w:t>
            </w: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integral part of the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651625" cy="46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51625" cy="46355"/>
                    </a:xfrm>
                    <a:prstGeom prst="rect">
                      <a:avLst/>
                    </a:prstGeom>
                    <a:noFill/>
                  </pic:spPr>
                </pic:pic>
              </a:graphicData>
            </a:graphic>
          </wp:anchor>
        </w:drawing>
      </w:r>
    </w:p>
    <w:p>
      <w:pPr>
        <w:sectPr>
          <w:pgSz w:w="11900" w:h="16838" w:orient="portrait"/>
          <w:cols w:equalWidth="0" w:num="1">
            <w:col w:w="10420"/>
          </w:cols>
          <w:pgMar w:left="740" w:top="280" w:right="7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READING INTERNATIONAL,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for the Three Years Ended December 31, 2017</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(U.S. 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2017</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2016</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20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63"/>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31,010</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9,417</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23,031</w:t>
            </w:r>
          </w:p>
        </w:tc>
      </w:tr>
      <w:tr>
        <w:trPr>
          <w:trHeight w:val="163"/>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Adjustments to reconcile net income to net cash flows from operating activities: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3"/>
        </w:trPr>
        <w:tc>
          <w:tcPr>
            <w:tcW w:w="5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earnings of unconsolidated joint ventures</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w:t>
            </w:r>
          </w:p>
        </w:tc>
      </w:tr>
      <w:tr>
        <w:trPr>
          <w:trHeight w:val="163"/>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Distributions of earnings from unconsolidated joint ventures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798</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1,004</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w:t>
            </w:r>
          </w:p>
        </w:tc>
      </w:tr>
      <w:tr>
        <w:trPr>
          <w:trHeight w:val="163"/>
        </w:trPr>
        <w:tc>
          <w:tcPr>
            <w:tcW w:w="5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Gain recognized on foreign currency transactions</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gain on sale of assets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(9,360)</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(11,023)</w:t>
            </w:r>
          </w:p>
        </w:tc>
      </w:tr>
      <w:tr>
        <w:trPr>
          <w:trHeight w:val="163"/>
        </w:trPr>
        <w:tc>
          <w:tcPr>
            <w:tcW w:w="5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net deferred tax assets</w:t>
            </w:r>
          </w:p>
        </w:tc>
        <w:tc>
          <w:tcPr>
            <w:tcW w:w="1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4,073</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(5,060)</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(4,067)</w:t>
            </w:r>
          </w:p>
        </w:tc>
      </w:tr>
      <w:tr>
        <w:trPr>
          <w:trHeight w:val="163"/>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16,942</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15,689</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14,562</w:t>
            </w:r>
          </w:p>
        </w:tc>
      </w:tr>
      <w:tr>
        <w:trPr>
          <w:trHeight w:val="163"/>
        </w:trPr>
        <w:tc>
          <w:tcPr>
            <w:tcW w:w="5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amortization</w:t>
            </w:r>
          </w:p>
        </w:tc>
        <w:tc>
          <w:tcPr>
            <w:tcW w:w="1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1,406</w:t>
            </w:r>
          </w:p>
        </w:tc>
        <w:tc>
          <w:tcPr>
            <w:tcW w:w="32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1,797</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r>
      <w:tr>
        <w:trPr>
          <w:trHeight w:val="163"/>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Casualty (gain) loss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(9,217)</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1,421</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1,000</w:t>
            </w:r>
          </w:p>
        </w:tc>
        <w:tc>
          <w:tcPr>
            <w:tcW w:w="32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609</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w:t>
            </w:r>
          </w:p>
        </w:tc>
      </w:tr>
      <w:tr>
        <w:trPr>
          <w:trHeight w:val="163"/>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Net changes in operating assets and liabilities: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3"/>
        </w:trPr>
        <w:tc>
          <w:tcPr>
            <w:tcW w:w="5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Receivables</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(3,093)</w:t>
            </w:r>
          </w:p>
        </w:tc>
        <w:tc>
          <w:tcPr>
            <w:tcW w:w="32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1,296</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r>
      <w:tr>
        <w:trPr>
          <w:trHeight w:val="163"/>
        </w:trPr>
        <w:tc>
          <w:tcPr>
            <w:tcW w:w="5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and other assets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496</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w:t>
            </w:r>
          </w:p>
        </w:tc>
      </w:tr>
      <w:tr>
        <w:trPr>
          <w:trHeight w:val="163"/>
        </w:trPr>
        <w:tc>
          <w:tcPr>
            <w:tcW w:w="5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w:t>
            </w:r>
          </w:p>
        </w:tc>
        <w:tc>
          <w:tcPr>
            <w:tcW w:w="32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2,843</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6,479</w:t>
            </w:r>
          </w:p>
        </w:tc>
      </w:tr>
      <w:tr>
        <w:trPr>
          <w:trHeight w:val="163"/>
        </w:trPr>
        <w:tc>
          <w:tcPr>
            <w:tcW w:w="5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Film rent payable</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2,764</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1,244</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r>
      <w:tr>
        <w:trPr>
          <w:trHeight w:val="163"/>
        </w:trPr>
        <w:tc>
          <w:tcPr>
            <w:tcW w:w="5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Taxes payable</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r>
      <w:tr>
        <w:trPr>
          <w:trHeight w:val="163"/>
        </w:trPr>
        <w:tc>
          <w:tcPr>
            <w:tcW w:w="52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 and other liabilities</w:t>
            </w:r>
          </w:p>
        </w:tc>
        <w:tc>
          <w:tcPr>
            <w:tcW w:w="1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(7,011)</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3,626</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w:t>
            </w:r>
          </w:p>
        </w:tc>
      </w:tr>
      <w:tr>
        <w:trPr>
          <w:trHeight w:val="194"/>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23,851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30,188</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28,574</w:t>
            </w:r>
          </w:p>
        </w:tc>
      </w:tr>
      <w:tr>
        <w:trPr>
          <w:trHeight w:val="20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63"/>
        </w:trPr>
        <w:tc>
          <w:tcPr>
            <w:tcW w:w="5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and additions to operating and investment properties</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(65,903)</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(49,166)</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(53,119)</w:t>
            </w:r>
          </w:p>
        </w:tc>
      </w:tr>
      <w:tr>
        <w:trPr>
          <w:trHeight w:val="1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 in restricted cash</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33</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178</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r>
      <w:tr>
        <w:trPr>
          <w:trHeight w:val="163"/>
        </w:trPr>
        <w:tc>
          <w:tcPr>
            <w:tcW w:w="5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Demolition costs of operating property</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(3,700)</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Disposal of investment in unconsolidated joint ventures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 from unconsolidated joint ventures</w:t>
            </w:r>
          </w:p>
        </w:tc>
        <w:tc>
          <w:tcPr>
            <w:tcW w:w="1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124</w:t>
            </w:r>
          </w:p>
        </w:tc>
        <w:tc>
          <w:tcPr>
            <w:tcW w:w="32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296</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settlement on insurance claim</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18,415</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5,000</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Proceeds from sale of properties</w:t>
            </w:r>
          </w:p>
        </w:tc>
        <w:tc>
          <w:tcPr>
            <w:tcW w:w="1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44,677</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831</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21,889</w:t>
            </w:r>
          </w:p>
        </w:tc>
      </w:tr>
      <w:tr>
        <w:trPr>
          <w:trHeight w:val="194"/>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(6,786)</w:t>
            </w: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(42,861)</w:t>
            </w: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(29,710)</w:t>
            </w:r>
          </w:p>
        </w:tc>
      </w:tr>
      <w:tr>
        <w:trPr>
          <w:trHeight w:val="194"/>
        </w:trPr>
        <w:tc>
          <w:tcPr>
            <w:tcW w:w="5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8"/>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Repayment of long-term borrowings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(106,449)</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(63,748)</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(35,239)</w:t>
            </w:r>
          </w:p>
        </w:tc>
      </w:tr>
      <w:tr>
        <w:trPr>
          <w:trHeight w:val="163"/>
        </w:trPr>
        <w:tc>
          <w:tcPr>
            <w:tcW w:w="5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borrowings</w:t>
            </w:r>
          </w:p>
        </w:tc>
        <w:tc>
          <w:tcPr>
            <w:tcW w:w="1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91,030</w:t>
            </w:r>
          </w:p>
        </w:tc>
        <w:tc>
          <w:tcPr>
            <w:tcW w:w="32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81,616</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10,500</w:t>
            </w:r>
          </w:p>
        </w:tc>
      </w:tr>
      <w:tr>
        <w:trPr>
          <w:trHeight w:val="1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Capitalized borrowing costs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r>
      <w:tr>
        <w:trPr>
          <w:trHeight w:val="163"/>
        </w:trPr>
        <w:tc>
          <w:tcPr>
            <w:tcW w:w="5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A nonvoting common stock</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(6,532)</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w:t>
            </w:r>
          </w:p>
        </w:tc>
      </w:tr>
      <w:tr>
        <w:trPr>
          <w:trHeight w:val="1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stock option exercises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52</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146</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r>
      <w:tr>
        <w:trPr>
          <w:trHeight w:val="163"/>
        </w:trPr>
        <w:tc>
          <w:tcPr>
            <w:tcW w:w="5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 contributions</w:t>
            </w:r>
          </w:p>
        </w:tc>
        <w:tc>
          <w:tcPr>
            <w:tcW w:w="1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193</w:t>
            </w:r>
          </w:p>
        </w:tc>
        <w:tc>
          <w:tcPr>
            <w:tcW w:w="32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268</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3"/>
        </w:trPr>
        <w:tc>
          <w:tcPr>
            <w:tcW w:w="5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1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94"/>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(22,055)</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11,246</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(27,961)</w:t>
            </w:r>
          </w:p>
        </w:tc>
      </w:tr>
      <w:tr>
        <w:trPr>
          <w:trHeight w:val="1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Effect of exchange rate on cash</w:t>
            </w:r>
          </w:p>
        </w:tc>
        <w:tc>
          <w:tcPr>
            <w:tcW w:w="1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742</w:t>
            </w: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w:t>
            </w:r>
          </w:p>
        </w:tc>
      </w:tr>
      <w:tr>
        <w:trPr>
          <w:trHeight w:val="163"/>
        </w:trPr>
        <w:tc>
          <w:tcPr>
            <w:tcW w:w="5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1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(30,546)</w:t>
            </w:r>
          </w:p>
        </w:tc>
      </w:tr>
      <w:tr>
        <w:trPr>
          <w:trHeight w:val="163"/>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the beginning of the year</w:t>
            </w:r>
          </w:p>
        </w:tc>
        <w:tc>
          <w:tcPr>
            <w:tcW w:w="1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19,017</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19,702</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50,248</w:t>
            </w:r>
          </w:p>
        </w:tc>
      </w:tr>
      <w:tr>
        <w:trPr>
          <w:trHeight w:val="188"/>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the end of the year</w:t>
            </w:r>
          </w:p>
        </w:tc>
        <w:tc>
          <w:tcPr>
            <w:tcW w:w="13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13,668</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19,017</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19,702</w:t>
            </w:r>
          </w:p>
        </w:tc>
      </w:tr>
      <w:tr>
        <w:trPr>
          <w:trHeight w:val="16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3"/>
        </w:trPr>
        <w:tc>
          <w:tcPr>
            <w:tcW w:w="5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paid</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4,880</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5,948</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9,023</w:t>
            </w:r>
          </w:p>
        </w:tc>
      </w:tr>
      <w:tr>
        <w:trPr>
          <w:trHeight w:val="1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paid, net</w:t>
            </w: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9,245</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6,607</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8,553</w:t>
            </w:r>
          </w:p>
        </w:tc>
      </w:tr>
      <w:tr>
        <w:trPr>
          <w:trHeight w:val="163"/>
        </w:trPr>
        <w:tc>
          <w:tcPr>
            <w:tcW w:w="5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Non-Cash Transactions</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Lease make-good accrual</w:t>
            </w: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35</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r>
      <w:tr>
        <w:trPr>
          <w:trHeight w:val="163"/>
        </w:trPr>
        <w:tc>
          <w:tcPr>
            <w:tcW w:w="5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In-kind exchange of stock for the exercise of options, net</w:t>
            </w:r>
          </w:p>
        </w:tc>
        <w:tc>
          <w:tcPr>
            <w:tcW w:w="1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788</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w:t>
            </w:r>
          </w:p>
        </w:tc>
      </w:tr>
      <w:tr>
        <w:trPr>
          <w:trHeight w:val="18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Additions to operating and investing properties through accrued expenses</w:t>
            </w:r>
          </w:p>
        </w:tc>
        <w:tc>
          <w:tcPr>
            <w:tcW w:w="1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10,804</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The accompanying Notes are integral part of the Consolidated Financial Statements</w:t>
      </w:r>
      <w:r>
        <w:rPr>
          <w:rFonts w:ascii="Times New Roman" w:cs="Times New Roman" w:eastAsia="Times New Roman" w:hAnsi="Times New Roman"/>
          <w:sz w:val="12"/>
          <w:szCs w:val="12"/>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302" w:right="739" w:bottom="1440" w:gutter="0" w:footer="0" w:header="0"/>
        </w:sectPr>
      </w:pPr>
    </w:p>
    <w:bookmarkStart w:id="66" w:name="page67"/>
    <w:bookmarkEnd w:id="66"/>
    <w:p>
      <w:pPr>
        <w:jc w:val="center"/>
        <w:ind w:right="600"/>
        <w:spacing w:after="0"/>
        <w:rPr>
          <w:sz w:val="20"/>
          <w:szCs w:val="20"/>
          <w:color w:val="auto"/>
        </w:rPr>
      </w:pPr>
      <w:r>
        <w:rPr>
          <w:rFonts w:ascii="Times New Roman" w:cs="Times New Roman" w:eastAsia="Times New Roman" w:hAnsi="Times New Roman"/>
          <w:sz w:val="20"/>
          <w:szCs w:val="20"/>
          <w:b w:val="1"/>
          <w:bCs w:val="1"/>
          <w:u w:val="single" w:color="auto"/>
          <w:color w:val="auto"/>
        </w:rPr>
        <w:t>READING INTERNATIONAL, INC. and SUBSIDIARIES</w:t>
      </w:r>
    </w:p>
    <w:p>
      <w:pPr>
        <w:spacing w:after="0" w:line="3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 and for Three Years Ended December 31, 2017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_____________________________________________________________________________________________________________________________________________________</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DESCRIPTION OF BUSINESS AND SEGMENT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w:t>
      </w:r>
    </w:p>
    <w:p>
      <w:pPr>
        <w:spacing w:after="0" w:line="32" w:lineRule="exact"/>
        <w:rPr>
          <w:sz w:val="20"/>
          <w:szCs w:val="20"/>
          <w:color w:val="auto"/>
        </w:rPr>
      </w:pPr>
    </w:p>
    <w:p>
      <w:pPr>
        <w:ind w:right="960"/>
        <w:spacing w:after="0" w:line="277" w:lineRule="auto"/>
        <w:rPr>
          <w:sz w:val="20"/>
          <w:szCs w:val="20"/>
          <w:color w:val="auto"/>
        </w:rPr>
      </w:pPr>
      <w:r>
        <w:rPr>
          <w:rFonts w:ascii="Times New Roman" w:cs="Times New Roman" w:eastAsia="Times New Roman" w:hAnsi="Times New Roman"/>
          <w:sz w:val="14"/>
          <w:szCs w:val="14"/>
          <w:color w:val="auto"/>
        </w:rPr>
        <w:t>Reading International, Inc., a Nevada corporation (“RDI” and collectively with our consolidated subsidiaries and corporate predecessors, the “Company,” “Reading” and “we,” “us,” or “our”), was incorporated in 1999. Our businesses consist primarily of:</w:t>
      </w:r>
    </w:p>
    <w:p>
      <w:pPr>
        <w:spacing w:after="0" w:line="101"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ownership and operation of multiplex cinemas in the United States, Australia, and New Zealand; and,</w:t>
      </w:r>
    </w:p>
    <w:p>
      <w:pPr>
        <w:spacing w:after="0" w:line="27"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ownership, and operation of retail and commercial real estate in the United States, Australia, and New Zealand.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Segments</w:t>
      </w:r>
    </w:p>
    <w:p>
      <w:pPr>
        <w:spacing w:after="0" w:line="32" w:lineRule="exact"/>
        <w:rPr>
          <w:sz w:val="20"/>
          <w:szCs w:val="20"/>
          <w:color w:val="auto"/>
        </w:rPr>
      </w:pPr>
    </w:p>
    <w:p>
      <w:pPr>
        <w:ind w:right="840"/>
        <w:spacing w:after="0" w:line="268" w:lineRule="auto"/>
        <w:rPr>
          <w:sz w:val="20"/>
          <w:szCs w:val="20"/>
          <w:color w:val="auto"/>
        </w:rPr>
      </w:pPr>
      <w:r>
        <w:rPr>
          <w:rFonts w:ascii="Times New Roman" w:cs="Times New Roman" w:eastAsia="Times New Roman" w:hAnsi="Times New Roman"/>
          <w:sz w:val="14"/>
          <w:szCs w:val="14"/>
          <w:color w:val="auto"/>
        </w:rPr>
        <w:t>Our business is comprised of two operating segments, as follows: (i) cinema exhibition and (ii) real estate. Each of these segments has discrete and separate financial information and for which operating results are evaluated regularly by our Chief Executive Officer, the chief operating decision-maker of the Company. As part of our real estate segment, we have acquired, and continue to hold, raw land in urban and suburban centers in New Zealand and the United States.</w:t>
      </w:r>
    </w:p>
    <w:p>
      <w:pPr>
        <w:spacing w:after="0" w:line="107" w:lineRule="exact"/>
        <w:rPr>
          <w:sz w:val="20"/>
          <w:szCs w:val="20"/>
          <w:color w:val="auto"/>
        </w:rPr>
      </w:pPr>
    </w:p>
    <w:p>
      <w:pPr>
        <w:ind w:right="840"/>
        <w:spacing w:after="0" w:line="300" w:lineRule="auto"/>
        <w:rPr>
          <w:sz w:val="20"/>
          <w:szCs w:val="20"/>
          <w:color w:val="auto"/>
        </w:rPr>
      </w:pPr>
      <w:r>
        <w:rPr>
          <w:rFonts w:ascii="Times New Roman" w:cs="Times New Roman" w:eastAsia="Times New Roman" w:hAnsi="Times New Roman"/>
          <w:sz w:val="14"/>
          <w:szCs w:val="14"/>
          <w:color w:val="auto"/>
        </w:rPr>
        <w:t>The tables below summarize the results of operations for each of our business segments. Operating expense includes costs associated with the day-to-day operations of the cinemas and the management of rental properties, including our live theater assets.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2017</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2015</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64"/>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w w:val="99"/>
              </w:rPr>
              <w:t>Cinema</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2"/>
              </w:rPr>
              <w:t>Real Estate</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Cinema</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2"/>
              </w:rPr>
              <w:t>Real Estate</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Cinema</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92"/>
              </w:rPr>
              <w:t>Real Estate</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4"/>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 Third party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263,464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16,270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279,734</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256,922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13,551</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270,473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242,823</w:t>
            </w: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15,042</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257,865</w:t>
            </w:r>
          </w:p>
        </w:tc>
      </w:tr>
      <w:tr>
        <w:trPr>
          <w:trHeight w:val="206"/>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xml:space="preserve">Inter-segment Revenue </w:t>
            </w:r>
            <w:r>
              <w:rPr>
                <w:rFonts w:ascii="Times New Roman" w:cs="Times New Roman" w:eastAsia="Times New Roman" w:hAnsi="Times New Roman"/>
                <w:sz w:val="5"/>
                <w:szCs w:val="5"/>
                <w:color w:val="auto"/>
              </w:rPr>
              <w:t>(1)</w:t>
            </w:r>
          </w:p>
        </w:tc>
        <w:tc>
          <w:tcPr>
            <w:tcW w:w="1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7,573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7,573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6,537</w:t>
            </w:r>
          </w:p>
        </w:tc>
      </w:tr>
      <w:tr>
        <w:trPr>
          <w:trHeight w:val="164"/>
        </w:trPr>
        <w:tc>
          <w:tcPr>
            <w:tcW w:w="2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Segment Revenue</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263,464</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23,843</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287,307</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256,922</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20,917</w:t>
            </w: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277,839</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242,823</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21,579</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264,402</w:t>
            </w:r>
          </w:p>
        </w:tc>
      </w:tr>
      <w:tr>
        <w:trPr>
          <w:trHeight w:val="184"/>
        </w:trPr>
        <w:tc>
          <w:tcPr>
            <w:tcW w:w="2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expense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04"/>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 and products - Third party</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(207,447)</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(9,436)</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(216,883)</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(198,523)</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(9,044)</w:t>
            </w:r>
          </w:p>
        </w:tc>
        <w:tc>
          <w:tcPr>
            <w:tcW w:w="2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(207,567)</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(190,007)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(10,948)</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(200,955)</w:t>
            </w:r>
          </w:p>
        </w:tc>
      </w:tr>
      <w:tr>
        <w:trPr>
          <w:trHeight w:val="206"/>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xml:space="preserve">Inter-segment Cost of services </w:t>
            </w:r>
            <w:r>
              <w:rPr>
                <w:rFonts w:ascii="Times New Roman" w:cs="Times New Roman" w:eastAsia="Times New Roman" w:hAnsi="Times New Roman"/>
                <w:sz w:val="5"/>
                <w:szCs w:val="5"/>
                <w:color w:val="auto"/>
              </w:rPr>
              <w:t>(1)</w:t>
            </w:r>
          </w:p>
        </w:tc>
        <w:tc>
          <w:tcPr>
            <w:tcW w:w="1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(7,573)</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(7,573)</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(7,366)</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(7,366)</w:t>
            </w:r>
          </w:p>
        </w:tc>
        <w:tc>
          <w:tcPr>
            <w:tcW w:w="1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(6,537)</w:t>
            </w:r>
          </w:p>
        </w:tc>
      </w:tr>
      <w:tr>
        <w:trPr>
          <w:trHeight w:val="407"/>
        </w:trPr>
        <w:tc>
          <w:tcPr>
            <w:tcW w:w="25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of services and products (excluding</w:t>
            </w:r>
          </w:p>
        </w:tc>
        <w:tc>
          <w:tcPr>
            <w:tcW w:w="18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r>
      <w:tr>
        <w:trPr>
          <w:trHeight w:val="137"/>
        </w:trPr>
        <w:tc>
          <w:tcPr>
            <w:tcW w:w="2580" w:type="dxa"/>
            <w:vAlign w:val="bottom"/>
            <w:gridSpan w:val="2"/>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(215,020)</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(9,436)</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(224,456)</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(205,889)</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(9,044)</w:t>
            </w:r>
          </w:p>
        </w:tc>
        <w:tc>
          <w:tcPr>
            <w:tcW w:w="2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(214,933)</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(196,544)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(10,948)</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(207,492)</w:t>
            </w:r>
          </w:p>
        </w:tc>
      </w:tr>
      <w:tr>
        <w:trPr>
          <w:trHeight w:val="184"/>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(12,213)</w:t>
            </w:r>
          </w:p>
        </w:tc>
        <w:tc>
          <w:tcPr>
            <w:tcW w:w="1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(4,256)</w:t>
            </w:r>
          </w:p>
        </w:tc>
        <w:tc>
          <w:tcPr>
            <w:tcW w:w="18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(16,469)</w:t>
            </w:r>
          </w:p>
        </w:tc>
        <w:tc>
          <w:tcPr>
            <w:tcW w:w="16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(11,772)</w:t>
            </w:r>
          </w:p>
        </w:tc>
        <w:tc>
          <w:tcPr>
            <w:tcW w:w="1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(3,522)</w:t>
            </w:r>
          </w:p>
        </w:tc>
        <w:tc>
          <w:tcPr>
            <w:tcW w:w="2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(15,294)</w:t>
            </w:r>
          </w:p>
        </w:tc>
        <w:tc>
          <w:tcPr>
            <w:tcW w:w="1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(11,161)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(3,107)</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(14,268)</w:t>
            </w:r>
          </w:p>
        </w:tc>
      </w:tr>
      <w:tr>
        <w:trPr>
          <w:trHeight w:val="184"/>
        </w:trPr>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(3,261)</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(2,140)</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(5,401)</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(3,763)</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(1,422)</w:t>
            </w: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(5,185)</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(3,000)</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(3,728)</w:t>
            </w:r>
          </w:p>
        </w:tc>
      </w:tr>
      <w:tr>
        <w:trPr>
          <w:trHeight w:val="20"/>
        </w:trPr>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64"/>
        </w:trPr>
        <w:tc>
          <w:tcPr>
            <w:tcW w:w="2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operating expense</w:t>
            </w:r>
          </w:p>
        </w:tc>
        <w:tc>
          <w:tcPr>
            <w:tcW w:w="1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(230,494)</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(15,832)</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(246,326)</w:t>
            </w:r>
          </w:p>
        </w:tc>
        <w:tc>
          <w:tcPr>
            <w:tcW w:w="1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(221,424)</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(13,988)</w:t>
            </w:r>
          </w:p>
        </w:tc>
        <w:tc>
          <w:tcPr>
            <w:tcW w:w="2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(235,412)</w:t>
            </w:r>
          </w:p>
        </w:tc>
        <w:tc>
          <w:tcPr>
            <w:tcW w:w="1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(210,705)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(14,783)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(225,488)</w:t>
            </w:r>
          </w:p>
        </w:tc>
      </w:tr>
      <w:tr>
        <w:trPr>
          <w:trHeight w:val="155"/>
        </w:trPr>
        <w:tc>
          <w:tcPr>
            <w:tcW w:w="2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32,970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8,011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40,981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35,498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6,929</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42,427</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32,118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6,796</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38,914</w:t>
            </w:r>
          </w:p>
        </w:tc>
      </w:tr>
    </w:tbl>
    <w:p>
      <w:pPr>
        <w:spacing w:after="0" w:line="115" w:lineRule="exact"/>
        <w:rPr>
          <w:sz w:val="20"/>
          <w:szCs w:val="20"/>
          <w:color w:val="auto"/>
        </w:rPr>
      </w:pPr>
    </w:p>
    <w:p>
      <w:pPr>
        <w:ind w:left="100" w:hanging="92"/>
        <w:spacing w:after="0"/>
        <w:tabs>
          <w:tab w:leader="none" w:pos="100" w:val="left"/>
        </w:tabs>
        <w:numPr>
          <w:ilvl w:val="0"/>
          <w:numId w:val="57"/>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Inter-segment Revenues and Cost of services relates to the internal charge between the two segments where the cinema operates within real estate owned within the group.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segment operating income to income before income taxes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2"/>
                <w:szCs w:val="12"/>
                <w:b w:val="1"/>
                <w:bCs w:val="1"/>
                <w:color w:val="auto"/>
              </w:rPr>
              <w:t>2017</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2"/>
                <w:szCs w:val="12"/>
                <w:b w:val="1"/>
                <w:bCs w:val="1"/>
                <w:color w:val="auto"/>
              </w:rPr>
              <w:t>2015</w:t>
            </w:r>
          </w:p>
        </w:tc>
      </w:tr>
      <w:tr>
        <w:trPr>
          <w:trHeight w:val="141"/>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4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40,981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42,427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38,914</w:t>
            </w:r>
          </w:p>
        </w:tc>
      </w:tr>
      <w:tr>
        <w:trPr>
          <w:trHeight w:val="152"/>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Unallocated corporate expense:</w:t>
            </w: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2"/>
        </w:trPr>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4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r>
      <w:tr>
        <w:trPr>
          <w:trHeight w:val="152"/>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48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(19,947)</w:t>
            </w:r>
          </w:p>
        </w:tc>
        <w:tc>
          <w:tcPr>
            <w:tcW w:w="46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(21,721)</w:t>
            </w: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(14,924)</w:t>
            </w:r>
          </w:p>
        </w:tc>
      </w:tr>
      <w:tr>
        <w:trPr>
          <w:trHeight w:val="152"/>
        </w:trPr>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expense, net</w:t>
            </w:r>
          </w:p>
        </w:tc>
        <w:tc>
          <w:tcPr>
            <w:tcW w:w="4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(6,194)</w:t>
            </w:r>
          </w:p>
        </w:tc>
        <w:tc>
          <w:tcPr>
            <w:tcW w:w="4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(6,782)</w:t>
            </w: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(7,304)</w:t>
            </w:r>
          </w:p>
        </w:tc>
      </w:tr>
      <w:tr>
        <w:trPr>
          <w:trHeight w:val="152"/>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earnings of unconsolidated joint ventures</w:t>
            </w:r>
          </w:p>
        </w:tc>
        <w:tc>
          <w:tcPr>
            <w:tcW w:w="4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1,204</w:t>
            </w:r>
          </w:p>
        </w:tc>
      </w:tr>
      <w:tr>
        <w:trPr>
          <w:trHeight w:val="152"/>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sale of assets</w:t>
            </w:r>
          </w:p>
        </w:tc>
        <w:tc>
          <w:tcPr>
            <w:tcW w:w="4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11,023</w:t>
            </w:r>
          </w:p>
        </w:tc>
      </w:tr>
      <w:tr>
        <w:trPr>
          <w:trHeight w:val="152"/>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Casualty gain (loss)</w:t>
            </w:r>
          </w:p>
        </w:tc>
        <w:tc>
          <w:tcPr>
            <w:tcW w:w="4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(1,421)</w:t>
            </w: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2"/>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4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w:t>
            </w:r>
          </w:p>
        </w:tc>
      </w:tr>
      <w:tr>
        <w:trPr>
          <w:trHeight w:val="166"/>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4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34,347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13,437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28,179</w:t>
            </w:r>
          </w:p>
        </w:tc>
      </w:tr>
    </w:tbl>
    <w:p>
      <w:pPr>
        <w:spacing w:after="0" w:line="25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760"/>
          </w:cols>
          <w:pgMar w:left="1000" w:top="432" w:right="1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Assuming cash and cash equivalents are accounted for as corporate assets, total assets by business segment and by country are presented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3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2"/>
                <w:szCs w:val="12"/>
                <w:b w:val="1"/>
                <w:bCs w:val="1"/>
                <w:color w:val="auto"/>
              </w:rPr>
              <w:t>December 31, 2017</w:t>
            </w: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December 31, 2016</w:t>
            </w:r>
          </w:p>
        </w:tc>
      </w:tr>
      <w:tr>
        <w:trPr>
          <w:trHeight w:val="141"/>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By segment:</w:t>
            </w:r>
          </w:p>
        </w:tc>
        <w:tc>
          <w:tcPr>
            <w:tcW w:w="4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52"/>
        </w:trPr>
        <w:tc>
          <w:tcPr>
            <w:tcW w:w="5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Cinema</w:t>
            </w: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135,184</w:t>
            </w:r>
          </w:p>
        </w:tc>
        <w:tc>
          <w:tcPr>
            <w:tcW w:w="340" w:type="dxa"/>
            <w:vAlign w:val="bottom"/>
          </w:tcPr>
          <w:p>
            <w:pPr>
              <w:spacing w:after="0"/>
              <w:rPr>
                <w:sz w:val="13"/>
                <w:szCs w:val="13"/>
                <w:color w:val="auto"/>
              </w:rPr>
            </w:pPr>
          </w:p>
        </w:tc>
        <w:tc>
          <w:tcPr>
            <w:tcW w:w="4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133,057</w:t>
            </w:r>
          </w:p>
        </w:tc>
      </w:tr>
      <w:tr>
        <w:trPr>
          <w:trHeight w:val="152"/>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 estate</w:t>
            </w:r>
          </w:p>
        </w:tc>
        <w:tc>
          <w:tcPr>
            <w:tcW w:w="4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249,245</w:t>
            </w: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240,362</w:t>
            </w:r>
          </w:p>
        </w:tc>
      </w:tr>
      <w:tr>
        <w:trPr>
          <w:trHeight w:val="152"/>
        </w:trPr>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 xml:space="preserve">Corporate </w:t>
            </w:r>
            <w:r>
              <w:rPr>
                <w:rFonts w:ascii="Times New Roman" w:cs="Times New Roman" w:eastAsia="Times New Roman" w:hAnsi="Times New Roman"/>
                <w:sz w:val="5"/>
                <w:szCs w:val="5"/>
                <w:color w:val="auto"/>
              </w:rPr>
              <w:t>(1)</w:t>
            </w:r>
          </w:p>
        </w:tc>
        <w:tc>
          <w:tcPr>
            <w:tcW w:w="4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38,597</w:t>
            </w:r>
          </w:p>
        </w:tc>
        <w:tc>
          <w:tcPr>
            <w:tcW w:w="3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32,347</w:t>
            </w:r>
          </w:p>
        </w:tc>
      </w:tr>
      <w:tr>
        <w:trPr>
          <w:trHeight w:val="152"/>
        </w:trPr>
        <w:tc>
          <w:tcPr>
            <w:tcW w:w="5720" w:type="dxa"/>
            <w:vAlign w:val="bottom"/>
            <w:tcBorders>
              <w:bottom w:val="single" w:sz="8" w:color="CCEEFF"/>
            </w:tcBorders>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480" w:type="dxa"/>
            <w:vAlign w:val="bottom"/>
            <w:tcBorders>
              <w:bottom w:val="single" w:sz="8" w:color="auto"/>
            </w:tcBorders>
            <w:shd w:val="clear" w:color="auto" w:fill="CCEEFF"/>
          </w:tcPr>
          <w:p>
            <w:pPr>
              <w:jc w:val="right"/>
              <w:ind w:right="6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423,026</w:t>
            </w:r>
          </w:p>
        </w:tc>
        <w:tc>
          <w:tcPr>
            <w:tcW w:w="3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54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405,766</w:t>
            </w:r>
          </w:p>
        </w:tc>
      </w:tr>
      <w:tr>
        <w:trPr>
          <w:trHeight w:val="123"/>
        </w:trPr>
        <w:tc>
          <w:tcPr>
            <w:tcW w:w="5720" w:type="dxa"/>
            <w:vAlign w:val="bottom"/>
            <w:gridSpan w:val="2"/>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By country:</w:t>
            </w:r>
          </w:p>
        </w:tc>
        <w:tc>
          <w:tcPr>
            <w:tcW w:w="4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52"/>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4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188,639</w:t>
            </w: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161,922</w:t>
            </w:r>
          </w:p>
        </w:tc>
      </w:tr>
      <w:tr>
        <w:trPr>
          <w:trHeight w:val="152"/>
        </w:trPr>
        <w:tc>
          <w:tcPr>
            <w:tcW w:w="5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Australia</w:t>
            </w:r>
          </w:p>
        </w:tc>
        <w:tc>
          <w:tcPr>
            <w:tcW w:w="4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169,035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170,556</w:t>
            </w:r>
          </w:p>
        </w:tc>
      </w:tr>
      <w:tr>
        <w:trPr>
          <w:trHeight w:val="152"/>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Zealand</w:t>
            </w:r>
          </w:p>
        </w:tc>
        <w:tc>
          <w:tcPr>
            <w:tcW w:w="48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65,352</w:t>
            </w:r>
          </w:p>
        </w:tc>
        <w:tc>
          <w:tcPr>
            <w:tcW w:w="3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73,288</w:t>
            </w:r>
          </w:p>
        </w:tc>
      </w:tr>
      <w:tr>
        <w:trPr>
          <w:trHeight w:val="123"/>
        </w:trPr>
        <w:tc>
          <w:tcPr>
            <w:tcW w:w="572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480" w:type="dxa"/>
            <w:vAlign w:val="bottom"/>
            <w:tcBorders>
              <w:bottom w:val="single" w:sz="8" w:color="auto"/>
            </w:tcBorders>
          </w:tcPr>
          <w:p>
            <w:pPr>
              <w:jc w:val="right"/>
              <w:ind w:right="62"/>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16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423,026</w:t>
            </w:r>
          </w:p>
        </w:tc>
        <w:tc>
          <w:tcPr>
            <w:tcW w:w="340" w:type="dxa"/>
            <w:vAlign w:val="bottom"/>
          </w:tcPr>
          <w:p>
            <w:pPr>
              <w:spacing w:after="0"/>
              <w:rPr>
                <w:sz w:val="10"/>
                <w:szCs w:val="10"/>
                <w:color w:val="auto"/>
              </w:rPr>
            </w:pPr>
          </w:p>
        </w:tc>
        <w:tc>
          <w:tcPr>
            <w:tcW w:w="420" w:type="dxa"/>
            <w:vAlign w:val="bottom"/>
            <w:tcBorders>
              <w:bottom w:val="single" w:sz="8" w:color="auto"/>
            </w:tcBorders>
          </w:tcPr>
          <w:p>
            <w:pPr>
              <w:jc w:val="right"/>
              <w:ind w:right="22"/>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1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405,766</w:t>
            </w:r>
          </w:p>
        </w:tc>
      </w:tr>
    </w:tbl>
    <w:p>
      <w:pPr>
        <w:spacing w:after="0" w:line="169" w:lineRule="exact"/>
        <w:rPr>
          <w:sz w:val="20"/>
          <w:szCs w:val="20"/>
          <w:color w:val="auto"/>
        </w:rPr>
      </w:pPr>
    </w:p>
    <w:p>
      <w:pPr>
        <w:ind w:left="100" w:hanging="92"/>
        <w:spacing w:after="0"/>
        <w:tabs>
          <w:tab w:leader="none" w:pos="100" w:val="left"/>
        </w:tabs>
        <w:numPr>
          <w:ilvl w:val="0"/>
          <w:numId w:val="58"/>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Corporate Assets includes cash and cash equivalents of $13.7 million and $19.0 million as of December 31, 2017 and 2016,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operating properties by country: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7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w w:val="94"/>
              </w:rPr>
              <w:t>December 31, 2017</w:t>
            </w:r>
          </w:p>
        </w:tc>
        <w:tc>
          <w:tcPr>
            <w:tcW w:w="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December 31, 2016</w:t>
            </w:r>
          </w:p>
        </w:tc>
        <w:tc>
          <w:tcPr>
            <w:tcW w:w="460" w:type="dxa"/>
            <w:vAlign w:val="bottom"/>
            <w:tcBorders>
              <w:bottom w:val="single" w:sz="8" w:color="auto"/>
            </w:tcBorders>
          </w:tcPr>
          <w:p>
            <w:pPr>
              <w:spacing w:after="0"/>
              <w:rPr>
                <w:sz w:val="12"/>
                <w:szCs w:val="12"/>
                <w:color w:val="auto"/>
              </w:rPr>
            </w:pPr>
          </w:p>
        </w:tc>
      </w:tr>
      <w:tr>
        <w:trPr>
          <w:trHeight w:val="141"/>
        </w:trPr>
        <w:tc>
          <w:tcPr>
            <w:tcW w:w="4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89,183</w:t>
            </w: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75,845</w:t>
            </w:r>
          </w:p>
        </w:tc>
      </w:tr>
      <w:tr>
        <w:trPr>
          <w:trHeight w:val="152"/>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Australia</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143,200</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103,430</w:t>
            </w:r>
          </w:p>
        </w:tc>
      </w:tr>
      <w:tr>
        <w:trPr>
          <w:trHeight w:val="152"/>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New Zealand</w:t>
            </w:r>
          </w:p>
        </w:tc>
        <w:tc>
          <w:tcPr>
            <w:tcW w:w="7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32,341</w:t>
            </w: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32,611</w:t>
            </w:r>
          </w:p>
        </w:tc>
      </w:tr>
      <w:tr>
        <w:trPr>
          <w:trHeight w:val="174"/>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property</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264,724</w:t>
            </w:r>
          </w:p>
        </w:tc>
        <w:tc>
          <w:tcPr>
            <w:tcW w:w="8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211,886</w:t>
            </w:r>
          </w:p>
        </w:tc>
      </w:tr>
      <w:tr>
        <w:trPr>
          <w:trHeight w:val="329"/>
        </w:trPr>
        <w:tc>
          <w:tcPr>
            <w:tcW w:w="572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The table below summarizes capital expenditures for the three years ended December 31, 2017:</w:t>
            </w: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30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2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2017</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2016</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2015</w:t>
            </w:r>
          </w:p>
        </w:tc>
        <w:tc>
          <w:tcPr>
            <w:tcW w:w="460" w:type="dxa"/>
            <w:vAlign w:val="bottom"/>
            <w:tcBorders>
              <w:bottom w:val="single" w:sz="8" w:color="auto"/>
            </w:tcBorders>
          </w:tcPr>
          <w:p>
            <w:pPr>
              <w:spacing w:after="0"/>
              <w:rPr>
                <w:sz w:val="24"/>
                <w:szCs w:val="24"/>
                <w:color w:val="auto"/>
              </w:rPr>
            </w:pPr>
          </w:p>
        </w:tc>
      </w:tr>
      <w:tr>
        <w:trPr>
          <w:trHeight w:val="141"/>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capital expenditures</w:t>
            </w:r>
          </w:p>
        </w:tc>
        <w:tc>
          <w:tcPr>
            <w:tcW w:w="78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76,300</w:t>
            </w:r>
          </w:p>
        </w:tc>
        <w:tc>
          <w:tcPr>
            <w:tcW w:w="1500" w:type="dxa"/>
            <w:vAlign w:val="bottom"/>
            <w:gridSpan w:val="3"/>
            <w:shd w:val="clear" w:color="auto" w:fill="CCEEFF"/>
          </w:tcPr>
          <w:p>
            <w:pPr>
              <w:jc w:val="right"/>
              <w:ind w:right="86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0"/>
              </w:rPr>
              <w:t>49,023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52,989</w:t>
            </w:r>
          </w:p>
        </w:tc>
      </w:tr>
      <w:tr>
        <w:trPr>
          <w:trHeight w:val="152"/>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Corporate capital expenditures</w:t>
            </w: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143</w:t>
            </w: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w:t>
            </w:r>
          </w:p>
        </w:tc>
      </w:tr>
      <w:tr>
        <w:trPr>
          <w:trHeight w:val="155"/>
        </w:trPr>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Total capital expenditures</w:t>
            </w:r>
          </w:p>
        </w:tc>
        <w:tc>
          <w:tcPr>
            <w:tcW w:w="78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76,708</w:t>
            </w: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0"/>
              </w:rPr>
              <w:t>49,166</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53,119</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 – SUMMARY OF SIGNIFICANT ACCOUNTING POLICIES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Basis of Consolidation</w:t>
      </w:r>
    </w:p>
    <w:p>
      <w:pPr>
        <w:spacing w:after="0" w:line="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accordance with accounting principles generally accepted in the United States of America (“US GAAP”). These consolidated financial statements include the accounts of our wholly-owned subsidiaries, which are RDGE, CRG, and CDL. We have also consolidated the following entities that are not wholly-owned for which we have control:</w:t>
      </w:r>
    </w:p>
    <w:p>
      <w:pPr>
        <w:spacing w:after="0" w:line="107" w:lineRule="exact"/>
        <w:rPr>
          <w:sz w:val="20"/>
          <w:szCs w:val="20"/>
          <w:color w:val="auto"/>
        </w:rPr>
      </w:pPr>
    </w:p>
    <w:p>
      <w:pPr>
        <w:ind w:left="200" w:hanging="192"/>
        <w:spacing w:after="0"/>
        <w:tabs>
          <w:tab w:leader="none" w:pos="2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Australia Country Cinemas Pty, Limited, a company in which we own a 75% interest and whose only assets are our leasehold cinemas in Townsville and Dubbo, Australia;</w:t>
      </w:r>
    </w:p>
    <w:p>
      <w:pPr>
        <w:spacing w:after="0" w:line="27"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Sutton Hill Properties, LLC (“SHP”), a company based in New York in which we own a 75% interest and whose only asset is the fee interest in the Cinemas 1,2,3; and,</w:t>
      </w:r>
    </w:p>
    <w:p>
      <w:pPr>
        <w:spacing w:after="0" w:line="12"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Shadow View Land and Farming, LLC in which we own a 50% controlling membership interest and whose only asset is a 202-acre land parcel in Coachella, California.</w:t>
      </w:r>
    </w:p>
    <w:p>
      <w:pPr>
        <w:spacing w:after="0" w:line="171"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4"/>
          <w:szCs w:val="14"/>
          <w:color w:val="auto"/>
        </w:rPr>
        <w:t>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w:t>
      </w:r>
    </w:p>
    <w:p>
      <w:pPr>
        <w:spacing w:after="0" w:line="86" w:lineRule="exact"/>
        <w:rPr>
          <w:sz w:val="20"/>
          <w:szCs w:val="20"/>
          <w:color w:val="auto"/>
        </w:rPr>
      </w:pPr>
    </w:p>
    <w:p>
      <w:pPr>
        <w:ind w:left="200" w:hanging="192"/>
        <w:spacing w:after="0"/>
        <w:tabs>
          <w:tab w:leader="none" w:pos="2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33.3% undivided interest in the unincorporated joint venture that owns the Mt. Gravatt cinema in a suburb of Brisbane, Australia;</w:t>
      </w:r>
    </w:p>
    <w:p>
      <w:pPr>
        <w:spacing w:after="0" w:line="27"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undivided interest in the unincorporated joint venture that owns Rialto Cinemas.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472" w:right="7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color w:val="auto"/>
        </w:rPr>
        <w:t>We consider that we have control over our partially-owned subsidiaries and joint venture interests (collectively “investee”) when these conditions exist:</w:t>
      </w:r>
    </w:p>
    <w:p>
      <w:pPr>
        <w:spacing w:after="0" w:line="154" w:lineRule="exact"/>
        <w:rPr>
          <w:sz w:val="20"/>
          <w:szCs w:val="20"/>
          <w:color w:val="auto"/>
        </w:rPr>
      </w:pPr>
    </w:p>
    <w:p>
      <w:pPr>
        <w:ind w:left="260" w:hanging="252"/>
        <w:spacing w:after="0"/>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majority of the voting rights or interests of the investee (typically above 50%), or</w:t>
      </w:r>
    </w:p>
    <w:p>
      <w:pPr>
        <w:spacing w:after="0" w:line="27" w:lineRule="exact"/>
        <w:rPr>
          <w:rFonts w:ascii="Times New Roman" w:cs="Times New Roman" w:eastAsia="Times New Roman" w:hAnsi="Times New Roman"/>
          <w:sz w:val="14"/>
          <w:szCs w:val="14"/>
          <w:color w:val="auto"/>
        </w:rPr>
      </w:pPr>
    </w:p>
    <w:p>
      <w:pPr>
        <w:ind w:left="260" w:right="160" w:hanging="252"/>
        <w:spacing w:after="0" w:line="277"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when we own less than the majority voting rights or interests, we have the power over the investee when the voting rights or interests are sufficient to give it the practical ability to direct the relevant activities of the investee unilaterally.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all relevant facts and circumstances in assessing whether or not our voting rights in the investee are sufficient to give it power, including:</w:t>
      </w:r>
    </w:p>
    <w:p>
      <w:pPr>
        <w:spacing w:after="0" w:line="164" w:lineRule="exact"/>
        <w:rPr>
          <w:sz w:val="20"/>
          <w:szCs w:val="20"/>
          <w:color w:val="auto"/>
        </w:rPr>
      </w:pPr>
    </w:p>
    <w:p>
      <w:pPr>
        <w:ind w:left="260" w:hanging="252"/>
        <w:spacing w:after="0"/>
        <w:tabs>
          <w:tab w:leader="none" w:pos="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our voting rights and interests relative to the size and dispersion of holdings of other vote holders;</w:t>
      </w:r>
    </w:p>
    <w:p>
      <w:pPr>
        <w:spacing w:after="0" w:line="27"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voting rights and interests held by us;</w:t>
      </w:r>
    </w:p>
    <w:p>
      <w:pPr>
        <w:spacing w:after="0" w:line="12"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and interests arising from other contractual arrangements; and,</w:t>
      </w:r>
    </w:p>
    <w:p>
      <w:pPr>
        <w:spacing w:after="0" w:line="12"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other relevant facts.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significant intercompany balances and transactions have been eliminated in the consolidation.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Use of Estimates</w:t>
      </w:r>
    </w:p>
    <w:p>
      <w:pPr>
        <w:spacing w:after="0" w:line="3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 but not limited to:</w:t>
      </w:r>
    </w:p>
    <w:p>
      <w:pPr>
        <w:spacing w:after="0" w:line="107"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projections we make regarding the recoverability and impairment of our assets (including goodwill and intangibles);</w:t>
      </w:r>
    </w:p>
    <w:p>
      <w:pPr>
        <w:spacing w:after="0" w:line="27"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insurance proceeds to various recoverable components;</w:t>
      </w:r>
    </w:p>
    <w:p>
      <w:pPr>
        <w:spacing w:after="0" w:line="12"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recoverability of our deferred tax assets as well as liabilities for transition tax under the Tax Reform Act in 2017; and,</w:t>
      </w:r>
    </w:p>
    <w:p>
      <w:pPr>
        <w:spacing w:after="0" w:line="12"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estimation of gift card and gift certificate breakage where we have concluded that the likelihood of redemption is remote.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Reclassifications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reclassifications have been made in the 2016 and 2015 comparative information in our consolidated financial statements and accompanying notes to conform to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2017 presentation. These reclassifications relate to the following immaterial balances:</w:t>
      </w:r>
    </w:p>
    <w:p>
      <w:pPr>
        <w:spacing w:after="0" w:line="149" w:lineRule="exact"/>
        <w:rPr>
          <w:sz w:val="20"/>
          <w:szCs w:val="20"/>
          <w:color w:val="auto"/>
        </w:rPr>
      </w:pPr>
    </w:p>
    <w:p>
      <w:pPr>
        <w:ind w:left="260" w:hanging="252"/>
        <w:spacing w:after="0"/>
        <w:tabs>
          <w:tab w:leader="none" w:pos="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Investment in Reading International Trust I to “Other assets” line in our consolidated balance sheets;</w:t>
      </w:r>
    </w:p>
    <w:p>
      <w:pPr>
        <w:spacing w:after="0" w:line="27"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net-off of interest income against interest expense in our consolidated statements of income; and,</w:t>
      </w:r>
    </w:p>
    <w:p>
      <w:pPr>
        <w:spacing w:after="0" w:line="12"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combination of certain components in our consolidated statements of comprehensive income into one line, “Others”.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Revenue Recognition</w:t>
      </w:r>
    </w:p>
    <w:p>
      <w:pPr>
        <w:spacing w:after="0" w:line="32" w:lineRule="exact"/>
        <w:rPr>
          <w:sz w:val="20"/>
          <w:szCs w:val="20"/>
          <w:color w:val="auto"/>
        </w:rPr>
      </w:pPr>
    </w:p>
    <w:p>
      <w:pPr>
        <w:ind w:left="260" w:hanging="252"/>
        <w:spacing w:after="0"/>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Cinema Exhibition Segment (all net of related taxes):</w:t>
      </w:r>
    </w:p>
    <w:p>
      <w:pPr>
        <w:spacing w:after="0" w:line="12" w:lineRule="exact"/>
        <w:rPr>
          <w:rFonts w:ascii="Times New Roman" w:cs="Times New Roman" w:eastAsia="Times New Roman" w:hAnsi="Times New Roman"/>
          <w:sz w:val="14"/>
          <w:szCs w:val="14"/>
          <w:color w:val="auto"/>
        </w:rPr>
      </w:pPr>
    </w:p>
    <w:p>
      <w:pPr>
        <w:ind w:left="460" w:right="40" w:hanging="192"/>
        <w:spacing w:after="0" w:line="258" w:lineRule="auto"/>
        <w:tabs>
          <w:tab w:leader="none" w:pos="4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Sales of Cinema ticket (excluding bulk and advanced ticket sales) and food and beverage (“F&amp;B”)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recognized when sold and collected, either in cash or credit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card at our theatre locations and through our online selling channels;</w:t>
      </w:r>
    </w:p>
    <w:p>
      <w:pPr>
        <w:ind w:left="460" w:hanging="192"/>
        <w:spacing w:after="0" w:line="258" w:lineRule="auto"/>
        <w:tabs>
          <w:tab w:leader="none" w:pos="4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Sales of Bulk and Advanced Cinema Ticket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deferred and recognized as revenue when the promised performance or movie that the ticket has been purchased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shown;</w:t>
      </w:r>
    </w:p>
    <w:p>
      <w:pPr>
        <w:ind w:left="460" w:hanging="192"/>
        <w:spacing w:after="0"/>
        <w:tabs>
          <w:tab w:leader="none" w:pos="4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Gift Cards and Gift Certificate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deferred and recognized as revenue when redeemed, except for the breakage portion, as described below;</w:t>
      </w:r>
    </w:p>
    <w:p>
      <w:pPr>
        <w:spacing w:after="0" w:line="12" w:lineRule="exact"/>
        <w:rPr>
          <w:rFonts w:ascii="Times New Roman" w:cs="Times New Roman" w:eastAsia="Times New Roman" w:hAnsi="Times New Roman"/>
          <w:sz w:val="14"/>
          <w:szCs w:val="14"/>
          <w:color w:val="auto"/>
        </w:rPr>
      </w:pPr>
    </w:p>
    <w:p>
      <w:pPr>
        <w:ind w:left="460" w:right="640" w:hanging="192"/>
        <w:spacing w:after="0" w:line="258" w:lineRule="auto"/>
        <w:tabs>
          <w:tab w:leader="none" w:pos="4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Breakage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represents the balance of gift cards and gift certificates for which we believe the likelihood of redemption by the customer is remote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determined based upon our historical redemption patterns; and,</w:t>
      </w:r>
    </w:p>
    <w:p>
      <w:pPr>
        <w:ind w:left="460" w:hanging="192"/>
        <w:spacing w:after="0"/>
        <w:tabs>
          <w:tab w:leader="none" w:pos="4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Advertising Revenues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recognized based on contractual arrangements or relevant admissions information, as appropriate.</w:t>
      </w:r>
    </w:p>
    <w:p>
      <w:pPr>
        <w:spacing w:after="0" w:line="16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Real Estate Segment:</w:t>
      </w:r>
    </w:p>
    <w:p>
      <w:pPr>
        <w:spacing w:after="0" w:line="29" w:lineRule="exact"/>
        <w:rPr>
          <w:rFonts w:ascii="Times New Roman" w:cs="Times New Roman" w:eastAsia="Times New Roman" w:hAnsi="Times New Roman"/>
          <w:sz w:val="14"/>
          <w:szCs w:val="14"/>
          <w:color w:val="auto"/>
        </w:rPr>
      </w:pPr>
    </w:p>
    <w:p>
      <w:pPr>
        <w:ind w:left="460" w:right="120" w:hanging="192"/>
        <w:spacing w:after="0" w:line="258" w:lineRule="auto"/>
        <w:tabs>
          <w:tab w:leader="none" w:pos="4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Property Rentals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contractually retain substantially all of the risks and benefits of ownership of our real estate properties and therefore, we account for our tenant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leases as operating leases. Accordingly, rental revenue is recognized on a straight-line basis over the lease term; and,</w:t>
      </w:r>
    </w:p>
    <w:p>
      <w:pPr>
        <w:ind w:left="460" w:right="60" w:hanging="192"/>
        <w:spacing w:after="0" w:line="277" w:lineRule="auto"/>
        <w:tabs>
          <w:tab w:leader="none" w:pos="4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Live Theatre License Fees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determined based on fixed and variable fees (percentage of ticket sales) pursuant to our license agreement with the production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is recorded on a weekly basis after performance of a show occurs.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Cash and Cash Equivalents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consider all highly liquid investments with original maturities of three months or less at the time of purchase as cash equivalents for which cost approximates fair value.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20"/>
          </w:cols>
          <w:pgMar w:left="1000" w:top="298" w:right="7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Receivables</w:t>
      </w:r>
    </w:p>
    <w:p>
      <w:pPr>
        <w:spacing w:after="0" w:line="3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receivables balance is composed primarily of credit card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sales tax refund receivable from our Australian taxing authorities and the management fee receivable from the managed cinemas and property damage insurance recovery proceeds. We have no history of significant bad debt losses and we have established an allowance for accounts that we deem uncollectible.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Inventory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Inventory is composed of food and beverage items in our theater operations and is stated at the lower of cost (first-in, first-out method) or net realizable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Restricted Cash</w:t>
      </w:r>
    </w:p>
    <w:p>
      <w:pPr>
        <w:spacing w:after="0" w:line="32"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4"/>
          <w:szCs w:val="14"/>
          <w:color w:val="auto"/>
        </w:rPr>
        <w:t>Restricted cash includes those cash accounts for which the use of funds is restricted by any contract or bank covenant. At December 31, 2017 and 2016, our restricted cash balance, included as part of prepaid and other current assets, was $17,000 and $17,000,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Derivative Financial Instruments</w:t>
      </w:r>
    </w:p>
    <w:p>
      <w:pPr>
        <w:spacing w:after="0" w:line="3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From time-to-time, we purchase interest rate derivative instruments to hedge the interest rate risk that results from the variability of our floating-rate borrowings. Our use of derivative transactions is intended to reduce long-term fluctuations in cash flows caused by market movements. All derivative instruments are recorded on the balance sheet at fair value with changes in fair value through interest expense in the Consolidated Statement of Operations. As of December 31, 2017 and 2016, we do not have material derivative positions nor have designated any of these derivatives as accounting hedges.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Operating Properties, net</w:t>
      </w:r>
    </w:p>
    <w:p>
      <w:pPr>
        <w:spacing w:after="0" w:line="3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Operating Properties consists of land, buildings and improvements, leasehold improvements, fixtures and equipment which we use to derive operating income associated with our two 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it improves or extends the lives of the respective assets and/or provide long-term future net cash inflows, including the potential for cost savings.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are provided using the straight-line method over the estimated useful lives of the assets. The estimated useful lives are generally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Building and improvements</w:t>
            </w:r>
          </w:p>
        </w:tc>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15 – 60 years</w:t>
            </w:r>
          </w:p>
        </w:tc>
      </w:tr>
      <w:tr>
        <w:trPr>
          <w:trHeight w:val="64"/>
        </w:trPr>
        <w:tc>
          <w:tcPr>
            <w:tcW w:w="1600" w:type="dxa"/>
            <w:vAlign w:val="bottom"/>
            <w:shd w:val="clear" w:color="auto" w:fill="CCEEFF"/>
          </w:tcPr>
          <w:p>
            <w:pPr>
              <w:spacing w:after="0"/>
              <w:rPr>
                <w:sz w:val="5"/>
                <w:szCs w:val="5"/>
                <w:color w:val="auto"/>
              </w:rPr>
            </w:pPr>
          </w:p>
        </w:tc>
        <w:tc>
          <w:tcPr>
            <w:tcW w:w="3180" w:type="dxa"/>
            <w:vAlign w:val="bottom"/>
            <w:shd w:val="clear" w:color="auto" w:fill="CCEEFF"/>
          </w:tcPr>
          <w:p>
            <w:pPr>
              <w:spacing w:after="0"/>
              <w:rPr>
                <w:sz w:val="5"/>
                <w:szCs w:val="5"/>
                <w:color w:val="auto"/>
              </w:rPr>
            </w:pPr>
          </w:p>
        </w:tc>
      </w:tr>
      <w:tr>
        <w:trPr>
          <w:trHeight w:val="197"/>
        </w:trPr>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Leasehold improvements</w:t>
            </w:r>
          </w:p>
        </w:tc>
        <w:tc>
          <w:tcPr>
            <w:tcW w:w="31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Shorter of the lease term or useful life of the improvement</w:t>
            </w:r>
          </w:p>
        </w:tc>
      </w:tr>
      <w:tr>
        <w:trPr>
          <w:trHeight w:val="64"/>
        </w:trPr>
        <w:tc>
          <w:tcPr>
            <w:tcW w:w="1600" w:type="dxa"/>
            <w:vAlign w:val="bottom"/>
          </w:tcPr>
          <w:p>
            <w:pPr>
              <w:spacing w:after="0"/>
              <w:rPr>
                <w:sz w:val="5"/>
                <w:szCs w:val="5"/>
                <w:color w:val="auto"/>
              </w:rPr>
            </w:pPr>
          </w:p>
        </w:tc>
        <w:tc>
          <w:tcPr>
            <w:tcW w:w="3180" w:type="dxa"/>
            <w:vAlign w:val="bottom"/>
          </w:tcPr>
          <w:p>
            <w:pPr>
              <w:spacing w:after="0"/>
              <w:rPr>
                <w:sz w:val="5"/>
                <w:szCs w:val="5"/>
                <w:color w:val="auto"/>
              </w:rPr>
            </w:pPr>
          </w:p>
        </w:tc>
      </w:tr>
      <w:tr>
        <w:trPr>
          <w:trHeight w:val="197"/>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Theater equipment</w:t>
            </w:r>
          </w:p>
        </w:tc>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7 years</w:t>
            </w:r>
          </w:p>
        </w:tc>
      </w:tr>
      <w:tr>
        <w:trPr>
          <w:trHeight w:val="64"/>
        </w:trPr>
        <w:tc>
          <w:tcPr>
            <w:tcW w:w="1600" w:type="dxa"/>
            <w:vAlign w:val="bottom"/>
            <w:shd w:val="clear" w:color="auto" w:fill="CCEEFF"/>
          </w:tcPr>
          <w:p>
            <w:pPr>
              <w:spacing w:after="0"/>
              <w:rPr>
                <w:sz w:val="5"/>
                <w:szCs w:val="5"/>
                <w:color w:val="auto"/>
              </w:rPr>
            </w:pPr>
          </w:p>
        </w:tc>
        <w:tc>
          <w:tcPr>
            <w:tcW w:w="3180" w:type="dxa"/>
            <w:vAlign w:val="bottom"/>
            <w:shd w:val="clear" w:color="auto" w:fill="CCEEFF"/>
          </w:tcPr>
          <w:p>
            <w:pPr>
              <w:spacing w:after="0"/>
              <w:rPr>
                <w:sz w:val="5"/>
                <w:szCs w:val="5"/>
                <w:color w:val="auto"/>
              </w:rPr>
            </w:pPr>
          </w:p>
        </w:tc>
      </w:tr>
      <w:tr>
        <w:trPr>
          <w:trHeight w:val="197"/>
        </w:trPr>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Furniture and fixtures</w:t>
            </w:r>
          </w:p>
        </w:tc>
        <w:tc>
          <w:tcPr>
            <w:tcW w:w="31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5 – 10 years</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Investment and Development Properties, net</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Investment and Development Properties consists of land,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this category are building and improvement costs directly associated with the development of potential cinemas (whether for sale or lease), the development of entertainment-themed centers (“ETCs”), or other improvements to real property.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 curtailed. However, we do not suspend cost capitalization for brief interruptions and interruptions that are externally imposed, such as mandates from governmental authorities.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Impairment of Long-Lived Assets</w:t>
      </w:r>
    </w:p>
    <w:p>
      <w:pPr>
        <w:spacing w:after="0" w:line="3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4"/>
          <w:szCs w:val="14"/>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4" w:right="7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auto"/>
        </w:rPr>
        <w:t>We review internal management reports on a monthly basis as well as monitor current and potential future competition in film markets for indications of potential impairment.</w:t>
      </w:r>
    </w:p>
    <w:p>
      <w:pPr>
        <w:spacing w:after="0" w:line="152" w:lineRule="exact"/>
        <w:rPr>
          <w:sz w:val="20"/>
          <w:szCs w:val="20"/>
          <w:color w:val="auto"/>
        </w:rPr>
      </w:pPr>
    </w:p>
    <w:p>
      <w:pPr>
        <w:ind w:left="260" w:hanging="252"/>
        <w:spacing w:after="0" w:line="269" w:lineRule="auto"/>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Impairment of Long-lived Assets (other than Goodwill and Intangible Assets with indefinite lives) – </w:t>
      </w:r>
      <w:r>
        <w:rPr>
          <w:rFonts w:ascii="Times New Roman" w:cs="Times New Roman" w:eastAsia="Times New Roman" w:hAnsi="Times New Roman"/>
          <w:sz w:val="14"/>
          <w:szCs w:val="14"/>
          <w:color w:val="auto"/>
        </w:rPr>
        <w:t>we evaluate our long-lived assets and finite-lived intangible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08" w:lineRule="exact"/>
        <w:rPr>
          <w:rFonts w:ascii="Times New Roman" w:cs="Times New Roman" w:eastAsia="Times New Roman" w:hAnsi="Times New Roman"/>
          <w:sz w:val="14"/>
          <w:szCs w:val="14"/>
          <w:color w:val="auto"/>
        </w:rPr>
      </w:pPr>
    </w:p>
    <w:p>
      <w:pPr>
        <w:ind w:left="260" w:right="4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impairment losses were recorded for long-lived and finite-lived intangible assets for the three years ended December 31, 2017, based on historical information and projected cash flow. We recorded a write-down of the carrying amount of our parking structure adjacent to our Courtenay Central ETC in Wellington, New Zealand due to earthquake damage during the Fourth Quarter of 2016, which was subsequently fully recovered through the final insurance settlement in May 2017. Refer to </w:t>
      </w:r>
      <w:r>
        <w:rPr>
          <w:rFonts w:ascii="Times New Roman" w:cs="Times New Roman" w:eastAsia="Times New Roman" w:hAnsi="Times New Roman"/>
          <w:sz w:val="14"/>
          <w:szCs w:val="14"/>
          <w:i w:val="1"/>
          <w:iCs w:val="1"/>
          <w:color w:val="auto"/>
        </w:rPr>
        <w:t>Note 19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Insurance Recoveries on Impairment and Related Losses due to Earthquake </w:t>
      </w:r>
      <w:r>
        <w:rPr>
          <w:rFonts w:ascii="Times New Roman" w:cs="Times New Roman" w:eastAsia="Times New Roman" w:hAnsi="Times New Roman"/>
          <w:sz w:val="14"/>
          <w:szCs w:val="14"/>
          <w:color w:val="auto"/>
        </w:rPr>
        <w:t>for further details.</w:t>
      </w:r>
    </w:p>
    <w:p>
      <w:pPr>
        <w:spacing w:after="0" w:line="114" w:lineRule="exact"/>
        <w:rPr>
          <w:rFonts w:ascii="Times New Roman" w:cs="Times New Roman" w:eastAsia="Times New Roman" w:hAnsi="Times New Roman"/>
          <w:sz w:val="14"/>
          <w:szCs w:val="14"/>
          <w:color w:val="auto"/>
        </w:rPr>
      </w:pPr>
    </w:p>
    <w:p>
      <w:pPr>
        <w:ind w:left="260" w:right="60" w:hanging="252"/>
        <w:spacing w:after="0" w:line="269" w:lineRule="auto"/>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Impairment of Goodwill and Intangible Assets with indefinite lives – </w:t>
      </w:r>
      <w:r>
        <w:rPr>
          <w:rFonts w:ascii="Times New Roman" w:cs="Times New Roman" w:eastAsia="Times New Roman" w:hAnsi="Times New Roman"/>
          <w:sz w:val="14"/>
          <w:szCs w:val="14"/>
          <w:color w:val="auto"/>
        </w:rPr>
        <w:t>goodwill and intangible assets with indefinite useful lives are not amortized, but instead, tested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impairment at least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08"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impairment losses were recorded for goodwill and indefinite-lived intangible assets for the three years ended December 31, 2017.</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Variable Interest Entity</w:t>
      </w:r>
    </w:p>
    <w:p>
      <w:pPr>
        <w:spacing w:after="0" w:line="3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spacing w:after="0" w:line="1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Reading International Trust I is a VIE. It is not consolidated in our financial statements but instead accounted for under the equity method of accounting because we are not the primary beneficiary. We carry our investment in the Reading International Trust I, recorded under “</w:t>
      </w:r>
      <w:r>
        <w:rPr>
          <w:rFonts w:ascii="Times New Roman" w:cs="Times New Roman" w:eastAsia="Times New Roman" w:hAnsi="Times New Roman"/>
          <w:sz w:val="14"/>
          <w:szCs w:val="14"/>
          <w:i w:val="1"/>
          <w:iCs w:val="1"/>
          <w:color w:val="auto"/>
        </w:rPr>
        <w:t>Other Assets”</w:t>
      </w:r>
      <w:r>
        <w:rPr>
          <w:rFonts w:ascii="Times New Roman" w:cs="Times New Roman" w:eastAsia="Times New Roman" w:hAnsi="Times New Roman"/>
          <w:sz w:val="14"/>
          <w:szCs w:val="14"/>
          <w:color w:val="auto"/>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Property Held for Sale</w:t>
      </w:r>
    </w:p>
    <w:p>
      <w:pPr>
        <w:spacing w:after="0" w:line="3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As of December 31, 2016, we classified our landholding in Burwood, Australia as land held for sale as a result of a sale transaction on May 12, 2014, this transaction closed during December 2017. Refer to </w:t>
      </w:r>
      <w:r>
        <w:rPr>
          <w:rFonts w:ascii="Times New Roman" w:cs="Times New Roman" w:eastAsia="Times New Roman" w:hAnsi="Times New Roman"/>
          <w:sz w:val="14"/>
          <w:szCs w:val="14"/>
          <w:i w:val="1"/>
          <w:iCs w:val="1"/>
          <w:color w:val="auto"/>
        </w:rPr>
        <w:t>Note 4 – Real Estate Transactions</w:t>
      </w:r>
      <w:r>
        <w:rPr>
          <w:rFonts w:ascii="Times New Roman" w:cs="Times New Roman" w:eastAsia="Times New Roman" w:hAnsi="Times New Roman"/>
          <w:sz w:val="14"/>
          <w:szCs w:val="14"/>
          <w:color w:val="auto"/>
        </w:rPr>
        <w:t xml:space="preserve"> for details.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Deferred Leasing/Financing Costs</w:t>
      </w:r>
    </w:p>
    <w:p>
      <w:pPr>
        <w:spacing w:after="0" w:line="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 Net deferred financing costs are presented as a reduction in the associated Debt account (see </w:t>
      </w:r>
      <w:r>
        <w:rPr>
          <w:rFonts w:ascii="Times New Roman" w:cs="Times New Roman" w:eastAsia="Times New Roman" w:hAnsi="Times New Roman"/>
          <w:sz w:val="14"/>
          <w:szCs w:val="14"/>
          <w:i w:val="1"/>
          <w:iCs w:val="1"/>
          <w:color w:val="auto"/>
        </w:rPr>
        <w:t>Note 10 – Borrowings</w:t>
      </w:r>
      <w:r>
        <w:rPr>
          <w:rFonts w:ascii="Times New Roman" w:cs="Times New Roman" w:eastAsia="Times New Roman" w:hAnsi="Times New Roman"/>
          <w:sz w:val="14"/>
          <w:szCs w:val="14"/>
          <w:color w:val="auto"/>
        </w:rPr>
        <w:t xml:space="preserve">) in line with our adoption of </w:t>
      </w:r>
      <w:r>
        <w:rPr>
          <w:rFonts w:ascii="Times New Roman" w:cs="Times New Roman" w:eastAsia="Times New Roman" w:hAnsi="Times New Roman"/>
          <w:sz w:val="14"/>
          <w:szCs w:val="14"/>
          <w:i w:val="1"/>
          <w:iCs w:val="1"/>
          <w:color w:val="auto"/>
        </w:rPr>
        <w:t xml:space="preserve">ASU 2015-03 </w:t>
      </w:r>
      <w:r>
        <w:rPr>
          <w:rFonts w:ascii="Times New Roman" w:cs="Times New Roman" w:eastAsia="Times New Roman" w:hAnsi="Times New Roman"/>
          <w:sz w:val="14"/>
          <w:szCs w:val="14"/>
          <w:color w:val="auto"/>
        </w:rPr>
        <w:t>which became effective since January 1, 2016.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Film Rental Costs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Film rental costs are accrued based on the applicable box office receipts and estimates of the final settlement to the film licensees.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Advertising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expense our advertising as incurred. The amount of our advertising expense was $2.3 million, $2.3 million, and $2.3 million 2017, 2016, and 2015, respectively.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Operating Leases</w:t>
      </w:r>
    </w:p>
    <w:p>
      <w:pPr>
        <w:spacing w:after="0" w:line="3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A majority of our cinema operations are conducted in premises under non-cancellable lease arrangements with initial base terms generally ranging between 5 to 15 years, with certain leases containing renewal options to extend the lease term to an additional term of up to 20 years. We evaluated the classification of our leases and concluded all of these arrangements as operating leases. Lease expense is recorded on a straight-line basis over the initial base terms, taking into effect any rate change clauses. Any subsequent increases or decreases in rental payments that result from factors not anticipated during lease inception or factors that are based on meeting future targets, other than indexation factors, represent contingent rentals and are fully accruable at the period the trigger event occurs.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Share-based Compensation</w:t>
      </w:r>
    </w:p>
    <w:p>
      <w:pPr>
        <w:spacing w:after="0" w:line="3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Times New Roman" w:cs="Times New Roman" w:eastAsia="Times New Roman" w:hAnsi="Times New Roman"/>
          <w:sz w:val="14"/>
          <w:szCs w:val="14"/>
          <w:i w:val="1"/>
          <w:iCs w:val="1"/>
          <w:color w:val="auto"/>
        </w:rPr>
        <w:t>Note 14 – Share-based Compensation and Repurchase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Plans </w:t>
      </w:r>
      <w:r>
        <w:rPr>
          <w:rFonts w:ascii="Times New Roman" w:cs="Times New Roman" w:eastAsia="Times New Roman" w:hAnsi="Times New Roman"/>
          <w:sz w:val="14"/>
          <w:szCs w:val="14"/>
          <w:color w:val="auto"/>
        </w:rPr>
        <w:t>for further details.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Treasury Shares</w:t>
      </w:r>
    </w:p>
    <w:p>
      <w:pPr>
        <w:spacing w:after="0" w:line="3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4"/>
          <w:szCs w:val="14"/>
          <w:color w:val="auto"/>
        </w:rPr>
        <w:t xml:space="preserve">In recent years, we repurchased our own Class A common shares as part of a publicly announced stock repurchase plan with no current intent for retiring those reacquired shares. We account for these repurchases using the cost method and present as a separate line within the Stockholders’ Equity section in our consolidated balance sheets. Refer to </w:t>
      </w:r>
      <w:r>
        <w:rPr>
          <w:rFonts w:ascii="Times New Roman" w:cs="Times New Roman" w:eastAsia="Times New Roman" w:hAnsi="Times New Roman"/>
          <w:sz w:val="14"/>
          <w:szCs w:val="14"/>
          <w:i w:val="1"/>
          <w:iCs w:val="1"/>
          <w:color w:val="auto"/>
        </w:rPr>
        <w:t>Note 14 – Share-based Compensation and Repurchase Plans</w:t>
      </w:r>
      <w:r>
        <w:rPr>
          <w:rFonts w:ascii="Times New Roman" w:cs="Times New Roman" w:eastAsia="Times New Roman" w:hAnsi="Times New Roman"/>
          <w:sz w:val="14"/>
          <w:szCs w:val="14"/>
          <w:color w:val="auto"/>
        </w:rPr>
        <w:t xml:space="preserve"> for further details of our stock buyback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Insurance Recoveries and Other Contingency Matters</w:t>
      </w:r>
    </w:p>
    <w:p>
      <w:pPr>
        <w:spacing w:after="0" w:line="32" w:lineRule="exact"/>
        <w:rPr>
          <w:sz w:val="20"/>
          <w:szCs w:val="20"/>
          <w:color w:val="auto"/>
        </w:rPr>
      </w:pPr>
    </w:p>
    <w:p>
      <w:pPr>
        <w:ind w:left="260" w:right="60" w:hanging="252"/>
        <w:spacing w:after="0" w:line="277" w:lineRule="auto"/>
        <w:tabs>
          <w:tab w:leader="none" w:pos="260" w:val="left"/>
        </w:tabs>
        <w:numPr>
          <w:ilvl w:val="0"/>
          <w:numId w:val="6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Loss contingencies </w:t>
      </w:r>
      <w:r>
        <w:rPr>
          <w:rFonts w:ascii="Times New Roman" w:cs="Times New Roman" w:eastAsia="Times New Roman" w:hAnsi="Times New Roman"/>
          <w:sz w:val="14"/>
          <w:szCs w:val="14"/>
          <w:color w:val="auto"/>
        </w:rPr>
        <w:t>– we record any loss contingencies if there is a “probable” likelihood that the liability had been incurred, and the amount of the loss can be reasonably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estimated.</w:t>
      </w:r>
    </w:p>
    <w:p>
      <w:pPr>
        <w:spacing w:after="0" w:line="99" w:lineRule="exact"/>
        <w:rPr>
          <w:rFonts w:ascii="Times New Roman" w:cs="Times New Roman" w:eastAsia="Times New Roman" w:hAnsi="Times New Roman"/>
          <w:sz w:val="14"/>
          <w:szCs w:val="14"/>
          <w:i w:val="1"/>
          <w:iCs w:val="1"/>
          <w:color w:val="auto"/>
        </w:rPr>
      </w:pPr>
    </w:p>
    <w:p>
      <w:pPr>
        <w:ind w:left="260" w:hanging="252"/>
        <w:spacing w:after="0"/>
        <w:tabs>
          <w:tab w:leader="none" w:pos="260" w:val="left"/>
        </w:tabs>
        <w:numPr>
          <w:ilvl w:val="0"/>
          <w:numId w:val="6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Gain contingencies</w:t>
      </w:r>
      <w:r>
        <w:rPr>
          <w:rFonts w:ascii="Times New Roman" w:cs="Times New Roman" w:eastAsia="Times New Roman" w:hAnsi="Times New Roman"/>
          <w:sz w:val="14"/>
          <w:szCs w:val="14"/>
          <w:color w:val="auto"/>
        </w:rPr>
        <w:t>:</w:t>
      </w:r>
    </w:p>
    <w:p>
      <w:pPr>
        <w:spacing w:after="0" w:line="29" w:lineRule="exact"/>
        <w:rPr>
          <w:rFonts w:ascii="Times New Roman" w:cs="Times New Roman" w:eastAsia="Times New Roman" w:hAnsi="Times New Roman"/>
          <w:sz w:val="14"/>
          <w:szCs w:val="14"/>
          <w:i w:val="1"/>
          <w:iCs w:val="1"/>
          <w:color w:val="auto"/>
        </w:rPr>
      </w:pPr>
    </w:p>
    <w:p>
      <w:pPr>
        <w:ind w:left="460" w:right="100" w:hanging="192"/>
        <w:spacing w:after="0" w:line="258" w:lineRule="auto"/>
        <w:tabs>
          <w:tab w:leader="none" w:pos="4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 recoveries</w:t>
      </w:r>
      <w:r>
        <w:rPr>
          <w:rFonts w:ascii="Times New Roman" w:cs="Times New Roman" w:eastAsia="Times New Roman" w:hAnsi="Times New Roman"/>
          <w:sz w:val="14"/>
          <w:szCs w:val="14"/>
          <w:color w:val="auto"/>
        </w:rPr>
        <w:t xml:space="preserve"> – 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w:t>
      </w:r>
    </w:p>
    <w:p>
      <w:pPr>
        <w:spacing w:after="0" w:line="1" w:lineRule="exact"/>
        <w:rPr>
          <w:rFonts w:ascii="Times New Roman" w:cs="Times New Roman" w:eastAsia="Times New Roman" w:hAnsi="Times New Roman"/>
          <w:sz w:val="14"/>
          <w:szCs w:val="14"/>
          <w:color w:val="auto"/>
        </w:rPr>
      </w:pPr>
    </w:p>
    <w:p>
      <w:pPr>
        <w:ind w:left="460" w:hanging="192"/>
        <w:spacing w:after="0"/>
        <w:tabs>
          <w:tab w:leader="none" w:pos="4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Others</w:t>
      </w:r>
      <w:r>
        <w:rPr>
          <w:rFonts w:ascii="Times New Roman" w:cs="Times New Roman" w:eastAsia="Times New Roman" w:hAnsi="Times New Roman"/>
          <w:sz w:val="14"/>
          <w:szCs w:val="14"/>
          <w:color w:val="auto"/>
        </w:rPr>
        <w:t xml:space="preserve"> – other gain contingencies typically result from legal settlements and we record those settlements in income when cash or other forms of payments are received.</w:t>
      </w:r>
    </w:p>
    <w:p>
      <w:pPr>
        <w:spacing w:after="0" w:line="171"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4"/>
          <w:szCs w:val="14"/>
          <w:color w:val="auto"/>
        </w:rPr>
        <w:t>Legal costs relating to our litigation matters, whether we are the plaintiff or the defendant, are recorded when incurred. For the years ended December 31, 2017, 2016, and 2015, we recorded gains/(losses) relating to litigation settlement of $1.8 million, $415,000, and ($495,000),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Translation Policy</w:t>
      </w:r>
    </w:p>
    <w:p>
      <w:pPr>
        <w:spacing w:after="0" w:line="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122"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4"/>
          <w:szCs w:val="14"/>
          <w:color w:val="auto"/>
        </w:rPr>
        <w:t>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4"/>
              </w:rPr>
              <w:t>As of and for the year</w:t>
            </w: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As of and for the year</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As of and for the year ended</w:t>
            </w:r>
          </w:p>
        </w:tc>
      </w:tr>
      <w:tr>
        <w:trPr>
          <w:trHeight w:val="140"/>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ended December 31, 2017</w:t>
            </w: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6"/>
              </w:rPr>
              <w:t>ended December 31, 2016</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December 31, 2015</w:t>
            </w:r>
          </w:p>
        </w:tc>
      </w:tr>
      <w:tr>
        <w:trPr>
          <w:trHeight w:val="143"/>
        </w:trPr>
        <w:tc>
          <w:tcPr>
            <w:tcW w:w="500" w:type="dxa"/>
            <w:vAlign w:val="bottom"/>
            <w:tcBorders>
              <w:top w:val="single" w:sz="8" w:color="CCEEFF"/>
              <w:bottom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Spot Rate</w:t>
            </w:r>
          </w:p>
        </w:tc>
        <w:tc>
          <w:tcPr>
            <w:tcW w:w="19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380" w:type="dxa"/>
            <w:vAlign w:val="bottom"/>
            <w:tcBorders>
              <w:top w:val="single" w:sz="8" w:color="auto"/>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auto"/>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42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41"/>
        </w:trPr>
        <w:tc>
          <w:tcPr>
            <w:tcW w:w="24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Australian Dollar</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0.7815</w:t>
            </w:r>
          </w:p>
        </w:tc>
        <w:tc>
          <w:tcPr>
            <w:tcW w:w="4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0.7230</w:t>
            </w:r>
          </w:p>
        </w:tc>
        <w:tc>
          <w:tcPr>
            <w:tcW w:w="4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0.7286</w:t>
            </w:r>
          </w:p>
        </w:tc>
      </w:tr>
      <w:tr>
        <w:trPr>
          <w:trHeight w:val="141"/>
        </w:trPr>
        <w:tc>
          <w:tcPr>
            <w:tcW w:w="2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New Zealand Dollar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0.7100</w:t>
            </w: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0.6958</w:t>
            </w: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0.6842</w:t>
            </w:r>
          </w:p>
        </w:tc>
      </w:tr>
      <w:tr>
        <w:trPr>
          <w:trHeight w:val="130"/>
        </w:trPr>
        <w:tc>
          <w:tcPr>
            <w:tcW w:w="2400" w:type="dxa"/>
            <w:vAlign w:val="bottom"/>
            <w:gridSpan w:val="3"/>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Average Rate</w:t>
            </w: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32"/>
        </w:trPr>
        <w:tc>
          <w:tcPr>
            <w:tcW w:w="2400" w:type="dxa"/>
            <w:vAlign w:val="bottom"/>
            <w:gridSpan w:val="3"/>
            <w:shd w:val="clear" w:color="auto" w:fill="CCEEFF"/>
          </w:tcPr>
          <w:p>
            <w:pPr>
              <w:ind w:left="180"/>
              <w:spacing w:after="0" w:line="132" w:lineRule="exact"/>
              <w:rPr>
                <w:sz w:val="20"/>
                <w:szCs w:val="20"/>
                <w:color w:val="auto"/>
              </w:rPr>
            </w:pPr>
            <w:r>
              <w:rPr>
                <w:rFonts w:ascii="Times New Roman" w:cs="Times New Roman" w:eastAsia="Times New Roman" w:hAnsi="Times New Roman"/>
                <w:sz w:val="12"/>
                <w:szCs w:val="12"/>
                <w:color w:val="auto"/>
              </w:rPr>
              <w:t>Australian Dollar</w:t>
            </w:r>
          </w:p>
        </w:tc>
        <w:tc>
          <w:tcPr>
            <w:tcW w:w="138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6"/>
              </w:rPr>
              <w:t>0.7670</w:t>
            </w:r>
          </w:p>
        </w:tc>
        <w:tc>
          <w:tcPr>
            <w:tcW w:w="44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6"/>
              </w:rPr>
              <w:t>0.7440</w:t>
            </w:r>
          </w:p>
        </w:tc>
        <w:tc>
          <w:tcPr>
            <w:tcW w:w="46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6"/>
              </w:rPr>
              <w:t>0.7524</w:t>
            </w:r>
          </w:p>
        </w:tc>
      </w:tr>
      <w:tr>
        <w:trPr>
          <w:trHeight w:val="153"/>
        </w:trPr>
        <w:tc>
          <w:tcPr>
            <w:tcW w:w="24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New Zealand Dollar</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0.7111</w:t>
            </w:r>
          </w:p>
        </w:tc>
        <w:tc>
          <w:tcPr>
            <w:tcW w:w="4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0.6973</w:t>
            </w:r>
          </w:p>
        </w:tc>
        <w:tc>
          <w:tcPr>
            <w:tcW w:w="4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0.7004</w:t>
            </w:r>
          </w:p>
        </w:tc>
      </w:tr>
    </w:tbl>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40"/>
          </w:cols>
          <w:pgMar w:left="1000" w:top="294" w:right="7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Income Taxes</w:t>
      </w:r>
    </w:p>
    <w:p>
      <w:pPr>
        <w:spacing w:after="0" w:line="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spacing w:after="0" w:line="28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We recognize deferred tax assets to the extent that we believe that these assets are more likely than not to be realized.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w:t>
      </w:r>
    </w:p>
    <w:p>
      <w:pPr>
        <w:spacing w:after="0" w:line="111"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4"/>
          <w:szCs w:val="14"/>
          <w:color w:val="auto"/>
        </w:rPr>
        <w:t>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8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4"/>
          <w:szCs w:val="14"/>
          <w:color w:val="auto"/>
        </w:rPr>
        <w:t>We recognize tax liabilities for uncertain tax positions and adjust these liabilities when our judgment changes as a result of the evaluation of new information not previously available. We record interest and penalties related to income tax matters as part of income tax expense and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spacing w:after="0" w:line="10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The Tax Act creates a new requirement for U.S. corporations to include in U.S. taxable income certain earnings of their foreign subsidiaries, effective beginning tax year 2018. The Global Intangible Low Taxed Income (“GILTI”) framework effectively introduces a minimum tax on foreign earnings of U.S. based consolidated groups. Because of the complexity of the new tax rules related to GILTI, we are continuing to evaluate this provision of the Tax Act and the application of ASC 740, Income Taxes. As of December 31, 2017, we have not made a policy decision on whether to record deferred tax on GILTI or account for it as a current period expense when incurred.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Earnings Per Share</w:t>
      </w:r>
    </w:p>
    <w:p>
      <w:pPr>
        <w:spacing w:after="0" w:line="3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The Company presents both basic and diluted earnings per share amounts. Basic EPS is calculated by dividing net income attributable to the Company by the weighted average number of common shares outstanding during the year. Diluted EPS is based upon the weighted average number of common and common equivalent shares outstanding during the year, which is calculated using the treasury-stock method for equity-based awards. Common equivalent shares are excluded from the computation of diluted EPS in periods for which they have an anti-dilutive effect. Stock options for which the exercise price exceeds the average market price over the period are anti-dilutive and, accordingly, are excluded from the calculation.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Business Acquisition Valuation and Purchase Price Allocation</w:t>
      </w:r>
    </w:p>
    <w:p>
      <w:pPr>
        <w:spacing w:after="0" w:line="3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 xml:space="preserve">In recent years, our business acquisition efforts have been focused on our real estate segment. For real estate acquisitions meeting the definition of a “business”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the assets acquired and the liabilities assumed are recorded at their fair values as of the acquisition date. To accomplish this, we typically obtain third 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described as follows:</w:t>
      </w:r>
    </w:p>
    <w:p>
      <w:pPr>
        <w:spacing w:after="0" w:line="109" w:lineRule="exact"/>
        <w:rPr>
          <w:sz w:val="20"/>
          <w:szCs w:val="20"/>
          <w:color w:val="auto"/>
        </w:rPr>
      </w:pPr>
    </w:p>
    <w:p>
      <w:pPr>
        <w:ind w:left="260" w:hanging="252"/>
        <w:spacing w:after="0" w:line="269" w:lineRule="auto"/>
        <w:tabs>
          <w:tab w:leader="none" w:pos="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Tangible assets – </w:t>
      </w:r>
      <w:r>
        <w:rPr>
          <w:rFonts w:ascii="Times New Roman" w:cs="Times New Roman" w:eastAsia="Times New Roman" w:hAnsi="Times New Roman"/>
          <w:sz w:val="14"/>
          <w:szCs w:val="14"/>
          <w:color w:val="auto"/>
        </w:rPr>
        <w:t>we allocate the purchase price to the tangible assets of an acquired property (which typically includes land, building and site/tenant improvements) 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site/tenant improvements are based on present values determined based upon the application of hypothetical leases with market rates and terms. Building and site improvements are depreciated over their remaining economic lives, while tenant improvements are depreciated over the remaining non-cancelable terms of the respective leases.</w:t>
      </w:r>
    </w:p>
    <w:p>
      <w:pPr>
        <w:spacing w:after="0" w:line="106"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Intangible assets and liabilities – </w:t>
      </w:r>
      <w:r>
        <w:rPr>
          <w:rFonts w:ascii="Times New Roman" w:cs="Times New Roman" w:eastAsia="Times New Roman" w:hAnsi="Times New Roman"/>
          <w:sz w:val="14"/>
          <w:szCs w:val="14"/>
          <w:color w:val="auto"/>
        </w:rPr>
        <w:t>the valuation of the intangible assets and liabilities in a typical real estate acquisition is described below:</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4" w:right="739" w:bottom="1440" w:gutter="0" w:footer="0" w:header="0"/>
        </w:sectPr>
      </w:pPr>
    </w:p>
    <w:bookmarkStart w:id="73" w:name="page74"/>
    <w:bookmarkEnd w:id="73"/>
    <w:p>
      <w:pPr>
        <w:ind w:left="460" w:right="80" w:hanging="192"/>
        <w:spacing w:after="0" w:line="269" w:lineRule="auto"/>
        <w:tabs>
          <w:tab w:leader="none" w:pos="4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Above-market and below-market leases </w:t>
      </w:r>
      <w:r>
        <w:rPr>
          <w:rFonts w:ascii="Times New Roman" w:cs="Times New Roman" w:eastAsia="Times New Roman" w:hAnsi="Times New Roman"/>
          <w:sz w:val="14"/>
          <w:szCs w:val="14"/>
          <w:color w:val="auto"/>
        </w:rPr>
        <w:t>– we record above-market and below-market in-place lease values for acquired properties based on the present value (using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(an intangible asset) and capitalized below-market lease values (an intangible liability) over the remaining non-cancelable terms of the respective leases.</w:t>
      </w:r>
    </w:p>
    <w:p>
      <w:pPr>
        <w:spacing w:after="0" w:line="106" w:lineRule="exact"/>
        <w:rPr>
          <w:rFonts w:ascii="Times New Roman" w:cs="Times New Roman" w:eastAsia="Times New Roman" w:hAnsi="Times New Roman"/>
          <w:sz w:val="14"/>
          <w:szCs w:val="14"/>
          <w:color w:val="auto"/>
        </w:rPr>
      </w:pPr>
    </w:p>
    <w:p>
      <w:pPr>
        <w:ind w:left="460" w:right="60" w:hanging="192"/>
        <w:spacing w:after="0" w:line="265" w:lineRule="auto"/>
        <w:tabs>
          <w:tab w:leader="none" w:pos="4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Benefit of avoided costs due to existing tenancies </w:t>
      </w:r>
      <w:r>
        <w:rPr>
          <w:rFonts w:ascii="Times New Roman" w:cs="Times New Roman" w:eastAsia="Times New Roman" w:hAnsi="Times New Roman"/>
          <w:sz w:val="14"/>
          <w:szCs w:val="14"/>
          <w:color w:val="auto"/>
        </w:rPr>
        <w:t>– this typically includes (i) in-place leases (the value of avoided lease-up costs) and (ii) leasing commissions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legal/marketing costs avoided with the leases in place. We measure the fair values of the in-place leases based on the difference between (i) the property valued with existing in-place leases adjusted to market rental rates and (ii) the property valued as if vacant. Factors considered in the fair value determination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109" w:lineRule="exact"/>
        <w:rPr>
          <w:sz w:val="20"/>
          <w:szCs w:val="20"/>
          <w:color w:val="auto"/>
        </w:rPr>
      </w:pPr>
    </w:p>
    <w:p>
      <w:pPr>
        <w:ind w:left="460" w:right="460"/>
        <w:spacing w:after="0" w:line="300" w:lineRule="auto"/>
        <w:rPr>
          <w:sz w:val="20"/>
          <w:szCs w:val="20"/>
          <w:color w:val="auto"/>
        </w:rPr>
      </w:pPr>
      <w:r>
        <w:rPr>
          <w:rFonts w:ascii="Times New Roman" w:cs="Times New Roman" w:eastAsia="Times New Roman" w:hAnsi="Times New Roman"/>
          <w:sz w:val="14"/>
          <w:szCs w:val="14"/>
          <w:color w:val="auto"/>
        </w:rPr>
        <w:t>We amortize the value of in-place leases and unamortized leasing origination costs to expense over the remaining term of the respective leases. Should a tenant terminate its lease, the unamortized portion of the in-place lease values and leasing origination costs will be charged to expense.</w:t>
      </w:r>
    </w:p>
    <w:p>
      <w:pPr>
        <w:spacing w:after="0" w:line="86"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4"/>
          <w:szCs w:val="14"/>
          <w:color w:val="auto"/>
        </w:rPr>
        <w:t xml:space="preserve">These assessments have a direct impact on revenue and net income, particularly on the depreciable base of the allocated assets which will impact the timing of expense allocation. In accordance with our adoption of </w:t>
      </w:r>
      <w:r>
        <w:rPr>
          <w:rFonts w:ascii="Times New Roman" w:cs="Times New Roman" w:eastAsia="Times New Roman" w:hAnsi="Times New Roman"/>
          <w:sz w:val="14"/>
          <w:szCs w:val="14"/>
          <w:i w:val="1"/>
          <w:iCs w:val="1"/>
          <w:color w:val="auto"/>
        </w:rPr>
        <w:t>ASU 2015-16</w:t>
      </w:r>
      <w:r>
        <w:rPr>
          <w:rFonts w:ascii="Times New Roman" w:cs="Times New Roman" w:eastAsia="Times New Roman" w:hAnsi="Times New Roman"/>
          <w:sz w:val="14"/>
          <w:szCs w:val="14"/>
          <w:color w:val="auto"/>
        </w:rPr>
        <w:t>, we record the changes in depreciation and amortization in the period we finalized our purchase price allocation.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Changes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Accounting Principle during the fourth quarter of fiscal year 2016</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Prior to 2014, we recognized revenue for our gift cards and gift certificates issued in the U.S., which do not expire and have no dormancy fees, only when they were redeemed. At the end of fourth quarter of 2016, we determined that we have sufficient historical information to recognize breakage income on them. Based on our review of our own historical redemption patterns using company-wide data accumulated over many years, we considered it preferable to estimate a certain percentage of our gift card and gift certificate sales to be recorded as breakage income as it better reflects of our historical redemption patterns and our earnings process. Effectively, we concluded that a portion of these sales may have a remote likelihood of redemption based on our own historical redemption patterns and thus the liability is derecognized for them. We will continue to review historical gift card redemption information at each reporting period to assess the continued appropriateness of the gift card breakage rates and pattern of redemption. In accordance with ASC 250, </w:t>
      </w:r>
      <w:r>
        <w:rPr>
          <w:rFonts w:ascii="Times New Roman" w:cs="Times New Roman" w:eastAsia="Times New Roman" w:hAnsi="Times New Roman"/>
          <w:sz w:val="14"/>
          <w:szCs w:val="14"/>
          <w:i w:val="1"/>
          <w:iCs w:val="1"/>
          <w:color w:val="auto"/>
        </w:rPr>
        <w:t>Accounting Changes and Error Corrections</w:t>
      </w:r>
      <w:r>
        <w:rPr>
          <w:rFonts w:ascii="Times New Roman" w:cs="Times New Roman" w:eastAsia="Times New Roman" w:hAnsi="Times New Roman"/>
          <w:sz w:val="14"/>
          <w:szCs w:val="14"/>
          <w:color w:val="auto"/>
        </w:rPr>
        <w:t>, the Company adjusted its comparative financial statements as of and for the years ended December 31, 2015 and 2014 to apply this new accounting policy.</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color w:val="auto"/>
        </w:rPr>
        <w:t>The impact of this change in accounting principle to our current and prior years’ financial statements is presented in the following tables (in condensed format):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Consolidated Statements of Operations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700" w:type="dxa"/>
            <w:vAlign w:val="bottom"/>
            <w:tcBorders>
              <w:top w:val="single" w:sz="8" w:color="auto"/>
              <w:left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2017</w:t>
            </w:r>
          </w:p>
        </w:tc>
        <w:tc>
          <w:tcPr>
            <w:tcW w:w="1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2016</w:t>
            </w:r>
          </w:p>
        </w:tc>
        <w:tc>
          <w:tcPr>
            <w:tcW w:w="1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2015</w:t>
            </w:r>
          </w:p>
        </w:tc>
        <w:tc>
          <w:tcPr>
            <w:tcW w:w="1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700" w:type="dxa"/>
            <w:vAlign w:val="bottom"/>
            <w:tcBorders>
              <w:lef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rPr>
              <w:t>With</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rPr>
              <w:t>Without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Effect of</w:t>
            </w:r>
          </w:p>
        </w:tc>
        <w:tc>
          <w:tcPr>
            <w:tcW w:w="200" w:type="dxa"/>
            <w:vAlign w:val="bottom"/>
          </w:tcPr>
          <w:p>
            <w:pPr>
              <w:spacing w:after="0"/>
              <w:rPr>
                <w:sz w:val="8"/>
                <w:szCs w:val="8"/>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w w:val="86"/>
              </w:rPr>
              <w:t>With breakage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0"/>
                <w:szCs w:val="10"/>
                <w:b w:val="1"/>
                <w:bCs w:val="1"/>
                <w:color w:val="auto"/>
              </w:rPr>
              <w:t>Without</w:t>
            </w:r>
          </w:p>
        </w:tc>
        <w:tc>
          <w:tcPr>
            <w:tcW w:w="80" w:type="dxa"/>
            <w:vAlign w:val="bottom"/>
          </w:tcPr>
          <w:p>
            <w:pPr>
              <w:spacing w:after="0"/>
              <w:rPr>
                <w:sz w:val="8"/>
                <w:szCs w:val="8"/>
                <w:color w:val="auto"/>
              </w:rPr>
            </w:pPr>
          </w:p>
        </w:tc>
        <w:tc>
          <w:tcPr>
            <w:tcW w:w="52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6"/>
              </w:rPr>
              <w:t>Effect of</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4"/>
            <w:vMerge w:val="restart"/>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7"/>
              </w:rPr>
              <w:t>As previously</w:t>
            </w:r>
          </w:p>
        </w:tc>
        <w:tc>
          <w:tcPr>
            <w:tcW w:w="80" w:type="dxa"/>
            <w:vAlign w:val="bottom"/>
          </w:tcPr>
          <w:p>
            <w:pPr>
              <w:spacing w:after="0"/>
              <w:rPr>
                <w:sz w:val="8"/>
                <w:szCs w:val="8"/>
                <w:color w:val="auto"/>
              </w:rPr>
            </w:pPr>
          </w:p>
        </w:tc>
        <w:tc>
          <w:tcPr>
            <w:tcW w:w="560" w:type="dxa"/>
            <w:vAlign w:val="bottom"/>
            <w:tcBorders>
              <w:right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Effect of</w:t>
            </w:r>
          </w:p>
        </w:tc>
        <w:tc>
          <w:tcPr>
            <w:tcW w:w="0" w:type="dxa"/>
            <w:vAlign w:val="bottom"/>
          </w:tcPr>
          <w:p>
            <w:pPr>
              <w:spacing w:after="0"/>
              <w:rPr>
                <w:sz w:val="1"/>
                <w:szCs w:val="1"/>
                <w:color w:val="auto"/>
              </w:rPr>
            </w:pPr>
          </w:p>
        </w:tc>
      </w:tr>
      <w:tr>
        <w:trPr>
          <w:trHeight w:val="119"/>
        </w:trPr>
        <w:tc>
          <w:tcPr>
            <w:tcW w:w="274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20" w:type="dxa"/>
            <w:vAlign w:val="bottom"/>
          </w:tcPr>
          <w:p>
            <w:pPr>
              <w:spacing w:after="0"/>
              <w:rPr>
                <w:sz w:val="10"/>
                <w:szCs w:val="10"/>
                <w:color w:val="auto"/>
              </w:rPr>
            </w:pPr>
          </w:p>
        </w:tc>
        <w:tc>
          <w:tcPr>
            <w:tcW w:w="7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breakage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breakage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w w:val="97"/>
              </w:rPr>
              <w:t>breakage</w:t>
            </w: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8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Borders>
              <w:left w:val="single" w:sz="8" w:color="auto"/>
              <w:bottom w:val="single" w:sz="8" w:color="auto"/>
            </w:tcBorders>
            <w:gridSpan w:val="2"/>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revenue</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revenue</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change</w:t>
            </w: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3"/>
              </w:rPr>
              <w:t>revenue</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Revenues</w:t>
            </w:r>
          </w:p>
        </w:tc>
        <w:tc>
          <w:tcPr>
            <w:tcW w:w="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279,734</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279,126</w:t>
            </w:r>
          </w:p>
        </w:tc>
        <w:tc>
          <w:tcPr>
            <w:tcW w:w="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270,473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269,855</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color w:val="auto"/>
              </w:rPr>
              <w:t>257,865</w:t>
            </w:r>
          </w:p>
        </w:tc>
        <w:tc>
          <w:tcPr>
            <w:tcW w:w="16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right w:val="single" w:sz="8" w:color="CCEEFF"/>
            </w:tcBorders>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257,323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Costs and expenses</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(259,173)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(259,173)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(250,162)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(250,162)</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(234,169)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62"/>
              <w:spacing w:after="0"/>
              <w:rPr>
                <w:sz w:val="20"/>
                <w:szCs w:val="20"/>
                <w:color w:val="auto"/>
              </w:rPr>
            </w:pPr>
            <w:r>
              <w:rPr>
                <w:rFonts w:ascii="Times New Roman" w:cs="Times New Roman" w:eastAsia="Times New Roman" w:hAnsi="Times New Roman"/>
                <w:sz w:val="12"/>
                <w:szCs w:val="12"/>
                <w:color w:val="auto"/>
              </w:rPr>
              <w:t>(234,169)</w:t>
            </w:r>
          </w:p>
        </w:tc>
        <w:tc>
          <w:tcPr>
            <w:tcW w:w="80" w:type="dxa"/>
            <w:vAlign w:val="bottom"/>
          </w:tcPr>
          <w:p>
            <w:pPr>
              <w:spacing w:after="0"/>
              <w:rPr>
                <w:sz w:val="15"/>
                <w:szCs w:val="15"/>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4"/>
        </w:trPr>
        <w:tc>
          <w:tcPr>
            <w:tcW w:w="2740" w:type="dxa"/>
            <w:vAlign w:val="bottom"/>
            <w:tcBorders>
              <w:top w:val="single" w:sz="8" w:color="CCEEFF"/>
              <w:lef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income</w:t>
            </w:r>
          </w:p>
        </w:tc>
        <w:tc>
          <w:tcPr>
            <w:tcW w:w="1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20,561</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19,953</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0"/>
              </w:rPr>
              <w:t>20,311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19,693</w:t>
            </w: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color w:val="auto"/>
              </w:rPr>
              <w:t>23,696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right w:val="single" w:sz="8" w:color="CCEEFF"/>
            </w:tcBorders>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23,154</w:t>
            </w: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Interest expense (net), casualty loss and others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1"/>
              </w:rPr>
              <w:t>(7,873)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(7,873)</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3,279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102"/>
              <w:spacing w:after="0"/>
              <w:rPr>
                <w:sz w:val="20"/>
                <w:szCs w:val="20"/>
                <w:color w:val="auto"/>
              </w:rPr>
            </w:pPr>
            <w:r>
              <w:rPr>
                <w:rFonts w:ascii="Times New Roman" w:cs="Times New Roman" w:eastAsia="Times New Roman" w:hAnsi="Times New Roman"/>
                <w:sz w:val="12"/>
                <w:szCs w:val="12"/>
                <w:color w:val="auto"/>
              </w:rPr>
              <w:t>3,279</w:t>
            </w:r>
          </w:p>
        </w:tc>
        <w:tc>
          <w:tcPr>
            <w:tcW w:w="80" w:type="dxa"/>
            <w:vAlign w:val="bottom"/>
          </w:tcPr>
          <w:p>
            <w:pPr>
              <w:spacing w:after="0"/>
              <w:rPr>
                <w:sz w:val="15"/>
                <w:szCs w:val="15"/>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2"/>
        </w:trPr>
        <w:tc>
          <w:tcPr>
            <w:tcW w:w="2740" w:type="dxa"/>
            <w:vAlign w:val="bottom"/>
            <w:tcBorders>
              <w:top w:val="single" w:sz="8" w:color="CCEEFF"/>
              <w:left w:val="single" w:sz="8" w:color="auto"/>
            </w:tcBorders>
            <w:gridSpan w:val="2"/>
            <w:shd w:val="clear" w:color="auto" w:fill="CCEEFF"/>
          </w:tcPr>
          <w:p>
            <w:pPr>
              <w:ind w:left="20"/>
              <w:spacing w:after="0" w:line="82" w:lineRule="exact"/>
              <w:rPr>
                <w:sz w:val="20"/>
                <w:szCs w:val="20"/>
                <w:color w:val="auto"/>
              </w:rPr>
            </w:pPr>
            <w:r>
              <w:rPr>
                <w:rFonts w:ascii="Times New Roman" w:cs="Times New Roman" w:eastAsia="Times New Roman" w:hAnsi="Times New Roman"/>
                <w:sz w:val="9"/>
                <w:szCs w:val="9"/>
                <w:color w:val="auto"/>
              </w:rPr>
              <w:t>Income before income taxes and equity earnings of</w:t>
            </w:r>
          </w:p>
        </w:tc>
        <w:tc>
          <w:tcPr>
            <w:tcW w:w="1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right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righ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auto"/>
              <w:right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740" w:type="dxa"/>
            <w:vAlign w:val="bottom"/>
            <w:tcBorders>
              <w:left w:val="single" w:sz="8" w:color="auto"/>
            </w:tcBorders>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2"/>
                <w:szCs w:val="12"/>
                <w:color w:val="auto"/>
              </w:rPr>
              <w:t>unconsolidated joint ventures</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33,532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32,924</w:t>
            </w: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608</w:t>
            </w: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tcBorders>
              <w:right w:val="single" w:sz="8" w:color="CCEEFF"/>
            </w:tcBorders>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w w:val="90"/>
              </w:rPr>
              <w:t>12,438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11,820</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618</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5"/>
              <w:spacing w:after="0" w:line="137" w:lineRule="exact"/>
              <w:rPr>
                <w:sz w:val="20"/>
                <w:szCs w:val="20"/>
                <w:color w:val="auto"/>
              </w:rPr>
            </w:pPr>
            <w:r>
              <w:rPr>
                <w:rFonts w:ascii="Times New Roman" w:cs="Times New Roman" w:eastAsia="Times New Roman" w:hAnsi="Times New Roman"/>
                <w:sz w:val="12"/>
                <w:szCs w:val="12"/>
                <w:color w:val="auto"/>
              </w:rPr>
              <w:t>26,975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3"/>
            <w:shd w:val="clear" w:color="auto" w:fill="CCEEFF"/>
          </w:tcPr>
          <w:p>
            <w:pPr>
              <w:jc w:val="right"/>
              <w:ind w:right="102"/>
              <w:spacing w:after="0" w:line="137" w:lineRule="exact"/>
              <w:rPr>
                <w:sz w:val="20"/>
                <w:szCs w:val="20"/>
                <w:color w:val="auto"/>
              </w:rPr>
            </w:pPr>
            <w:r>
              <w:rPr>
                <w:rFonts w:ascii="Times New Roman" w:cs="Times New Roman" w:eastAsia="Times New Roman" w:hAnsi="Times New Roman"/>
                <w:sz w:val="12"/>
                <w:szCs w:val="12"/>
                <w:color w:val="auto"/>
              </w:rPr>
              <w:t>26,433</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542</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Equity earnings of unconsolidated joint ventures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1,204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102"/>
              <w:spacing w:after="0"/>
              <w:rPr>
                <w:sz w:val="20"/>
                <w:szCs w:val="20"/>
                <w:color w:val="auto"/>
              </w:rPr>
            </w:pPr>
            <w:r>
              <w:rPr>
                <w:rFonts w:ascii="Times New Roman" w:cs="Times New Roman" w:eastAsia="Times New Roman" w:hAnsi="Times New Roman"/>
                <w:sz w:val="12"/>
                <w:szCs w:val="12"/>
                <w:color w:val="auto"/>
              </w:rPr>
              <w:t>1,204</w:t>
            </w:r>
          </w:p>
        </w:tc>
        <w:tc>
          <w:tcPr>
            <w:tcW w:w="80" w:type="dxa"/>
            <w:vAlign w:val="bottom"/>
          </w:tcPr>
          <w:p>
            <w:pPr>
              <w:spacing w:after="0"/>
              <w:rPr>
                <w:sz w:val="15"/>
                <w:szCs w:val="15"/>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4"/>
        </w:trPr>
        <w:tc>
          <w:tcPr>
            <w:tcW w:w="2740" w:type="dxa"/>
            <w:vAlign w:val="bottom"/>
            <w:tcBorders>
              <w:top w:val="single" w:sz="8" w:color="CCEEFF"/>
              <w:lef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34,347</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33,739</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0"/>
              </w:rPr>
              <w:t>13,437</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12,819</w:t>
            </w: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color w:val="auto"/>
              </w:rPr>
              <w:t>28,179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right w:val="single" w:sz="8" w:color="CCEEFF"/>
            </w:tcBorders>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27,637</w:t>
            </w: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(3,337)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(239)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1"/>
              </w:rPr>
              <w:t>(4,020)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(3,787)</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(5,148)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62"/>
              <w:spacing w:after="0"/>
              <w:rPr>
                <w:sz w:val="20"/>
                <w:szCs w:val="20"/>
                <w:color w:val="auto"/>
              </w:rPr>
            </w:pPr>
            <w:r>
              <w:rPr>
                <w:rFonts w:ascii="Times New Roman" w:cs="Times New Roman" w:eastAsia="Times New Roman" w:hAnsi="Times New Roman"/>
                <w:sz w:val="12"/>
                <w:szCs w:val="12"/>
                <w:color w:val="auto"/>
              </w:rPr>
              <w:t>(4,943)</w:t>
            </w:r>
          </w:p>
        </w:tc>
        <w:tc>
          <w:tcPr>
            <w:tcW w:w="80" w:type="dxa"/>
            <w:vAlign w:val="bottom"/>
          </w:tcPr>
          <w:p>
            <w:pPr>
              <w:spacing w:after="0"/>
              <w:rPr>
                <w:sz w:val="15"/>
                <w:szCs w:val="15"/>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0" w:type="dxa"/>
            <w:vAlign w:val="bottom"/>
          </w:tcPr>
          <w:p>
            <w:pPr>
              <w:spacing w:after="0"/>
              <w:rPr>
                <w:sz w:val="1"/>
                <w:szCs w:val="1"/>
                <w:color w:val="auto"/>
              </w:rPr>
            </w:pPr>
          </w:p>
        </w:tc>
      </w:tr>
      <w:tr>
        <w:trPr>
          <w:trHeight w:val="20"/>
        </w:trPr>
        <w:tc>
          <w:tcPr>
            <w:tcW w:w="1700" w:type="dxa"/>
            <w:vAlign w:val="bottom"/>
            <w:tcBorders>
              <w:left w:val="single" w:sz="8" w:color="auto"/>
            </w:tcBorders>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tcBorders>
              <w:lef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31,010</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30,641</w:t>
            </w:r>
          </w:p>
        </w:tc>
        <w:tc>
          <w:tcPr>
            <w:tcW w:w="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369</w:t>
            </w: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4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9,417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9,032</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385</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23,031</w:t>
            </w:r>
          </w:p>
        </w:tc>
        <w:tc>
          <w:tcPr>
            <w:tcW w:w="16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right w:val="single" w:sz="8" w:color="CCEEFF"/>
            </w:tcBorders>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22,694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337</w:t>
            </w:r>
          </w:p>
        </w:tc>
        <w:tc>
          <w:tcPr>
            <w:tcW w:w="0" w:type="dxa"/>
            <w:vAlign w:val="bottom"/>
          </w:tcPr>
          <w:p>
            <w:pPr>
              <w:spacing w:after="0"/>
              <w:rPr>
                <w:sz w:val="1"/>
                <w:szCs w:val="1"/>
                <w:color w:val="auto"/>
              </w:rPr>
            </w:pPr>
          </w:p>
        </w:tc>
      </w:tr>
      <w:tr>
        <w:trPr>
          <w:trHeight w:val="22"/>
        </w:trPr>
        <w:tc>
          <w:tcPr>
            <w:tcW w:w="1700" w:type="dxa"/>
            <w:vAlign w:val="bottom"/>
            <w:tcBorders>
              <w:left w:val="single" w:sz="8" w:color="auto"/>
            </w:tcBorders>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4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Basic EPS</w:t>
            </w:r>
          </w:p>
        </w:tc>
        <w:tc>
          <w:tcPr>
            <w:tcW w:w="120" w:type="dxa"/>
            <w:vAlign w:val="bottom"/>
          </w:tcPr>
          <w:p>
            <w:pPr>
              <w:jc w:val="right"/>
              <w:ind w:right="5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1.35</w:t>
            </w:r>
          </w:p>
        </w:tc>
        <w:tc>
          <w:tcPr>
            <w:tcW w:w="100" w:type="dxa"/>
            <w:vAlign w:val="bottom"/>
          </w:tcPr>
          <w:p>
            <w:pPr>
              <w:spacing w:after="0"/>
              <w:rPr>
                <w:sz w:val="14"/>
                <w:szCs w:val="14"/>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1.33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0.02</w:t>
            </w:r>
          </w:p>
        </w:tc>
        <w:tc>
          <w:tcPr>
            <w:tcW w:w="120" w:type="dxa"/>
            <w:vAlign w:val="bottom"/>
          </w:tcPr>
          <w:p>
            <w:pPr>
              <w:spacing w:after="0"/>
              <w:rPr>
                <w:sz w:val="14"/>
                <w:szCs w:val="14"/>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4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0.40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0.39</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0.01</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0.99</w:t>
            </w:r>
          </w:p>
        </w:tc>
        <w:tc>
          <w:tcPr>
            <w:tcW w:w="160" w:type="dxa"/>
            <w:vAlign w:val="bottom"/>
            <w:gridSpan w:val="2"/>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tcPr>
          <w:p>
            <w:pPr>
              <w:spacing w:after="0"/>
              <w:rPr>
                <w:sz w:val="14"/>
                <w:szCs w:val="14"/>
                <w:color w:val="auto"/>
              </w:rPr>
            </w:pPr>
          </w:p>
        </w:tc>
        <w:tc>
          <w:tcPr>
            <w:tcW w:w="380" w:type="dxa"/>
            <w:vAlign w:val="bottom"/>
            <w:gridSpan w:val="2"/>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5"/>
              </w:rPr>
              <w:t>0.98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0.01</w:t>
            </w:r>
          </w:p>
        </w:tc>
        <w:tc>
          <w:tcPr>
            <w:tcW w:w="0" w:type="dxa"/>
            <w:vAlign w:val="bottom"/>
          </w:tcPr>
          <w:p>
            <w:pPr>
              <w:spacing w:after="0"/>
              <w:rPr>
                <w:sz w:val="1"/>
                <w:szCs w:val="1"/>
                <w:color w:val="auto"/>
              </w:rPr>
            </w:pPr>
          </w:p>
        </w:tc>
      </w:tr>
      <w:tr>
        <w:trPr>
          <w:trHeight w:val="175"/>
        </w:trPr>
        <w:tc>
          <w:tcPr>
            <w:tcW w:w="2740" w:type="dxa"/>
            <w:vAlign w:val="bottom"/>
            <w:tcBorders>
              <w:left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Diluted EPS</w:t>
            </w: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1.33</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1.32</w:t>
            </w:r>
          </w:p>
        </w:tc>
        <w:tc>
          <w:tcPr>
            <w:tcW w:w="32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0.02</w:t>
            </w: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0.40</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0.38</w:t>
            </w:r>
          </w:p>
        </w:tc>
        <w:tc>
          <w:tcPr>
            <w:tcW w:w="14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0.02</w:t>
            </w:r>
          </w:p>
        </w:tc>
        <w:tc>
          <w:tcPr>
            <w:tcW w:w="360" w:type="dxa"/>
            <w:vAlign w:val="bottom"/>
            <w:tcBorders>
              <w:bottom w:val="single" w:sz="8" w:color="auto"/>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bottom w:val="single" w:sz="8" w:color="auto"/>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0.98</w:t>
            </w:r>
          </w:p>
        </w:tc>
        <w:tc>
          <w:tcPr>
            <w:tcW w:w="160" w:type="dxa"/>
            <w:vAlign w:val="bottom"/>
            <w:tcBorders>
              <w:bottom w:val="single" w:sz="8" w:color="auto"/>
            </w:tcBorders>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5"/>
              </w:rPr>
              <w:t>0.97</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0.01</w:t>
            </w:r>
          </w:p>
        </w:tc>
        <w:tc>
          <w:tcPr>
            <w:tcW w:w="0" w:type="dxa"/>
            <w:vAlign w:val="bottom"/>
          </w:tcPr>
          <w:p>
            <w:pPr>
              <w:spacing w:after="0"/>
              <w:rPr>
                <w:sz w:val="1"/>
                <w:szCs w:val="1"/>
                <w:color w:val="auto"/>
              </w:rPr>
            </w:pPr>
          </w:p>
        </w:tc>
      </w:tr>
      <w:tr>
        <w:trPr>
          <w:trHeight w:val="315"/>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Consolidated Balance Sheets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00" w:type="dxa"/>
            <w:vAlign w:val="bottom"/>
            <w:tcBorders>
              <w:top w:val="single" w:sz="8" w:color="auto"/>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700" w:type="dxa"/>
            <w:vAlign w:val="bottom"/>
            <w:tcBorders>
              <w:lef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2017</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74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3"/>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With breakage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6"/>
          </w:tcPr>
          <w:p>
            <w:pPr>
              <w:jc w:val="right"/>
              <w:ind w:right="220"/>
              <w:spacing w:after="0" w:line="100" w:lineRule="exact"/>
              <w:rPr>
                <w:sz w:val="20"/>
                <w:szCs w:val="20"/>
                <w:color w:val="auto"/>
              </w:rPr>
            </w:pPr>
            <w:r>
              <w:rPr>
                <w:rFonts w:ascii="Times New Roman" w:cs="Times New Roman" w:eastAsia="Times New Roman" w:hAnsi="Times New Roman"/>
                <w:sz w:val="10"/>
                <w:szCs w:val="10"/>
                <w:b w:val="1"/>
                <w:bCs w:val="1"/>
                <w:color w:val="auto"/>
              </w:rPr>
              <w:t>Without breakage</w:t>
            </w: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4"/>
              </w:rPr>
              <w:t>Effect of change</w:t>
            </w:r>
          </w:p>
        </w:tc>
        <w:tc>
          <w:tcPr>
            <w:tcW w:w="80" w:type="dxa"/>
            <w:vAlign w:val="bottom"/>
          </w:tcPr>
          <w:p>
            <w:pPr>
              <w:spacing w:after="0"/>
              <w:rPr>
                <w:sz w:val="8"/>
                <w:szCs w:val="8"/>
                <w:color w:val="auto"/>
              </w:rPr>
            </w:pPr>
          </w:p>
        </w:tc>
        <w:tc>
          <w:tcPr>
            <w:tcW w:w="880" w:type="dxa"/>
            <w:vAlign w:val="bottom"/>
            <w:gridSpan w:val="3"/>
          </w:tcPr>
          <w:p>
            <w:pPr>
              <w:jc w:val="right"/>
              <w:ind w:right="62"/>
              <w:spacing w:after="0" w:line="100" w:lineRule="exact"/>
              <w:rPr>
                <w:sz w:val="20"/>
                <w:szCs w:val="20"/>
                <w:color w:val="auto"/>
              </w:rPr>
            </w:pPr>
            <w:r>
              <w:rPr>
                <w:rFonts w:ascii="Times New Roman" w:cs="Times New Roman" w:eastAsia="Times New Roman" w:hAnsi="Times New Roman"/>
                <w:sz w:val="10"/>
                <w:szCs w:val="10"/>
                <w:b w:val="1"/>
                <w:bCs w:val="1"/>
                <w:color w:val="auto"/>
              </w:rPr>
              <w:t>With breakage</w:t>
            </w:r>
          </w:p>
        </w:tc>
        <w:tc>
          <w:tcPr>
            <w:tcW w:w="180" w:type="dxa"/>
            <w:vAlign w:val="bottom"/>
          </w:tcPr>
          <w:p>
            <w:pPr>
              <w:spacing w:after="0"/>
              <w:rPr>
                <w:sz w:val="8"/>
                <w:szCs w:val="8"/>
                <w:color w:val="auto"/>
              </w:rPr>
            </w:pPr>
          </w:p>
        </w:tc>
        <w:tc>
          <w:tcPr>
            <w:tcW w:w="980" w:type="dxa"/>
            <w:vAlign w:val="bottom"/>
            <w:gridSpan w:val="4"/>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rPr>
              <w:t>Without breakage</w:t>
            </w:r>
          </w:p>
        </w:tc>
        <w:tc>
          <w:tcPr>
            <w:tcW w:w="180" w:type="dxa"/>
            <w:vAlign w:val="bottom"/>
          </w:tcPr>
          <w:p>
            <w:pPr>
              <w:spacing w:after="0"/>
              <w:rPr>
                <w:sz w:val="8"/>
                <w:szCs w:val="8"/>
                <w:color w:val="auto"/>
              </w:rPr>
            </w:pPr>
          </w:p>
        </w:tc>
        <w:tc>
          <w:tcPr>
            <w:tcW w:w="840" w:type="dxa"/>
            <w:vAlign w:val="bottom"/>
            <w:tcBorders>
              <w:right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4"/>
              </w:rPr>
              <w:t>Effect of change</w:t>
            </w:r>
          </w:p>
        </w:tc>
        <w:tc>
          <w:tcPr>
            <w:tcW w:w="0" w:type="dxa"/>
            <w:vAlign w:val="bottom"/>
          </w:tcPr>
          <w:p>
            <w:pPr>
              <w:spacing w:after="0"/>
              <w:rPr>
                <w:sz w:val="1"/>
                <w:szCs w:val="1"/>
                <w:color w:val="auto"/>
              </w:rPr>
            </w:pPr>
          </w:p>
        </w:tc>
      </w:tr>
      <w:tr>
        <w:trPr>
          <w:trHeight w:val="140"/>
        </w:trPr>
        <w:tc>
          <w:tcPr>
            <w:tcW w:w="2740" w:type="dxa"/>
            <w:vAlign w:val="bottom"/>
            <w:tcBorders>
              <w:lef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80" w:type="dxa"/>
            <w:vAlign w:val="bottom"/>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revenue</w:t>
            </w:r>
          </w:p>
        </w:tc>
        <w:tc>
          <w:tcPr>
            <w:tcW w:w="180" w:type="dxa"/>
            <w:vAlign w:val="bottom"/>
          </w:tcPr>
          <w:p>
            <w:pPr>
              <w:spacing w:after="0"/>
              <w:rPr>
                <w:sz w:val="12"/>
                <w:szCs w:val="12"/>
                <w:color w:val="auto"/>
              </w:rPr>
            </w:pPr>
          </w:p>
        </w:tc>
        <w:tc>
          <w:tcPr>
            <w:tcW w:w="84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40" w:type="dxa"/>
            <w:vAlign w:val="bottom"/>
            <w:tcBorders>
              <w:top w:val="single" w:sz="8" w:color="auto"/>
              <w:lef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color w:val="auto"/>
              </w:rPr>
              <w:t>Current assets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33,475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33,475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72,641</w:t>
            </w:r>
          </w:p>
        </w:tc>
        <w:tc>
          <w:tcPr>
            <w:tcW w:w="580" w:type="dxa"/>
            <w:vAlign w:val="bottom"/>
            <w:gridSpan w:val="2"/>
          </w:tcPr>
          <w:p>
            <w:pPr>
              <w:jc w:val="right"/>
              <w:ind w:right="285"/>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72,641</w:t>
            </w:r>
          </w:p>
        </w:tc>
        <w:tc>
          <w:tcPr>
            <w:tcW w:w="380" w:type="dxa"/>
            <w:vAlign w:val="bottom"/>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Non-current assets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color w:val="auto"/>
              </w:rPr>
              <w:t>Deferred tax asset, net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24,908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25,147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(239)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28,667</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non-current assets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364,643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364,643</w:t>
            </w: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right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304,458</w:t>
            </w:r>
          </w:p>
        </w:tc>
        <w:tc>
          <w:tcPr>
            <w:tcW w:w="180" w:type="dxa"/>
            <w:vAlign w:val="bottom"/>
            <w:shd w:val="clear" w:color="auto" w:fill="CCEEFF"/>
          </w:tcPr>
          <w:p>
            <w:pPr>
              <w:spacing w:after="0"/>
              <w:rPr>
                <w:sz w:val="15"/>
                <w:szCs w:val="15"/>
                <w:color w:val="auto"/>
              </w:rPr>
            </w:pPr>
          </w:p>
        </w:tc>
        <w:tc>
          <w:tcPr>
            <w:tcW w:w="40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304,458</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423,026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423,265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405,766</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405,999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(233)</w:t>
            </w:r>
          </w:p>
        </w:tc>
        <w:tc>
          <w:tcPr>
            <w:tcW w:w="0" w:type="dxa"/>
            <w:vAlign w:val="bottom"/>
          </w:tcPr>
          <w:p>
            <w:pPr>
              <w:spacing w:after="0"/>
              <w:rPr>
                <w:sz w:val="1"/>
                <w:szCs w:val="1"/>
                <w:color w:val="auto"/>
              </w:rPr>
            </w:pPr>
          </w:p>
        </w:tc>
      </w:tr>
      <w:tr>
        <w:trPr>
          <w:trHeight w:val="174"/>
        </w:trPr>
        <w:tc>
          <w:tcPr>
            <w:tcW w:w="2740" w:type="dxa"/>
            <w:vAlign w:val="bottom"/>
            <w:tcBorders>
              <w:top w:val="single" w:sz="8" w:color="CCEEFF"/>
              <w:lef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color w:val="auto"/>
              </w:rPr>
              <w:t>Current liabilities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Deferred current revenue</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88"/>
              </w:rPr>
              <w:t>9,850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10,458</w:t>
            </w:r>
          </w:p>
        </w:tc>
        <w:tc>
          <w:tcPr>
            <w:tcW w:w="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(608)</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10,758</w:t>
            </w:r>
          </w:p>
        </w:tc>
        <w:tc>
          <w:tcPr>
            <w:tcW w:w="18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11,376</w:t>
            </w: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70,596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70,596</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55,228</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55,228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Non-current liabilities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161,339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161,339</w:t>
            </w: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right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193,165</w:t>
            </w:r>
          </w:p>
        </w:tc>
        <w:tc>
          <w:tcPr>
            <w:tcW w:w="180" w:type="dxa"/>
            <w:vAlign w:val="bottom"/>
            <w:shd w:val="clear" w:color="auto" w:fill="CCEEFF"/>
          </w:tcPr>
          <w:p>
            <w:pPr>
              <w:spacing w:after="0"/>
              <w:rPr>
                <w:sz w:val="15"/>
                <w:szCs w:val="15"/>
                <w:color w:val="auto"/>
              </w:rPr>
            </w:pPr>
          </w:p>
        </w:tc>
        <w:tc>
          <w:tcPr>
            <w:tcW w:w="40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193,165</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241,785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242,393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(608)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259,151</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259,769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(618)</w:t>
            </w:r>
          </w:p>
        </w:tc>
        <w:tc>
          <w:tcPr>
            <w:tcW w:w="0" w:type="dxa"/>
            <w:vAlign w:val="bottom"/>
          </w:tcPr>
          <w:p>
            <w:pPr>
              <w:spacing w:after="0"/>
              <w:rPr>
                <w:sz w:val="1"/>
                <w:szCs w:val="1"/>
                <w:color w:val="auto"/>
              </w:rPr>
            </w:pPr>
          </w:p>
        </w:tc>
      </w:tr>
      <w:tr>
        <w:trPr>
          <w:trHeight w:val="174"/>
        </w:trPr>
        <w:tc>
          <w:tcPr>
            <w:tcW w:w="2740" w:type="dxa"/>
            <w:vAlign w:val="bottom"/>
            <w:tcBorders>
              <w:top w:val="single" w:sz="8" w:color="CCEEFF"/>
              <w:lef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Stockholders' Equity</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color w:val="auto"/>
              </w:rPr>
              <w:t>Retained earnings (accumulated deficit)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32,679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32,310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369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1,680</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equity components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148,562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148,562</w:t>
            </w: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right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144,935</w:t>
            </w:r>
          </w:p>
        </w:tc>
        <w:tc>
          <w:tcPr>
            <w:tcW w:w="180" w:type="dxa"/>
            <w:vAlign w:val="bottom"/>
            <w:shd w:val="clear" w:color="auto" w:fill="CCEEFF"/>
          </w:tcPr>
          <w:p>
            <w:pPr>
              <w:spacing w:after="0"/>
              <w:rPr>
                <w:sz w:val="15"/>
                <w:szCs w:val="15"/>
                <w:color w:val="auto"/>
              </w:rPr>
            </w:pPr>
          </w:p>
        </w:tc>
        <w:tc>
          <w:tcPr>
            <w:tcW w:w="40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144,935</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 Stockholders' Equity</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181,241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180,872</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369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146,615</w:t>
            </w: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146,230</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385</w:t>
            </w:r>
          </w:p>
        </w:tc>
        <w:tc>
          <w:tcPr>
            <w:tcW w:w="0" w:type="dxa"/>
            <w:vAlign w:val="bottom"/>
          </w:tcPr>
          <w:p>
            <w:pPr>
              <w:spacing w:after="0"/>
              <w:rPr>
                <w:sz w:val="1"/>
                <w:szCs w:val="1"/>
                <w:color w:val="auto"/>
              </w:rPr>
            </w:pPr>
          </w:p>
        </w:tc>
      </w:tr>
      <w:tr>
        <w:trPr>
          <w:trHeight w:val="175"/>
        </w:trPr>
        <w:tc>
          <w:tcPr>
            <w:tcW w:w="2740" w:type="dxa"/>
            <w:vAlign w:val="bottom"/>
            <w:tcBorders>
              <w:left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423,026</w:t>
            </w:r>
          </w:p>
        </w:tc>
        <w:tc>
          <w:tcPr>
            <w:tcW w:w="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423,265</w:t>
            </w:r>
          </w:p>
        </w:tc>
        <w:tc>
          <w:tcPr>
            <w:tcW w:w="36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right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(239)</w:t>
            </w:r>
          </w:p>
        </w:tc>
        <w:tc>
          <w:tcPr>
            <w:tcW w:w="14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405,766</w:t>
            </w:r>
          </w:p>
        </w:tc>
        <w:tc>
          <w:tcPr>
            <w:tcW w:w="580" w:type="dxa"/>
            <w:vAlign w:val="bottom"/>
            <w:tcBorders>
              <w:bottom w:val="single" w:sz="8" w:color="auto"/>
              <w:right w:val="single" w:sz="8" w:color="CCEEFF"/>
            </w:tcBorders>
            <w:gridSpan w:val="2"/>
            <w:shd w:val="clear" w:color="auto" w:fill="CCEEFF"/>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405,999</w:t>
            </w:r>
          </w:p>
        </w:tc>
        <w:tc>
          <w:tcPr>
            <w:tcW w:w="380" w:type="dxa"/>
            <w:vAlign w:val="bottom"/>
            <w:tcBorders>
              <w:bottom w:val="single" w:sz="8" w:color="auto"/>
              <w:right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(233)</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80"/>
          </w:cols>
          <w:pgMar w:left="1000" w:top="298" w:right="7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Consolidated Statements of Cash Flows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740" w:type="dxa"/>
            <w:vAlign w:val="bottom"/>
            <w:tcBorders>
              <w:top w:val="single" w:sz="8" w:color="auto"/>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2016</w:t>
            </w: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2015</w:t>
            </w: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74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rPr>
              <w:t>With</w:t>
            </w:r>
          </w:p>
        </w:tc>
        <w:tc>
          <w:tcPr>
            <w:tcW w:w="140" w:type="dxa"/>
            <w:vAlign w:val="bottom"/>
          </w:tcPr>
          <w:p>
            <w:pPr>
              <w:spacing w:after="0"/>
              <w:rPr>
                <w:sz w:val="8"/>
                <w:szCs w:val="8"/>
                <w:color w:val="auto"/>
              </w:rPr>
            </w:pPr>
          </w:p>
        </w:tc>
        <w:tc>
          <w:tcPr>
            <w:tcW w:w="740" w:type="dxa"/>
            <w:vAlign w:val="bottom"/>
            <w:gridSpan w:val="2"/>
          </w:tcPr>
          <w:p>
            <w:pPr>
              <w:jc w:val="center"/>
              <w:ind w:right="20"/>
              <w:spacing w:after="0" w:line="100" w:lineRule="exact"/>
              <w:rPr>
                <w:sz w:val="20"/>
                <w:szCs w:val="20"/>
                <w:color w:val="auto"/>
              </w:rPr>
            </w:pPr>
            <w:r>
              <w:rPr>
                <w:rFonts w:ascii="Times New Roman" w:cs="Times New Roman" w:eastAsia="Times New Roman" w:hAnsi="Times New Roman"/>
                <w:sz w:val="10"/>
                <w:szCs w:val="10"/>
                <w:b w:val="1"/>
                <w:bCs w:val="1"/>
                <w:color w:val="auto"/>
              </w:rPr>
              <w:t>Without</w:t>
            </w:r>
          </w:p>
        </w:tc>
        <w:tc>
          <w:tcPr>
            <w:tcW w:w="120" w:type="dxa"/>
            <w:vAlign w:val="bottom"/>
          </w:tcPr>
          <w:p>
            <w:pPr>
              <w:spacing w:after="0"/>
              <w:rPr>
                <w:sz w:val="8"/>
                <w:szCs w:val="8"/>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Effect of</w:t>
            </w:r>
          </w:p>
        </w:tc>
        <w:tc>
          <w:tcPr>
            <w:tcW w:w="140" w:type="dxa"/>
            <w:vAlign w:val="bottom"/>
          </w:tcPr>
          <w:p>
            <w:pPr>
              <w:spacing w:after="0"/>
              <w:rPr>
                <w:sz w:val="8"/>
                <w:szCs w:val="8"/>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With breakage</w:t>
            </w:r>
          </w:p>
        </w:tc>
        <w:tc>
          <w:tcPr>
            <w:tcW w:w="140" w:type="dxa"/>
            <w:vAlign w:val="bottom"/>
          </w:tcPr>
          <w:p>
            <w:pPr>
              <w:spacing w:after="0"/>
              <w:rPr>
                <w:sz w:val="8"/>
                <w:szCs w:val="8"/>
                <w:color w:val="auto"/>
              </w:rPr>
            </w:pPr>
          </w:p>
        </w:tc>
        <w:tc>
          <w:tcPr>
            <w:tcW w:w="740" w:type="dxa"/>
            <w:vAlign w:val="bottom"/>
          </w:tcPr>
          <w:p>
            <w:pPr>
              <w:ind w:left="40"/>
              <w:spacing w:after="0" w:line="100" w:lineRule="exact"/>
              <w:rPr>
                <w:sz w:val="20"/>
                <w:szCs w:val="20"/>
                <w:color w:val="auto"/>
              </w:rPr>
            </w:pPr>
            <w:r>
              <w:rPr>
                <w:rFonts w:ascii="Times New Roman" w:cs="Times New Roman" w:eastAsia="Times New Roman" w:hAnsi="Times New Roman"/>
                <w:sz w:val="10"/>
                <w:szCs w:val="10"/>
                <w:b w:val="1"/>
                <w:bCs w:val="1"/>
                <w:color w:val="auto"/>
              </w:rPr>
              <w:t>Without</w:t>
            </w:r>
          </w:p>
        </w:tc>
        <w:tc>
          <w:tcPr>
            <w:tcW w:w="140" w:type="dxa"/>
            <w:vAlign w:val="bottom"/>
          </w:tcPr>
          <w:p>
            <w:pPr>
              <w:spacing w:after="0"/>
              <w:rPr>
                <w:sz w:val="8"/>
                <w:szCs w:val="8"/>
                <w:color w:val="auto"/>
              </w:rPr>
            </w:pPr>
          </w:p>
        </w:tc>
        <w:tc>
          <w:tcPr>
            <w:tcW w:w="52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82"/>
              </w:rPr>
              <w:t>Effect of</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7"/>
              </w:rPr>
              <w:t>As previously</w:t>
            </w:r>
          </w:p>
        </w:tc>
        <w:tc>
          <w:tcPr>
            <w:tcW w:w="140" w:type="dxa"/>
            <w:vAlign w:val="bottom"/>
          </w:tcPr>
          <w:p>
            <w:pPr>
              <w:spacing w:after="0"/>
              <w:rPr>
                <w:sz w:val="8"/>
                <w:szCs w:val="8"/>
                <w:color w:val="auto"/>
              </w:rPr>
            </w:pPr>
          </w:p>
        </w:tc>
        <w:tc>
          <w:tcPr>
            <w:tcW w:w="500" w:type="dxa"/>
            <w:vAlign w:val="bottom"/>
            <w:tcBorders>
              <w:right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82"/>
              </w:rPr>
              <w:t>Effect of</w:t>
            </w:r>
          </w:p>
        </w:tc>
        <w:tc>
          <w:tcPr>
            <w:tcW w:w="0" w:type="dxa"/>
            <w:vAlign w:val="bottom"/>
          </w:tcPr>
          <w:p>
            <w:pPr>
              <w:spacing w:after="0"/>
              <w:rPr>
                <w:sz w:val="1"/>
                <w:szCs w:val="1"/>
                <w:color w:val="auto"/>
              </w:rPr>
            </w:pPr>
          </w:p>
        </w:tc>
      </w:tr>
      <w:tr>
        <w:trPr>
          <w:trHeight w:val="119"/>
        </w:trPr>
        <w:tc>
          <w:tcPr>
            <w:tcW w:w="274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20" w:type="dxa"/>
            <w:vAlign w:val="bottom"/>
          </w:tcPr>
          <w:p>
            <w:pPr>
              <w:spacing w:after="0"/>
              <w:rPr>
                <w:sz w:val="10"/>
                <w:szCs w:val="10"/>
                <w:color w:val="auto"/>
              </w:rPr>
            </w:pPr>
          </w:p>
        </w:tc>
        <w:tc>
          <w:tcPr>
            <w:tcW w:w="7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breakage</w:t>
            </w:r>
          </w:p>
        </w:tc>
        <w:tc>
          <w:tcPr>
            <w:tcW w:w="140" w:type="dxa"/>
            <w:vAlign w:val="bottom"/>
          </w:tcPr>
          <w:p>
            <w:pPr>
              <w:spacing w:after="0"/>
              <w:rPr>
                <w:sz w:val="10"/>
                <w:szCs w:val="10"/>
                <w:color w:val="auto"/>
              </w:rPr>
            </w:pPr>
          </w:p>
        </w:tc>
        <w:tc>
          <w:tcPr>
            <w:tcW w:w="74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breakage</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03"/>
              <w:spacing w:after="0" w:line="120" w:lineRule="exact"/>
              <w:rPr>
                <w:sz w:val="20"/>
                <w:szCs w:val="20"/>
                <w:color w:val="auto"/>
              </w:rPr>
            </w:pPr>
            <w:r>
              <w:rPr>
                <w:rFonts w:ascii="Times New Roman" w:cs="Times New Roman" w:eastAsia="Times New Roman" w:hAnsi="Times New Roman"/>
                <w:sz w:val="12"/>
                <w:szCs w:val="12"/>
                <w:b w:val="1"/>
                <w:bCs w:val="1"/>
                <w:color w:val="auto"/>
                <w:w w:val="97"/>
              </w:rPr>
              <w:t>breakage</w:t>
            </w: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86"/>
              </w:rPr>
              <w:t>As restated</w:t>
            </w: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tcBorders>
              <w:lef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revenue</w:t>
            </w:r>
          </w:p>
        </w:tc>
        <w:tc>
          <w:tcPr>
            <w:tcW w:w="140" w:type="dxa"/>
            <w:vAlign w:val="bottom"/>
          </w:tcPr>
          <w:p>
            <w:pPr>
              <w:spacing w:after="0"/>
              <w:rPr>
                <w:sz w:val="12"/>
                <w:szCs w:val="12"/>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revenue</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4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40" w:type="dxa"/>
            <w:vAlign w:val="bottom"/>
          </w:tcPr>
          <w:p>
            <w:pPr>
              <w:spacing w:after="0"/>
              <w:rPr>
                <w:sz w:val="12"/>
                <w:szCs w:val="12"/>
                <w:color w:val="auto"/>
              </w:rPr>
            </w:pPr>
          </w:p>
        </w:tc>
        <w:tc>
          <w:tcPr>
            <w:tcW w:w="52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88"/>
              </w:rPr>
              <w:t>change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w w:val="98"/>
              </w:rPr>
              <w:t>reported</w:t>
            </w:r>
          </w:p>
        </w:tc>
        <w:tc>
          <w:tcPr>
            <w:tcW w:w="140" w:type="dxa"/>
            <w:vAlign w:val="bottom"/>
          </w:tcPr>
          <w:p>
            <w:pPr>
              <w:spacing w:after="0"/>
              <w:rPr>
                <w:sz w:val="12"/>
                <w:szCs w:val="12"/>
                <w:color w:val="auto"/>
              </w:rPr>
            </w:pPr>
          </w:p>
        </w:tc>
        <w:tc>
          <w:tcPr>
            <w:tcW w:w="500" w:type="dxa"/>
            <w:vAlign w:val="bottom"/>
            <w:tcBorders>
              <w:right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88"/>
              </w:rPr>
              <w:t>change</w:t>
            </w:r>
          </w:p>
        </w:tc>
        <w:tc>
          <w:tcPr>
            <w:tcW w:w="0" w:type="dxa"/>
            <w:vAlign w:val="bottom"/>
          </w:tcPr>
          <w:p>
            <w:pPr>
              <w:spacing w:after="0"/>
              <w:rPr>
                <w:sz w:val="1"/>
                <w:szCs w:val="1"/>
                <w:color w:val="auto"/>
              </w:rPr>
            </w:pPr>
          </w:p>
        </w:tc>
      </w:tr>
      <w:tr>
        <w:trPr>
          <w:trHeight w:val="174"/>
        </w:trPr>
        <w:tc>
          <w:tcPr>
            <w:tcW w:w="2740" w:type="dxa"/>
            <w:vAlign w:val="bottom"/>
            <w:tcBorders>
              <w:top w:val="single" w:sz="8" w:color="auto"/>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50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20" w:type="dxa"/>
            <w:vAlign w:val="bottom"/>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31,010</w:t>
            </w:r>
          </w:p>
        </w:tc>
        <w:tc>
          <w:tcPr>
            <w:tcW w:w="100" w:type="dxa"/>
            <w:vAlign w:val="bottom"/>
          </w:tcPr>
          <w:p>
            <w:pPr>
              <w:spacing w:after="0"/>
              <w:rPr>
                <w:sz w:val="15"/>
                <w:szCs w:val="15"/>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30,641</w:t>
            </w:r>
          </w:p>
        </w:tc>
        <w:tc>
          <w:tcPr>
            <w:tcW w:w="14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140" w:type="dxa"/>
            <w:vAlign w:val="bottom"/>
          </w:tcPr>
          <w:p>
            <w:pPr>
              <w:spacing w:after="0"/>
              <w:rPr>
                <w:sz w:val="15"/>
                <w:szCs w:val="15"/>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9,417</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9,032</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385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23,031</w:t>
            </w:r>
          </w:p>
        </w:tc>
        <w:tc>
          <w:tcPr>
            <w:tcW w:w="20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22,694</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0" w:type="dxa"/>
            <w:vAlign w:val="bottom"/>
          </w:tcPr>
          <w:p>
            <w:pPr>
              <w:spacing w:after="0"/>
              <w:rPr>
                <w:sz w:val="1"/>
                <w:szCs w:val="1"/>
                <w:color w:val="auto"/>
              </w:rPr>
            </w:pPr>
          </w:p>
        </w:tc>
      </w:tr>
      <w:tr>
        <w:trPr>
          <w:trHeight w:val="100"/>
        </w:trPr>
        <w:tc>
          <w:tcPr>
            <w:tcW w:w="2740" w:type="dxa"/>
            <w:vAlign w:val="bottom"/>
            <w:tcBorders>
              <w:left w:val="single" w:sz="8" w:color="auto"/>
            </w:tcBorders>
            <w:shd w:val="clear" w:color="auto" w:fill="CCEEFF"/>
          </w:tcPr>
          <w:p>
            <w:pPr>
              <w:ind w:left="100"/>
              <w:spacing w:after="0" w:line="100" w:lineRule="exact"/>
              <w:rPr>
                <w:sz w:val="20"/>
                <w:szCs w:val="20"/>
                <w:color w:val="auto"/>
              </w:rPr>
            </w:pPr>
            <w:r>
              <w:rPr>
                <w:rFonts w:ascii="Times New Roman" w:cs="Times New Roman" w:eastAsia="Times New Roman" w:hAnsi="Times New Roman"/>
                <w:sz w:val="10"/>
                <w:szCs w:val="10"/>
                <w:i w:val="1"/>
                <w:iCs w:val="1"/>
                <w:color w:val="auto"/>
              </w:rPr>
              <w:t>Adjustments to reconcile net income to net cash</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tcBorders>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6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tcBorders>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50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74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provided by operating activities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2"/>
                <w:szCs w:val="12"/>
                <w:color w:val="auto"/>
              </w:rPr>
              <w:t>Change in net deferred tax assets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(5,060)</w:t>
            </w:r>
          </w:p>
        </w:tc>
        <w:tc>
          <w:tcPr>
            <w:tcW w:w="140" w:type="dxa"/>
            <w:vAlign w:val="bottom"/>
          </w:tcPr>
          <w:p>
            <w:pPr>
              <w:spacing w:after="0"/>
              <w:rPr>
                <w:sz w:val="15"/>
                <w:szCs w:val="15"/>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(5,293)</w:t>
            </w:r>
          </w:p>
        </w:tc>
        <w:tc>
          <w:tcPr>
            <w:tcW w:w="140" w:type="dxa"/>
            <w:vAlign w:val="bottom"/>
          </w:tcPr>
          <w:p>
            <w:pPr>
              <w:spacing w:after="0"/>
              <w:rPr>
                <w:sz w:val="15"/>
                <w:szCs w:val="15"/>
                <w:color w:val="auto"/>
              </w:rPr>
            </w:pP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(4,272)</w:t>
            </w:r>
          </w:p>
        </w:tc>
        <w:tc>
          <w:tcPr>
            <w:tcW w:w="1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reconciling adjustments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19,128</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19,128</w:t>
            </w:r>
          </w:p>
        </w:tc>
        <w:tc>
          <w:tcPr>
            <w:tcW w:w="14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5,786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5,786</w:t>
            </w:r>
          </w:p>
        </w:tc>
        <w:tc>
          <w:tcPr>
            <w:tcW w:w="14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2"/>
                <w:szCs w:val="12"/>
                <w:i w:val="1"/>
                <w:iCs w:val="1"/>
                <w:color w:val="auto"/>
              </w:rPr>
              <w:t>Net changes in operating assets and liabilities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Deferred revenue and other liabilities</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(7,011)</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(6,403)</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3,626</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4,244</w:t>
            </w:r>
          </w:p>
        </w:tc>
        <w:tc>
          <w:tcPr>
            <w:tcW w:w="14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(203)</w:t>
            </w:r>
          </w:p>
        </w:tc>
        <w:tc>
          <w:tcPr>
            <w:tcW w:w="14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2"/>
                <w:szCs w:val="12"/>
                <w:color w:val="auto"/>
              </w:rPr>
              <w:t>Other operating assets and liabilities</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(4,412)</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(4,412)</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3,077</w:t>
            </w:r>
          </w:p>
        </w:tc>
        <w:tc>
          <w:tcPr>
            <w:tcW w:w="14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3,077</w:t>
            </w:r>
          </w:p>
        </w:tc>
        <w:tc>
          <w:tcPr>
            <w:tcW w:w="140" w:type="dxa"/>
            <w:vAlign w:val="bottom"/>
          </w:tcPr>
          <w:p>
            <w:pPr>
              <w:spacing w:after="0"/>
              <w:rPr>
                <w:sz w:val="15"/>
                <w:szCs w:val="15"/>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4,569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4,569</w:t>
            </w:r>
          </w:p>
        </w:tc>
        <w:tc>
          <w:tcPr>
            <w:tcW w:w="1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74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23,851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23,851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30,188</w:t>
            </w:r>
          </w:p>
        </w:tc>
        <w:tc>
          <w:tcPr>
            <w:tcW w:w="14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30,188</w:t>
            </w:r>
          </w:p>
        </w:tc>
        <w:tc>
          <w:tcPr>
            <w:tcW w:w="140" w:type="dxa"/>
            <w:vAlign w:val="bottom"/>
            <w:tcBorders>
              <w:right w:val="single" w:sz="8" w:color="CCEEFF"/>
            </w:tcBorders>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28,574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28,574</w:t>
            </w:r>
          </w:p>
        </w:tc>
        <w:tc>
          <w:tcPr>
            <w:tcW w:w="14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5"/>
        </w:trPr>
        <w:tc>
          <w:tcPr>
            <w:tcW w:w="2740" w:type="dxa"/>
            <w:vAlign w:val="bottom"/>
            <w:tcBorders>
              <w:top w:val="single" w:sz="8" w:color="CCEEFF"/>
              <w:lef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12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7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(6,786)</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(6,786)</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(42,861)</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(42,861)</w:t>
            </w:r>
          </w:p>
        </w:tc>
        <w:tc>
          <w:tcPr>
            <w:tcW w:w="14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(29,710)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(29,710)</w:t>
            </w:r>
          </w:p>
        </w:tc>
        <w:tc>
          <w:tcPr>
            <w:tcW w:w="14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5"/>
        </w:trPr>
        <w:tc>
          <w:tcPr>
            <w:tcW w:w="2740" w:type="dxa"/>
            <w:vAlign w:val="bottom"/>
            <w:tcBorders>
              <w:top w:val="single" w:sz="8" w:color="CCEEFF"/>
              <w:lef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12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by/(used in) financing activities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(22,055)</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(22,055)</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11,246</w:t>
            </w:r>
          </w:p>
        </w:tc>
        <w:tc>
          <w:tcPr>
            <w:tcW w:w="14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11,246</w:t>
            </w:r>
          </w:p>
        </w:tc>
        <w:tc>
          <w:tcPr>
            <w:tcW w:w="14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(27,961)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(27,961)</w:t>
            </w:r>
          </w:p>
        </w:tc>
        <w:tc>
          <w:tcPr>
            <w:tcW w:w="14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2"/>
        </w:trPr>
        <w:tc>
          <w:tcPr>
            <w:tcW w:w="274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Effect of exchange rate on cash</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(359)</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(359)</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742</w:t>
            </w:r>
          </w:p>
        </w:tc>
        <w:tc>
          <w:tcPr>
            <w:tcW w:w="140" w:type="dxa"/>
            <w:vAlign w:val="bottom"/>
          </w:tcPr>
          <w:p>
            <w:pPr>
              <w:spacing w:after="0"/>
              <w:rPr>
                <w:sz w:val="14"/>
                <w:szCs w:val="14"/>
                <w:color w:val="auto"/>
              </w:rPr>
            </w:pPr>
          </w:p>
        </w:tc>
        <w:tc>
          <w:tcPr>
            <w:tcW w:w="740" w:type="dxa"/>
            <w:vAlign w:val="bottom"/>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742</w:t>
            </w:r>
          </w:p>
        </w:tc>
        <w:tc>
          <w:tcPr>
            <w:tcW w:w="140" w:type="dxa"/>
            <w:vAlign w:val="bottom"/>
          </w:tcPr>
          <w:p>
            <w:pPr>
              <w:spacing w:after="0"/>
              <w:rPr>
                <w:sz w:val="14"/>
                <w:szCs w:val="14"/>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(1,449)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(1,449)</w:t>
            </w:r>
          </w:p>
        </w:tc>
        <w:tc>
          <w:tcPr>
            <w:tcW w:w="14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(decrease) in cash and cash equivalents</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(5,349)</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(5,349)</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(685)</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(685)</w:t>
            </w:r>
          </w:p>
        </w:tc>
        <w:tc>
          <w:tcPr>
            <w:tcW w:w="14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(30,546)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(30,546)</w:t>
            </w:r>
          </w:p>
        </w:tc>
        <w:tc>
          <w:tcPr>
            <w:tcW w:w="14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6"/>
              </w:rPr>
              <w:t>Cash and cash equivalents at the beginning of the year</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19,017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19,702</w:t>
            </w:r>
          </w:p>
        </w:tc>
        <w:tc>
          <w:tcPr>
            <w:tcW w:w="14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19,702</w:t>
            </w:r>
          </w:p>
        </w:tc>
        <w:tc>
          <w:tcPr>
            <w:tcW w:w="140" w:type="dxa"/>
            <w:vAlign w:val="bottom"/>
          </w:tcPr>
          <w:p>
            <w:pPr>
              <w:spacing w:after="0"/>
              <w:rPr>
                <w:sz w:val="15"/>
                <w:szCs w:val="15"/>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50,248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50,248</w:t>
            </w:r>
          </w:p>
        </w:tc>
        <w:tc>
          <w:tcPr>
            <w:tcW w:w="1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74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40" w:type="dxa"/>
            <w:vAlign w:val="bottom"/>
            <w:tcBorders>
              <w:left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and cash equivalents at the end of the year</w:t>
            </w: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13,668</w:t>
            </w: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13,668</w:t>
            </w:r>
          </w:p>
        </w:tc>
        <w:tc>
          <w:tcPr>
            <w:tcW w:w="1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auto"/>
              <w:right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19,017</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bottom w:val="single" w:sz="8" w:color="auto"/>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19,017</w:t>
            </w:r>
          </w:p>
        </w:tc>
        <w:tc>
          <w:tcPr>
            <w:tcW w:w="14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bottom w:val="single" w:sz="8" w:color="auto"/>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19,702</w:t>
            </w:r>
          </w:p>
        </w:tc>
        <w:tc>
          <w:tcPr>
            <w:tcW w:w="20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bottom w:val="single" w:sz="8" w:color="auto"/>
              <w:right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19,702</w:t>
            </w:r>
          </w:p>
        </w:tc>
        <w:tc>
          <w:tcPr>
            <w:tcW w:w="14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Out-of-Period Adjustment during the fourth quarter of fiscal year 2017:</w:t>
      </w:r>
    </w:p>
    <w:p>
      <w:pPr>
        <w:spacing w:after="0" w:line="3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In the fourth quarter of fiscal year 2017, we recorded out-of-period adjustments of $544,000 to increase our occupancy cost expense in our consolidated statements of operations. The adjustments were made to correct our rent expense account under the straight line method of expense recognition. We determined that the adjustments did not have a material impact to our current or prior period consolidated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Out-of-Period Adjustment during the fourth quarter of fiscal year 2016</w:t>
      </w:r>
    </w:p>
    <w:p>
      <w:pPr>
        <w:spacing w:after="0" w:line="16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4"/>
          <w:szCs w:val="14"/>
          <w:color w:val="auto"/>
        </w:rPr>
        <w:t>In the fourth quarter of fiscal year 2016, we recorded out-of-period adjustments of $611,000 to decrease our income tax expenses in our consolidated statements of operations. The adjustments, which increased deferred tax asset by $611,000, were made to correct our income tax and related deferred tax asset accounts. We determined that the adjustments did not have a material impact to our current or prior period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Out-of-Period Adjustment during the fourth quarter of fiscal year 2015</w:t>
      </w:r>
    </w:p>
    <w:p>
      <w:pPr>
        <w:spacing w:after="0" w:line="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In the fourth quarter of fiscal year 2015, we recorded out-of-period adjustments of $514,000 to decrease our income tax expense in our consolidated statements of operations. The adjustments, which increased deferred tax assets by $2,116,000, increased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paid in capital by $793,000, increased other comprehensive income by $1,859,000 and decreased other non-current</w:t>
      </w:r>
    </w:p>
    <w:p>
      <w:pPr>
        <w:spacing w:after="0" w:line="1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liabilities by $1,050,000, were made to correct our income tax and related equity and liability accounts. Of the $514,000 adjustment to decrease the income tax expense in 2015, $1,286,000 relates to the adjustment that should have been recorded in 2014, thus reducing our income tax benefit by this amount. The remaining $1,800,000 relates to income taxes pertaining to years prior to 2014 cumulatively, that would have increased our deferred tax asset by such amount. We determined that the adjustments did not have a material impact to our prior period consolidated financial statements.</w:t>
      </w: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80"/>
          </w:cols>
          <w:pgMar w:left="1000" w:top="296" w:right="7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Recently Adopted and Issued Accounting Pronouncements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Adopted:</w:t>
      </w:r>
    </w:p>
    <w:p>
      <w:pPr>
        <w:spacing w:after="0" w:line="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On January 1, 2017, the Company adopted </w:t>
      </w:r>
      <w:r>
        <w:rPr>
          <w:rFonts w:ascii="Times New Roman" w:cs="Times New Roman" w:eastAsia="Times New Roman" w:hAnsi="Times New Roman"/>
          <w:sz w:val="14"/>
          <w:szCs w:val="14"/>
          <w:i w:val="1"/>
          <w:iCs w:val="1"/>
          <w:color w:val="auto"/>
        </w:rPr>
        <w:t>ASU 2016-09, Compensation—Stock Compensation (Topic 718): Improvements to Employee Share-Based 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Accounting</w:t>
      </w:r>
      <w:r>
        <w:rPr>
          <w:rFonts w:ascii="Times New Roman" w:cs="Times New Roman" w:eastAsia="Times New Roman" w:hAnsi="Times New Roman"/>
          <w:sz w:val="14"/>
          <w:szCs w:val="14"/>
          <w:color w:val="auto"/>
        </w:rPr>
        <w:t>. This new guidance, which became effective for fiscal years beginning after December 15, 2016, provides for the simplification of several aspects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for share-based payment transactions, including (i) accounting for tax benefits in excess of compensation cost and tax deficiencies, (ii) accounting for forfeitures, and (iii) classification on the statement of cash flows. The only significant impact of the adoption of this new guidance to us is the immediate recognition of excess tax benefits (or “windfalls”) and tax deficiencies (or “shortfalls”) in the consolidated statement of operations. Previously, (i) tax windfalls were recorded in additional paid-in capital (“APIC”) in the consolidated statement of stockholders’ equity and (ii) tax shortfalls were recorded in APIC to the extent of previous windfalls and then to the consolidated statement of operations. The adoption of ASU 2016-09 did not have a material impact on the consolidated financial statements and related disclosures.</w:t>
      </w:r>
    </w:p>
    <w:p>
      <w:pPr>
        <w:spacing w:after="0" w:line="14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 xml:space="preserve">Further, in March 2016, the FASB issued </w:t>
      </w:r>
      <w:r>
        <w:rPr>
          <w:rFonts w:ascii="Times New Roman" w:cs="Times New Roman" w:eastAsia="Times New Roman" w:hAnsi="Times New Roman"/>
          <w:sz w:val="14"/>
          <w:szCs w:val="14"/>
          <w:i w:val="1"/>
          <w:iCs w:val="1"/>
          <w:color w:val="auto"/>
        </w:rPr>
        <w:t>ASU 2016-07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Investments—Equity Method and Joint Ventures (Topic 323): Simplifying the Transition to the Equity Method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Accounting</w:t>
      </w:r>
      <w:r>
        <w:rPr>
          <w:rFonts w:ascii="Times New Roman" w:cs="Times New Roman" w:eastAsia="Times New Roman" w:hAnsi="Times New Roman"/>
          <w:sz w:val="14"/>
          <w:szCs w:val="14"/>
          <w:color w:val="auto"/>
        </w:rPr>
        <w:t>. This new guidance effectively removes the retroactive application imposed in current guidance when an investment qualifies for use of the equity method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 of an increase in the level of ownership interest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 new standard becomes effective for the Company on January 1, 2017. Early adoption is permissible. The adoption of ASU 2016-07 did not have a material impact on the consolidated financial statements and related disclosures.</w:t>
      </w:r>
    </w:p>
    <w:p>
      <w:pPr>
        <w:spacing w:after="0" w:line="14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 xml:space="preserve">In October 2016, the FASB issued </w:t>
      </w:r>
      <w:r>
        <w:rPr>
          <w:rFonts w:ascii="Times New Roman" w:cs="Times New Roman" w:eastAsia="Times New Roman" w:hAnsi="Times New Roman"/>
          <w:sz w:val="14"/>
          <w:szCs w:val="14"/>
          <w:i w:val="1"/>
          <w:iCs w:val="1"/>
          <w:color w:val="auto"/>
        </w:rPr>
        <w:t>ASU 2016-17, Consolidation (Topic 810): Interests Held through Related Parties that are under Common Control</w:t>
      </w:r>
      <w:r>
        <w:rPr>
          <w:rFonts w:ascii="Times New Roman" w:cs="Times New Roman" w:eastAsia="Times New Roman" w:hAnsi="Times New Roman"/>
          <w:sz w:val="14"/>
          <w:szCs w:val="14"/>
          <w:color w:val="auto"/>
        </w:rPr>
        <w:t>. This new guidance alters how a decision maker needs to consider interests in a variable interest entity (“VIE”) held through an entity under common control and amends the previously issued ASU 2015-02. Under the new ASU, if a decision maker is required to evaluate whether it is the primary beneficiary of a VIE, it will need to consider only its proportionate indirect interest in the VIE held through a common control party. The new standard becomes effective for the Company on January 1, 2017. Early adoption is permissible. The adoption of ASU 2016-17 did not have a material impact on the consolidated financial statements and related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Issued:</w:t>
      </w:r>
    </w:p>
    <w:p>
      <w:pPr>
        <w:spacing w:after="0" w:line="188" w:lineRule="exact"/>
        <w:rPr>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ASUs Effective 2018</w:t>
      </w:r>
    </w:p>
    <w:p>
      <w:pPr>
        <w:spacing w:after="0" w:line="153" w:lineRule="exact"/>
        <w:rPr>
          <w:rFonts w:ascii="Times New Roman" w:cs="Times New Roman" w:eastAsia="Times New Roman" w:hAnsi="Times New Roman"/>
          <w:sz w:val="14"/>
          <w:szCs w:val="14"/>
          <w:color w:val="auto"/>
        </w:rPr>
      </w:pPr>
    </w:p>
    <w:p>
      <w:pPr>
        <w:ind w:left="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New Revenue Recognition Model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(ASU 2014-09, Revenue from Contracts with Customers, codified as Topic 606</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 xml:space="preserve">In May 2014, the FASB issued </w:t>
      </w:r>
      <w:r>
        <w:rPr>
          <w:rFonts w:ascii="Times New Roman" w:cs="Times New Roman" w:eastAsia="Times New Roman" w:hAnsi="Times New Roman"/>
          <w:sz w:val="14"/>
          <w:szCs w:val="14"/>
          <w:i w:val="1"/>
          <w:iCs w:val="1"/>
          <w:color w:val="auto"/>
        </w:rPr>
        <w:t>ASU No. 2014-09, Revenue from Contracts with Customers (Topic 606)</w:t>
      </w:r>
      <w:r>
        <w:rPr>
          <w:rFonts w:ascii="Times New Roman" w:cs="Times New Roman" w:eastAsia="Times New Roman" w:hAnsi="Times New Roman"/>
          <w:sz w:val="14"/>
          <w:szCs w:val="14"/>
          <w:color w:val="auto"/>
        </w:rPr>
        <w:t>, (“ASC 606”), which requires an entity to recognize the amount of revenue to which it expects to be entitled for the transfer of promised goods or services to customers. ASC 606 will replace most existing revenue recognition guidance in US GAAP when it becomes effective. In addition, the standard requires disclosure of the nature, amount, timing, and uncertainty of revenue and cash flows arising from the contracts with customers. The new standard is effective for the Company on January 1, 2018. The standard permits the use of either a retrospective or modified retrospective transition method. The Company is adopting the guidance on January 1, 2018 and has selected the modified retrospective transition method. The Company continues to evaluate and quantify the effect that ASC 606 will have on its consolidated financial statements. While the Company does not believe the adoption of ASC 606 will have a material impact to its results of operations or cash flows, the Company currently expects the following impacts:</w:t>
      </w:r>
    </w:p>
    <w:p>
      <w:pPr>
        <w:spacing w:after="0" w:line="120" w:lineRule="exact"/>
        <w:rPr>
          <w:sz w:val="20"/>
          <w:szCs w:val="20"/>
          <w:color w:val="auto"/>
        </w:rPr>
      </w:pPr>
    </w:p>
    <w:p>
      <w:pPr>
        <w:ind w:left="520" w:right="20" w:hanging="252"/>
        <w:spacing w:after="0" w:line="267"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December 31, 2017, the Company recognized revenue associated with gift cards and gift certificates when redeemed, or when the likelihood of redemption became remote (known as "breakage" in our industry) based on historical experience. Under ASU 2014-09 and effective January 1, 2018, the Company will recognize revenue from unredeemed gift cards and certificates as redeemed and will recognize breakage following the proportional method where revenue is recognized in proportion to the pattern of rights exercised by the customer when the Company expects that it is probable that a significant revenue reversal would not occur for any estimated breakage amounts. Currently, the Company expects to reduce its deferred revenue up to $1.3 million, before taxes with related impact in retained earnings to be increased net of taxes on January 1, 2018 to give effect to this change in breakage accounting.</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77" w:name="page78"/>
    <w:bookmarkEnd w:id="77"/>
    <w:p>
      <w:pPr>
        <w:ind w:left="328" w:hanging="252"/>
        <w:spacing w:after="0" w:line="269" w:lineRule="auto"/>
        <w:tabs>
          <w:tab w:leader="none" w:pos="328"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loyalty program in every country. For our loyalty programs, we do not expect those accounting changes to have a material impact on cash flows from operations. Through December 31, 2017, the Company recorded the estimated incremental cost of providing awards under our loyalty program at the time the awards are redeemed. Effective January 1, 2018, the Company will estimate the fair value of providing such loyalty program awards at the time the related awards are earned. Currently, the Company expects to increase its deferred revenues up to $1.0 million before taxes with related impact in retained earnings to be decreased net of taxes on January 1, 2018 to give effect to the loyalty program accounting.</w:t>
      </w:r>
    </w:p>
    <w:p>
      <w:pPr>
        <w:spacing w:after="0" w:line="104" w:lineRule="exact"/>
        <w:rPr>
          <w:rFonts w:ascii="Times New Roman" w:cs="Times New Roman" w:eastAsia="Times New Roman" w:hAnsi="Times New Roman"/>
          <w:sz w:val="14"/>
          <w:szCs w:val="14"/>
          <w:color w:val="auto"/>
        </w:rPr>
      </w:pPr>
    </w:p>
    <w:p>
      <w:pPr>
        <w:ind w:left="188" w:right="40" w:hanging="188"/>
        <w:spacing w:after="0" w:line="303" w:lineRule="auto"/>
        <w:tabs>
          <w:tab w:leader="none" w:pos="18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Pension Cost Presentation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ASU 2017-07, Compensation—Retirement Benefits (Topic 715): Improving the Presentation of Net Periodic Pension Cost and Net Periodic Postretirement Benefit Cost)</w:t>
      </w:r>
    </w:p>
    <w:p>
      <w:pPr>
        <w:spacing w:after="0" w:line="116" w:lineRule="exact"/>
        <w:rPr>
          <w:sz w:val="20"/>
          <w:szCs w:val="20"/>
          <w:color w:val="auto"/>
        </w:rPr>
      </w:pPr>
    </w:p>
    <w:p>
      <w:pPr>
        <w:ind w:left="208" w:right="140"/>
        <w:spacing w:after="0" w:line="269" w:lineRule="auto"/>
        <w:rPr>
          <w:sz w:val="20"/>
          <w:szCs w:val="20"/>
          <w:color w:val="auto"/>
        </w:rPr>
      </w:pPr>
      <w:r>
        <w:rPr>
          <w:rFonts w:ascii="Times New Roman" w:cs="Times New Roman" w:eastAsia="Times New Roman" w:hAnsi="Times New Roman"/>
          <w:sz w:val="14"/>
          <w:szCs w:val="14"/>
          <w:color w:val="auto"/>
        </w:rPr>
        <w:t>Issued by FASB in March 2017, amendments in this Update (i) require that an employer disaggregate the service cost component from the other components of net benefit cost, and (ii) provide explicit guidance on how to present the service cost component and the other components of net benefit cost in the income statement and allow only the service cost component of net benefit cost to be eligible for capitalization. The new guidance is effective for the Company on January 1, 2018. Early adoption is permitted as of the beginning of an annual period for which financial statements (interim or annual) have not been issued or made available for issuance. We do not anticipate the adoption of ASU 2017-07 to have a material impact on our consolidated financial statements.</w:t>
      </w:r>
    </w:p>
    <w:p>
      <w:pPr>
        <w:spacing w:after="0" w:line="105" w:lineRule="exact"/>
        <w:rPr>
          <w:sz w:val="20"/>
          <w:szCs w:val="20"/>
          <w:color w:val="auto"/>
        </w:rPr>
      </w:pPr>
    </w:p>
    <w:p>
      <w:pPr>
        <w:ind w:left="188" w:right="340" w:hanging="188"/>
        <w:spacing w:after="0" w:line="303" w:lineRule="auto"/>
        <w:tabs>
          <w:tab w:leader="none" w:pos="18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Restricted Cash Presentation as part of Cash and Cash Equivalents</w:t>
      </w:r>
      <w:r>
        <w:rPr>
          <w:rFonts w:ascii="Times New Roman" w:cs="Times New Roman" w:eastAsia="Times New Roman" w:hAnsi="Times New Roman"/>
          <w:sz w:val="14"/>
          <w:szCs w:val="14"/>
          <w:i w:val="1"/>
          <w:iCs w:val="1"/>
          <w:color w:val="auto"/>
        </w:rPr>
        <w:t xml:space="preserve"> (ASU 2016-18, Statement of Cash Flows, Topic 230: Restricted Cash, a consensus of the FASB Emerging Issues Task Force)</w:t>
      </w:r>
    </w:p>
    <w:p>
      <w:pPr>
        <w:spacing w:after="0" w:line="116" w:lineRule="exact"/>
        <w:rPr>
          <w:sz w:val="20"/>
          <w:szCs w:val="20"/>
          <w:color w:val="auto"/>
        </w:rPr>
      </w:pPr>
    </w:p>
    <w:p>
      <w:pPr>
        <w:ind w:left="208" w:right="120"/>
        <w:spacing w:after="0" w:line="272" w:lineRule="auto"/>
        <w:rPr>
          <w:sz w:val="20"/>
          <w:szCs w:val="20"/>
          <w:color w:val="auto"/>
        </w:rPr>
      </w:pPr>
      <w:r>
        <w:rPr>
          <w:rFonts w:ascii="Times New Roman" w:cs="Times New Roman" w:eastAsia="Times New Roman" w:hAnsi="Times New Roman"/>
          <w:sz w:val="14"/>
          <w:szCs w:val="14"/>
          <w:color w:val="auto"/>
        </w:rPr>
        <w:t>Issued by FASB in November 2016, this new guidance requires that amounts generally described as restricted cash and cash equivalents should be combined with unrestricted cash and cash equivalents when reconciling the beginning and end of period balances on the statement of cash flows. The new standard becomes effective for the Company on January 1, 2018. Early adoption is permissible. The Company does not anticipate the adoption of ASU 2016-18 to have a material impact on the consolidated financial statements and related disclosures.</w:t>
      </w:r>
    </w:p>
    <w:p>
      <w:pPr>
        <w:spacing w:after="0" w:line="136" w:lineRule="exact"/>
        <w:rPr>
          <w:sz w:val="20"/>
          <w:szCs w:val="20"/>
          <w:color w:val="auto"/>
        </w:rPr>
      </w:pPr>
    </w:p>
    <w:p>
      <w:pPr>
        <w:ind w:left="188" w:hanging="188"/>
        <w:spacing w:after="0"/>
        <w:tabs>
          <w:tab w:leader="none" w:pos="18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Cash Flow Presentation</w:t>
      </w:r>
      <w:r>
        <w:rPr>
          <w:rFonts w:ascii="Times New Roman" w:cs="Times New Roman" w:eastAsia="Times New Roman" w:hAnsi="Times New Roman"/>
          <w:sz w:val="14"/>
          <w:szCs w:val="14"/>
          <w:i w:val="1"/>
          <w:iCs w:val="1"/>
          <w:color w:val="auto"/>
        </w:rPr>
        <w:t xml:space="preserve"> (ASU 2016-15, Statement of Cash Flows (Topic 230): Classification of Certain Cash Receipts and Cash Payments)</w:t>
      </w:r>
    </w:p>
    <w:p>
      <w:pPr>
        <w:spacing w:after="0" w:line="188" w:lineRule="exact"/>
        <w:rPr>
          <w:sz w:val="20"/>
          <w:szCs w:val="20"/>
          <w:color w:val="auto"/>
        </w:rPr>
      </w:pPr>
    </w:p>
    <w:p>
      <w:pPr>
        <w:ind w:left="208" w:right="200"/>
        <w:spacing w:after="0" w:line="270" w:lineRule="auto"/>
        <w:rPr>
          <w:sz w:val="20"/>
          <w:szCs w:val="20"/>
          <w:color w:val="auto"/>
        </w:rPr>
      </w:pPr>
      <w:r>
        <w:rPr>
          <w:rFonts w:ascii="Times New Roman" w:cs="Times New Roman" w:eastAsia="Times New Roman" w:hAnsi="Times New Roman"/>
          <w:sz w:val="14"/>
          <w:szCs w:val="14"/>
          <w:color w:val="auto"/>
        </w:rPr>
        <w:t>Issued by FASB in August 2016, the amendments covered in this ASU are improvements to current GAAP, as it will provide guidance to eight (8) specific cash flow classification issues, thereby reducing the current and potential future diversity in practice. The new standard becomes effective for the Company on January 1,</w:t>
      </w:r>
    </w:p>
    <w:p>
      <w:pPr>
        <w:ind w:left="208"/>
        <w:spacing w:after="0" w:line="277" w:lineRule="auto"/>
        <w:rPr>
          <w:sz w:val="20"/>
          <w:szCs w:val="20"/>
          <w:color w:val="auto"/>
        </w:rPr>
      </w:pPr>
      <w:r>
        <w:rPr>
          <w:rFonts w:ascii="Times New Roman" w:cs="Times New Roman" w:eastAsia="Times New Roman" w:hAnsi="Times New Roman"/>
          <w:sz w:val="14"/>
          <w:szCs w:val="14"/>
          <w:color w:val="auto"/>
        </w:rPr>
        <w:t>2018. Early adoption is permissible. The Company does not anticipate the adoption of ASU 2016-15 to have a material impact on the consolidated financial statements and related disclosures.</w:t>
      </w:r>
    </w:p>
    <w:p>
      <w:pPr>
        <w:spacing w:after="0" w:line="132" w:lineRule="exact"/>
        <w:rPr>
          <w:sz w:val="20"/>
          <w:szCs w:val="20"/>
          <w:color w:val="auto"/>
        </w:rPr>
      </w:pPr>
    </w:p>
    <w:p>
      <w:pPr>
        <w:ind w:left="188" w:hanging="188"/>
        <w:spacing w:after="0"/>
        <w:tabs>
          <w:tab w:leader="none" w:pos="18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Business Combination Streamlining</w:t>
      </w:r>
      <w:r>
        <w:rPr>
          <w:rFonts w:ascii="Times New Roman" w:cs="Times New Roman" w:eastAsia="Times New Roman" w:hAnsi="Times New Roman"/>
          <w:sz w:val="14"/>
          <w:szCs w:val="14"/>
          <w:i w:val="1"/>
          <w:iCs w:val="1"/>
          <w:color w:val="auto"/>
        </w:rPr>
        <w:t xml:space="preserve"> (ASU 2017-01, Business Combinations Topic 805: Clarifying the Definition of a Business)</w:t>
      </w:r>
    </w:p>
    <w:p>
      <w:pPr>
        <w:spacing w:after="0" w:line="188" w:lineRule="exact"/>
        <w:rPr>
          <w:sz w:val="20"/>
          <w:szCs w:val="20"/>
          <w:color w:val="auto"/>
        </w:rPr>
      </w:pPr>
    </w:p>
    <w:p>
      <w:pPr>
        <w:ind w:left="208"/>
        <w:spacing w:after="0" w:line="279" w:lineRule="auto"/>
        <w:rPr>
          <w:sz w:val="20"/>
          <w:szCs w:val="20"/>
          <w:color w:val="auto"/>
        </w:rPr>
      </w:pPr>
      <w:r>
        <w:rPr>
          <w:rFonts w:ascii="Times New Roman" w:cs="Times New Roman" w:eastAsia="Times New Roman" w:hAnsi="Times New Roman"/>
          <w:sz w:val="14"/>
          <w:szCs w:val="14"/>
          <w:color w:val="auto"/>
        </w:rPr>
        <w:t>Issued by FASB in January 2017, this ASU provides that when substantially all of the fair value of the gross assets acquired (or disposed of) is concentrated in a single identifiable asset or a group of similar identifiable assets, the asset is not a “business”, thus reducing the number of transactions that need further evaluation for business combination. This becomes effective for the Company on January 1, 2018. We do not expect the ASU 2017-01 to have a material impact to us currently.</w:t>
      </w:r>
    </w:p>
    <w:p>
      <w:pPr>
        <w:spacing w:after="0" w:line="133"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59690</wp:posOffset>
            </wp:positionV>
            <wp:extent cx="6485890" cy="46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9948"/>
          </w:cols>
          <w:pgMar w:left="1192" w:top="298" w:right="759" w:bottom="1440" w:gutter="0" w:footer="0" w:header="0"/>
        </w:sectPr>
      </w:pPr>
    </w:p>
    <w:bookmarkStart w:id="78" w:name="page79"/>
    <w:bookmarkEnd w:id="78"/>
    <w:p>
      <w:pPr>
        <w:ind w:left="200" w:hanging="192"/>
        <w:spacing w:after="0"/>
        <w:tabs>
          <w:tab w:leader="none" w:pos="2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ASUs Effective 2019 and Beyond</w:t>
      </w:r>
    </w:p>
    <w:p>
      <w:pPr>
        <w:spacing w:after="0" w:line="154" w:lineRule="exact"/>
        <w:rPr>
          <w:sz w:val="20"/>
          <w:szCs w:val="20"/>
          <w:color w:val="auto"/>
        </w:rPr>
      </w:pPr>
    </w:p>
    <w:p>
      <w:pPr>
        <w:ind w:left="380" w:hanging="188"/>
        <w:spacing w:after="0"/>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New Lease Accounting Model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ASU 2016-02, Leases: Topic 842)</w:t>
      </w:r>
    </w:p>
    <w:p>
      <w:pPr>
        <w:spacing w:after="0" w:line="30" w:lineRule="exact"/>
        <w:rPr>
          <w:sz w:val="20"/>
          <w:szCs w:val="20"/>
          <w:color w:val="auto"/>
        </w:rPr>
      </w:pPr>
    </w:p>
    <w:p>
      <w:pPr>
        <w:ind w:left="400"/>
        <w:spacing w:after="0" w:line="261" w:lineRule="auto"/>
        <w:rPr>
          <w:sz w:val="20"/>
          <w:szCs w:val="20"/>
          <w:color w:val="auto"/>
        </w:rPr>
      </w:pPr>
      <w:r>
        <w:rPr>
          <w:rFonts w:ascii="Times New Roman" w:cs="Times New Roman" w:eastAsia="Times New Roman" w:hAnsi="Times New Roman"/>
          <w:sz w:val="14"/>
          <w:szCs w:val="14"/>
          <w:color w:val="auto"/>
        </w:rPr>
        <w:t>This new guidance, which becomes effective for us by January 1, 2019,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 modified retrospective transition approach is required for lessees with capital and operating leases existing at, or entered into after, the beginning of the earliest comparative period presented in the financial statements, with certain practical expedients available. While we are still evaluating the impact of our pending adoption of this new standard on our consolidated financial statements, we expect that upon adoption we will recognize ROU assets and lease liabilities and that the amounts could be material since a majority of our operating cinemas are leased. We have developed an implementation plan. Significant implementation matters that we are addressing includes (i) assessment of lease population, (ii) determination of appropriate discount rate to use and (ii) assessment of renewal options to include in the initial lease term. While the Company is continuing to assess the effect of adoption, the Company currently believes the most significant changes relate to the recognition of new ROU assets and lease liabilities on its balance sheet for cinemas currently subject to operating leases.</w:t>
      </w:r>
    </w:p>
    <w:p>
      <w:pPr>
        <w:spacing w:after="0" w:line="143" w:lineRule="exact"/>
        <w:rPr>
          <w:sz w:val="20"/>
          <w:szCs w:val="20"/>
          <w:color w:val="auto"/>
        </w:rPr>
      </w:pPr>
    </w:p>
    <w:p>
      <w:pPr>
        <w:ind w:left="380" w:hanging="188"/>
        <w:spacing w:after="0"/>
        <w:tabs>
          <w:tab w:leader="none" w:pos="3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Goodwill Impairment Simplification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ASU 2017-04, Intangibles – Goodwill and Other (Topic 350): Simplifying the Test for Goodwill Impairment)</w:t>
      </w:r>
    </w:p>
    <w:p>
      <w:pPr>
        <w:spacing w:after="0" w:line="156" w:lineRule="exact"/>
        <w:rPr>
          <w:sz w:val="20"/>
          <w:szCs w:val="20"/>
          <w:color w:val="auto"/>
        </w:rPr>
      </w:pPr>
    </w:p>
    <w:p>
      <w:pPr>
        <w:ind w:left="400" w:right="80"/>
        <w:spacing w:after="0" w:line="272" w:lineRule="auto"/>
        <w:rPr>
          <w:sz w:val="20"/>
          <w:szCs w:val="20"/>
          <w:color w:val="auto"/>
        </w:rPr>
      </w:pPr>
      <w:r>
        <w:rPr>
          <w:rFonts w:ascii="Times New Roman" w:cs="Times New Roman" w:eastAsia="Times New Roman" w:hAnsi="Times New Roman"/>
          <w:sz w:val="14"/>
          <w:szCs w:val="14"/>
          <w:color w:val="auto"/>
        </w:rPr>
        <w:t>Issued by FASB in January 2017, this new guidance removes the second step of the two-step impairment test for measuring goodwill and is to be applied on a prospective basis only. The new guidance is effective for the Company on January 1, 2020, including interim periods within the year of adoption. Early adoption is permitted for interim or annual goodwill impairment tests performed on testing dates after January 1, 2017. We do not anticipate the adoption of ASU 2017-04 to have a material impact on our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3 – EARNINGS PER SHARE</w:t>
      </w:r>
    </w:p>
    <w:p>
      <w:pPr>
        <w:spacing w:after="0" w:line="156" w:lineRule="exact"/>
        <w:rPr>
          <w:sz w:val="20"/>
          <w:szCs w:val="20"/>
          <w:color w:val="auto"/>
        </w:rPr>
      </w:pPr>
    </w:p>
    <w:p>
      <w:pPr>
        <w:ind w:right="620"/>
        <w:spacing w:after="0" w:line="300"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EPS and a reconciliation of the weighted average number of common and common equivalent shares outstanding for the three years ended December 31,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 except share and per share data)</w:t>
            </w:r>
          </w:p>
        </w:tc>
        <w:tc>
          <w:tcPr>
            <w:tcW w:w="340" w:type="dxa"/>
            <w:vAlign w:val="bottom"/>
          </w:tcPr>
          <w:p>
            <w:pPr>
              <w:spacing w:after="0"/>
              <w:rPr>
                <w:sz w:val="15"/>
                <w:szCs w:val="15"/>
                <w:color w:val="auto"/>
              </w:rPr>
            </w:pPr>
          </w:p>
        </w:tc>
        <w:tc>
          <w:tcPr>
            <w:tcW w:w="88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2016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174"/>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63"/>
        </w:trPr>
        <w:tc>
          <w:tcPr>
            <w:tcW w:w="5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 attributable to RDI common stockholders</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30,999</w:t>
            </w:r>
          </w:p>
        </w:tc>
        <w:tc>
          <w:tcPr>
            <w:tcW w:w="280" w:type="dxa"/>
            <w:vAlign w:val="bottom"/>
          </w:tcPr>
          <w:p>
            <w:pPr>
              <w:spacing w:after="0"/>
              <w:rPr>
                <w:sz w:val="14"/>
                <w:szCs w:val="14"/>
                <w:color w:val="auto"/>
              </w:rPr>
            </w:pP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9,403</w:t>
            </w:r>
          </w:p>
        </w:tc>
        <w:tc>
          <w:tcPr>
            <w:tcW w:w="260" w:type="dxa"/>
            <w:vAlign w:val="bottom"/>
          </w:tcPr>
          <w:p>
            <w:pPr>
              <w:spacing w:after="0"/>
              <w:rPr>
                <w:sz w:val="14"/>
                <w:szCs w:val="14"/>
                <w:color w:val="auto"/>
              </w:rPr>
            </w:pPr>
          </w:p>
        </w:tc>
        <w:tc>
          <w:tcPr>
            <w:tcW w:w="3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23,110</w:t>
            </w:r>
          </w:p>
        </w:tc>
      </w:tr>
      <w:tr>
        <w:trPr>
          <w:trHeight w:val="184"/>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63"/>
        </w:trPr>
        <w:tc>
          <w:tcPr>
            <w:tcW w:w="5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 average shares of common stock – basic</w:t>
            </w: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23,041,190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23,320,048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23,293,696</w:t>
            </w:r>
          </w:p>
        </w:tc>
      </w:tr>
      <w:tr>
        <w:trPr>
          <w:trHeight w:val="163"/>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dilutive impact of stock-based awards</w:t>
            </w:r>
          </w:p>
        </w:tc>
        <w:tc>
          <w:tcPr>
            <w:tcW w:w="3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206,779</w:t>
            </w:r>
          </w:p>
        </w:tc>
        <w:tc>
          <w:tcPr>
            <w:tcW w:w="2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201,109</w:t>
            </w:r>
          </w:p>
        </w:tc>
        <w:tc>
          <w:tcPr>
            <w:tcW w:w="2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201,922</w:t>
            </w:r>
          </w:p>
        </w:tc>
      </w:tr>
      <w:tr>
        <w:trPr>
          <w:trHeight w:val="155"/>
        </w:trPr>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Weighted average shares of common stock – diluted</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23,247,969</w:t>
            </w:r>
          </w:p>
        </w:tc>
        <w:tc>
          <w:tcPr>
            <w:tcW w:w="2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23,521,157</w:t>
            </w:r>
          </w:p>
        </w:tc>
        <w:tc>
          <w:tcPr>
            <w:tcW w:w="2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23,495,618</w:t>
            </w:r>
          </w:p>
        </w:tc>
      </w:tr>
      <w:tr>
        <w:trPr>
          <w:trHeight w:val="183"/>
        </w:trPr>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Basic EPS attributable to RDI common stockholders</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0.40</w:t>
            </w: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0.99</w:t>
            </w:r>
          </w:p>
        </w:tc>
      </w:tr>
      <w:tr>
        <w:trPr>
          <w:trHeight w:val="146"/>
        </w:trPr>
        <w:tc>
          <w:tcPr>
            <w:tcW w:w="5920" w:type="dxa"/>
            <w:vAlign w:val="bottom"/>
            <w:tcBorders>
              <w:bottom w:val="single" w:sz="8" w:color="CCEEFF"/>
            </w:tcBorders>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Diluted EPS attributable to RDI common stockholders</w:t>
            </w:r>
          </w:p>
        </w:tc>
        <w:tc>
          <w:tcPr>
            <w:tcW w:w="340" w:type="dxa"/>
            <w:vAlign w:val="bottom"/>
            <w:tcBorders>
              <w:bottom w:val="single" w:sz="8" w:color="auto"/>
            </w:tcBorders>
          </w:tcPr>
          <w:p>
            <w:pPr>
              <w:jc w:val="right"/>
              <w:ind w:right="55"/>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1.33</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55"/>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0.40</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75"/>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0.98</w:t>
            </w:r>
          </w:p>
        </w:tc>
      </w:tr>
      <w:tr>
        <w:trPr>
          <w:trHeight w:val="164"/>
        </w:trPr>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Awards excluded from diluted EPS</w:t>
            </w:r>
          </w:p>
        </w:tc>
        <w:tc>
          <w:tcPr>
            <w:tcW w:w="3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149,841</w:t>
            </w:r>
          </w:p>
        </w:tc>
        <w:tc>
          <w:tcPr>
            <w:tcW w:w="2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92,500</w:t>
            </w: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4 – REAL ESTATE TRANSACTIONS</w:t>
      </w:r>
    </w:p>
    <w:p>
      <w:pPr>
        <w:spacing w:after="0" w:line="166" w:lineRule="exact"/>
        <w:rPr>
          <w:sz w:val="20"/>
          <w:szCs w:val="20"/>
          <w:color w:val="auto"/>
        </w:rPr>
      </w:pPr>
    </w:p>
    <w:p>
      <w:pPr>
        <w:ind w:right="540"/>
        <w:spacing w:after="0" w:line="300" w:lineRule="auto"/>
        <w:rPr>
          <w:sz w:val="20"/>
          <w:szCs w:val="20"/>
          <w:color w:val="auto"/>
        </w:rPr>
      </w:pPr>
      <w:r>
        <w:rPr>
          <w:rFonts w:ascii="Times New Roman" w:cs="Times New Roman" w:eastAsia="Times New Roman" w:hAnsi="Times New Roman"/>
          <w:sz w:val="14"/>
          <w:szCs w:val="14"/>
          <w:color w:val="auto"/>
        </w:rPr>
        <w:t>Discussed below are the real estate transactions impacting the presentation in our consolidated balance sheets as of December 31, 2017 and 2016, and the profitability determination in our consolidated statements of income for the three years ended December 31, 2017:</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Real Estate Sales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Landholding in Burwood, Australia </w:t>
      </w:r>
      <w:r>
        <w:rPr>
          <w:rFonts w:ascii="Times New Roman" w:cs="Times New Roman" w:eastAsia="Times New Roman" w:hAnsi="Times New Roman"/>
          <w:sz w:val="14"/>
          <w:szCs w:val="14"/>
          <w:i w:val="1"/>
          <w:iCs w:val="1"/>
          <w:color w:val="auto"/>
        </w:rPr>
        <w:t>(Initiated 2015, Settled 2017)</w:t>
      </w:r>
    </w:p>
    <w:p>
      <w:pPr>
        <w:spacing w:after="0" w:line="3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On May 12, 2014, we entered into a contract to sell our undeveloped 50.6 acre parcel in Burwood, Victoria, Australia, to Australand Holdings Limited (now known as Frasers Property Australia, “Frasers”) for a purchase price of $50.6 million (AU$65.0 million). We received $5.9 million (AU$6.5 million) on May 23, 2014, $16.6 million (AU$ 21.8 million) on June 19, 2017 and final settlement on December 14, 2017 of $28.1 million (AU$36.6 million).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The final sale price was adjusted by $56,000 (AU$75,000) due to an early settlement agreed between both parties. The final transaction gain is determined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97"/>
              </w:rPr>
              <w:t>In AU$</w:t>
            </w:r>
          </w:p>
        </w:tc>
      </w:tr>
      <w:tr>
        <w:trPr>
          <w:trHeight w:val="18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price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64,925</w:t>
            </w:r>
          </w:p>
        </w:tc>
      </w:tr>
      <w:tr>
        <w:trPr>
          <w:trHeight w:val="171"/>
        </w:trPr>
        <w:tc>
          <w:tcPr>
            <w:tcW w:w="3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Less: Property book value</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(52,108)</w:t>
            </w:r>
          </w:p>
        </w:tc>
      </w:tr>
      <w:tr>
        <w:trPr>
          <w:trHeight w:val="178"/>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transaction gain, gross</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12,817</w:t>
            </w:r>
          </w:p>
        </w:tc>
      </w:tr>
      <w:tr>
        <w:trPr>
          <w:trHeight w:val="195"/>
        </w:trPr>
        <w:tc>
          <w:tcPr>
            <w:tcW w:w="3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Less: Direct costs incurred</w:t>
            </w:r>
            <w:r>
              <w:rPr>
                <w:rFonts w:ascii="Times New Roman" w:cs="Times New Roman" w:eastAsia="Times New Roman" w:hAnsi="Times New Roman"/>
                <w:sz w:val="14"/>
                <w:szCs w:val="14"/>
                <w:color w:val="auto"/>
                <w:vertAlign w:val="superscript"/>
              </w:rPr>
              <w:t>(1)</w:t>
            </w: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w:t>
            </w:r>
          </w:p>
        </w:tc>
      </w:tr>
      <w:tr>
        <w:trPr>
          <w:trHeight w:val="166"/>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transaction gain, net</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12,378</w:t>
            </w:r>
          </w:p>
        </w:tc>
      </w:tr>
    </w:tbl>
    <w:p>
      <w:pPr>
        <w:spacing w:after="0" w:line="78" w:lineRule="exact"/>
        <w:rPr>
          <w:sz w:val="20"/>
          <w:szCs w:val="20"/>
          <w:color w:val="auto"/>
        </w:rPr>
      </w:pPr>
    </w:p>
    <w:p>
      <w:pPr>
        <w:ind w:left="100" w:hanging="92"/>
        <w:spacing w:after="0"/>
        <w:tabs>
          <w:tab w:leader="none" w:pos="100" w:val="left"/>
        </w:tabs>
        <w:numPr>
          <w:ilvl w:val="0"/>
          <w:numId w:val="79"/>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10"/>
          <w:szCs w:val="10"/>
          <w:i w:val="1"/>
          <w:iCs w:val="1"/>
          <w:color w:val="auto"/>
        </w:rPr>
        <w:t>Represents commissions and legal expenses incurred in connection with this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Landholding in Moonee Ponds, Australia </w:t>
      </w:r>
      <w:r>
        <w:rPr>
          <w:rFonts w:ascii="Times New Roman" w:cs="Times New Roman" w:eastAsia="Times New Roman" w:hAnsi="Times New Roman"/>
          <w:sz w:val="14"/>
          <w:szCs w:val="14"/>
          <w:i w:val="1"/>
          <w:iCs w:val="1"/>
          <w:color w:val="auto"/>
        </w:rPr>
        <w:t>(Initiated 2013, Settled 2015)</w:t>
      </w:r>
    </w:p>
    <w:p>
      <w:pPr>
        <w:spacing w:after="0" w:line="3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On October 15, 2013, we entered into a definitive purchase and sale agreement to sell this property for a sales price of $17.5 million (AU$23.0 million) payable in full upon closing of the transaction on April 16, 2015. In accordance with the requirements under US GAAP, we recognized a gain of $8.0 million (AU$10.3 million) in the second quarter of 2015 upon the receipt of sale proceeds on April 16, 2015.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Doheny Condo, Los Angeles </w:t>
      </w:r>
      <w:r>
        <w:rPr>
          <w:rFonts w:ascii="Times New Roman" w:cs="Times New Roman" w:eastAsia="Times New Roman" w:hAnsi="Times New Roman"/>
          <w:sz w:val="14"/>
          <w:szCs w:val="14"/>
          <w:i w:val="1"/>
          <w:iCs w:val="1"/>
          <w:color w:val="auto"/>
        </w:rPr>
        <w:t>(Initiated and Settled 2015)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25, 2015, we sold our Los Angeles Condo for $3.0 million resulting in a $2.8 million gain on sale.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Properties in Taupo, New Zealand </w:t>
      </w:r>
      <w:r>
        <w:rPr>
          <w:rFonts w:ascii="Times New Roman" w:cs="Times New Roman" w:eastAsia="Times New Roman" w:hAnsi="Times New Roman"/>
          <w:sz w:val="14"/>
          <w:szCs w:val="14"/>
          <w:i w:val="1"/>
          <w:iCs w:val="1"/>
          <w:color w:val="auto"/>
        </w:rPr>
        <w:t>(Initiated 2015, Settled 2016)</w:t>
      </w:r>
    </w:p>
    <w:p>
      <w:pPr>
        <w:spacing w:after="0" w:line="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On April 1, 2015, we entered into two definitive purchase and sale agreements to sell our properties in Taupo, New Zealand for a combined sales price of $2.4 million (NZ$3.4 million). The first agreement relates to a property with a sales price of $1.6 million (NZ$2.2 million) and a book value of $1.3 million (NZ$1.8 million), which closed on April 30, 2015 when we received the sales price in full. The other agreement related to a property with a sales price of $831,000 (NZ$1.2 million) and a book value of $426,000 (NZ$615,000) which was completed and for which we received cash settlement representing the full sales price on March 31, 2016. The first transaction qualified as a sale under both U.S. GAAP and tax purposes during the year-ended December 31, 2015. The second transaction was recorded as a sale during the quarter ended March 31, 2016.</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Real Estate Acquisitions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New Corporate Headquarters Building, Los Angeles </w:t>
      </w:r>
      <w:r>
        <w:rPr>
          <w:rFonts w:ascii="Times New Roman" w:cs="Times New Roman" w:eastAsia="Times New Roman" w:hAnsi="Times New Roman"/>
          <w:sz w:val="14"/>
          <w:szCs w:val="14"/>
          <w:i w:val="1"/>
          <w:iCs w:val="1"/>
          <w:color w:val="auto"/>
        </w:rPr>
        <w:t>(Asset Acquisition, 2016)</w:t>
      </w:r>
    </w:p>
    <w:p>
      <w:pPr>
        <w:spacing w:after="0" w:line="3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auto"/>
        </w:rPr>
        <w:t>On April 11, 2016, we purchased a 24,000 square foot office building with 72 parking spaces located at 5995 Sepulveda Boulevard in Culver City, California (a Los Angeles suburb) for $11.2 million. The terms and circumstances of this acquisition were not considered to meet the definition of a business combination in accordance with US GAAP. We intend to use approximately 50% of the leasable area for our headquarters offices and to lease the remainder overtime to unaffiliated third parties.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Building &amp; Landholding in Newmarket, Australia </w:t>
      </w:r>
      <w:r>
        <w:rPr>
          <w:rFonts w:ascii="Times New Roman" w:cs="Times New Roman" w:eastAsia="Times New Roman" w:hAnsi="Times New Roman"/>
          <w:sz w:val="14"/>
          <w:szCs w:val="14"/>
          <w:i w:val="1"/>
          <w:iCs w:val="1"/>
          <w:color w:val="auto"/>
        </w:rPr>
        <w:t>(Asset Acquisition, 2015)</w:t>
      </w:r>
    </w:p>
    <w:p>
      <w:pPr>
        <w:spacing w:after="0" w:line="3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November 30, 2015, we completed the purchase of an approximately 23,000 square foot parcel adjacent to our existing Newmarket shopping center in Brisbane, Australia for a total consideration of $5.5 million (AU$7.6 million). The acquired land has an existing office building which was vacant at the time of purchase completion. We intend, over time, to integrate this property into our Newmarket development thereby increasing our footprint from approximately 204,000 to 227,000 square feet. The terms and circumstances of this acquisition were not considered to meet the definition of a business combination in accordance with US GAAP.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Cannon Park ETC in Queensland, Australia (</w:t>
      </w:r>
      <w:r>
        <w:rPr>
          <w:rFonts w:ascii="Times New Roman" w:cs="Times New Roman" w:eastAsia="Times New Roman" w:hAnsi="Times New Roman"/>
          <w:sz w:val="14"/>
          <w:szCs w:val="14"/>
          <w:i w:val="1"/>
          <w:iCs w:val="1"/>
          <w:color w:val="auto"/>
        </w:rPr>
        <w:t>Business Combination, 2015)</w:t>
      </w:r>
    </w:p>
    <w:p>
      <w:pPr>
        <w:spacing w:after="0" w:line="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On December 23, 2015, we completed a 100% acquisition of two adjoining properties in Townsville, Australia for a total of $24.1 million (AU$33.4 million) in cash. The properties are located approximately 6 miles from downtown Townsville, the fourth largest city in Queensland, Australia. The total gross leasable area of the two adjoining properties, the Cannon Park City Centre and the Cannon Park Discount Centre, is 133,000 square feet. The Cannon Park City Centre is anchored by Reading Cinemas, which is operated by Reading International’s 75% owned subsidiary, Australia Country Cinemas, and has three mini-major tenants and ten specialty family oriented restaurant tenants. The Cannon Park Discount Centre is anchored by Kingpin Bowling and supported by four other retailers. This acquisition is consistent with our business plan to own, where practical, the land underlying our entertainment assets.</w:t>
      </w:r>
    </w:p>
    <w:p>
      <w:pPr>
        <w:spacing w:after="0" w:line="123"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4"/>
          <w:szCs w:val="14"/>
          <w:color w:val="auto"/>
        </w:rPr>
        <w:t>The acquired assets consist primarily of the land and buildings, which, at the time of acquisition, was approximately 98% leased to existing tenants. Tenancies ranged from having 9 months to 8 years left to run on their leases at the time of purchase.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80" w:name="page81"/>
    <w:bookmarkEnd w:id="80"/>
    <w:p>
      <w:pPr>
        <w:ind w:right="80"/>
        <w:spacing w:after="0" w:line="267" w:lineRule="auto"/>
        <w:rPr>
          <w:sz w:val="20"/>
          <w:szCs w:val="20"/>
          <w:color w:val="auto"/>
        </w:rPr>
      </w:pPr>
      <w:r>
        <w:rPr>
          <w:rFonts w:ascii="Times New Roman" w:cs="Times New Roman" w:eastAsia="Times New Roman" w:hAnsi="Times New Roman"/>
          <w:sz w:val="14"/>
          <w:szCs w:val="14"/>
          <w:color w:val="auto"/>
        </w:rPr>
        <w:t>We have concluded the acquired assets constitute a “business” and we accounted this as a business combination. During the quarter ended September 30, 2016, the Company finalized the allocation of the purchase price to the identifiable assets acquired and liabilities assumed based on its estimates of their fair values on the acquisition date. The acquired value components of this real estate acquisition included both tangible and intangible assets. The determination of the fair values of the acquired assets and assumed liabilities (and the related determination of estimated lives of depreciable tangible and identifiable intangible assets) requires significant judgment. The estimates and assumptions include projected timing and amount of future cash flows and discount rates reflecting the risk inherent in the future cash flows. Typical of a real estate acquisition, there was no goodwill recorded as the purchase price did not exceed the fair value estimates of the net acquired assets.</w:t>
      </w:r>
    </w:p>
    <w:p>
      <w:pPr>
        <w:spacing w:after="0" w:line="108"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4"/>
          <w:szCs w:val="14"/>
          <w:color w:val="auto"/>
        </w:rPr>
        <w:t>The following table summarizes the final allocation of the purchase price to the estimated fair values of assets acquired and liabilities assumed at the date of acquisition, as well as adjustments made during the measurement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Measurement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3"/>
          </w:tcPr>
          <w:p>
            <w:pPr>
              <w:jc w:val="center"/>
              <w:ind w:left="202"/>
              <w:spacing w:after="0"/>
              <w:rPr>
                <w:sz w:val="20"/>
                <w:szCs w:val="20"/>
                <w:color w:val="auto"/>
              </w:rPr>
            </w:pPr>
            <w:r>
              <w:rPr>
                <w:rFonts w:ascii="Times New Roman" w:cs="Times New Roman" w:eastAsia="Times New Roman" w:hAnsi="Times New Roman"/>
                <w:sz w:val="12"/>
                <w:szCs w:val="12"/>
                <w:b w:val="1"/>
                <w:bCs w:val="1"/>
                <w:color w:val="auto"/>
                <w:w w:val="95"/>
              </w:rPr>
              <w:t>Preliminary Purchase Price</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ind w:left="480"/>
              <w:spacing w:after="0"/>
              <w:rPr>
                <w:sz w:val="20"/>
                <w:szCs w:val="20"/>
                <w:color w:val="auto"/>
              </w:rPr>
            </w:pPr>
            <w:r>
              <w:rPr>
                <w:rFonts w:ascii="Times New Roman" w:cs="Times New Roman" w:eastAsia="Times New Roman" w:hAnsi="Times New Roman"/>
                <w:sz w:val="12"/>
                <w:szCs w:val="12"/>
                <w:b w:val="1"/>
                <w:bCs w:val="1"/>
                <w:color w:val="auto"/>
              </w:rPr>
              <w:t>Final Purchase Price</w:t>
            </w:r>
          </w:p>
        </w:tc>
      </w:tr>
      <w:tr>
        <w:trPr>
          <w:trHeight w:val="140"/>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582"/>
              <w:spacing w:after="0"/>
              <w:rPr>
                <w:sz w:val="20"/>
                <w:szCs w:val="20"/>
                <w:color w:val="auto"/>
              </w:rPr>
            </w:pPr>
            <w:r>
              <w:rPr>
                <w:rFonts w:ascii="Times New Roman" w:cs="Times New Roman" w:eastAsia="Times New Roman" w:hAnsi="Times New Roman"/>
                <w:sz w:val="12"/>
                <w:szCs w:val="12"/>
                <w:b w:val="1"/>
                <w:bCs w:val="1"/>
                <w:color w:val="auto"/>
                <w:w w:val="94"/>
              </w:rPr>
              <w:t>Allocation</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8"/>
              </w:rPr>
              <w:t>Adjustments</w:t>
            </w:r>
            <w:r>
              <w:rPr>
                <w:rFonts w:ascii="Times New Roman" w:cs="Times New Roman" w:eastAsia="Times New Roman" w:hAnsi="Times New Roman"/>
                <w:sz w:val="5"/>
                <w:szCs w:val="5"/>
                <w:b w:val="1"/>
                <w:bCs w:val="1"/>
                <w:color w:val="auto"/>
                <w:w w:val="98"/>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Allocation</w:t>
            </w: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US Dollars</w:t>
            </w:r>
            <w:r>
              <w:rPr>
                <w:rFonts w:ascii="Times New Roman" w:cs="Times New Roman" w:eastAsia="Times New Roman" w:hAnsi="Times New Roman"/>
                <w:sz w:val="5"/>
                <w:szCs w:val="5"/>
                <w:b w:val="1"/>
                <w:bCs w:val="1"/>
                <w:color w:val="auto"/>
              </w:rPr>
              <w:t>(1)</w:t>
            </w: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w w:val="93"/>
              </w:rPr>
              <w:t>AU dollars</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6"/>
              </w:rPr>
              <w:t>AU dollars</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US Dollars</w:t>
            </w:r>
            <w:r>
              <w:rPr>
                <w:rFonts w:ascii="Times New Roman" w:cs="Times New Roman" w:eastAsia="Times New Roman" w:hAnsi="Times New Roman"/>
                <w:sz w:val="5"/>
                <w:szCs w:val="5"/>
                <w:b w:val="1"/>
                <w:bCs w:val="1"/>
                <w:color w:val="auto"/>
              </w:rPr>
              <w:t>(1)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AU dollars</w:t>
            </w:r>
          </w:p>
        </w:tc>
        <w:tc>
          <w:tcPr>
            <w:tcW w:w="20" w:type="dxa"/>
            <w:vAlign w:val="bottom"/>
          </w:tcPr>
          <w:p>
            <w:pPr>
              <w:spacing w:after="0"/>
              <w:rPr>
                <w:sz w:val="12"/>
                <w:szCs w:val="12"/>
                <w:color w:val="auto"/>
              </w:rPr>
            </w:pPr>
          </w:p>
        </w:tc>
      </w:tr>
      <w:tr>
        <w:trPr>
          <w:trHeight w:val="141"/>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Tangible Assets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1"/>
        </w:trPr>
        <w:tc>
          <w:tcPr>
            <w:tcW w:w="3880" w:type="dxa"/>
            <w:vAlign w:val="bottom"/>
            <w:gridSpan w:val="4"/>
          </w:tcPr>
          <w:p>
            <w:pPr>
              <w:ind w:left="100"/>
              <w:spacing w:after="0" w:line="121" w:lineRule="exact"/>
              <w:rPr>
                <w:sz w:val="20"/>
                <w:szCs w:val="20"/>
                <w:color w:val="auto"/>
              </w:rPr>
            </w:pPr>
            <w:r>
              <w:rPr>
                <w:rFonts w:ascii="Times New Roman" w:cs="Times New Roman" w:eastAsia="Times New Roman" w:hAnsi="Times New Roman"/>
                <w:sz w:val="12"/>
                <w:szCs w:val="12"/>
                <w:color w:val="auto"/>
              </w:rPr>
              <w:t>Operating property:</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1"/>
        </w:trPr>
        <w:tc>
          <w:tcPr>
            <w:tcW w:w="38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Land</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7,525</w:t>
            </w:r>
          </w:p>
        </w:tc>
        <w:tc>
          <w:tcPr>
            <w:tcW w:w="1140" w:type="dxa"/>
            <w:vAlign w:val="bottom"/>
            <w:gridSpan w:val="2"/>
            <w:shd w:val="clear" w:color="auto" w:fill="CCEEFF"/>
          </w:tcPr>
          <w:p>
            <w:pPr>
              <w:jc w:val="center"/>
              <w:ind w:right="582"/>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10,421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11,142</w:t>
            </w:r>
          </w:p>
        </w:tc>
        <w:tc>
          <w:tcPr>
            <w:tcW w:w="20" w:type="dxa"/>
            <w:vAlign w:val="bottom"/>
          </w:tcPr>
          <w:p>
            <w:pPr>
              <w:spacing w:after="0"/>
              <w:rPr>
                <w:sz w:val="12"/>
                <w:szCs w:val="12"/>
                <w:color w:val="auto"/>
              </w:rPr>
            </w:pPr>
          </w:p>
        </w:tc>
      </w:tr>
      <w:tr>
        <w:trPr>
          <w:trHeight w:val="152"/>
        </w:trPr>
        <w:tc>
          <w:tcPr>
            <w:tcW w:w="3880" w:type="dxa"/>
            <w:vAlign w:val="bottom"/>
            <w:gridSpan w:val="4"/>
          </w:tcPr>
          <w:p>
            <w:pPr>
              <w:ind w:left="360"/>
              <w:spacing w:after="0"/>
              <w:rPr>
                <w:sz w:val="20"/>
                <w:szCs w:val="20"/>
                <w:color w:val="auto"/>
              </w:rPr>
            </w:pPr>
            <w:r>
              <w:rPr>
                <w:rFonts w:ascii="Times New Roman" w:cs="Times New Roman" w:eastAsia="Times New Roman" w:hAnsi="Times New Roman"/>
                <w:sz w:val="12"/>
                <w:szCs w:val="12"/>
                <w:color w:val="auto"/>
              </w:rPr>
              <w:t>Building and improvements</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16,588</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22,971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(6,453)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16,518</w:t>
            </w:r>
          </w:p>
        </w:tc>
        <w:tc>
          <w:tcPr>
            <w:tcW w:w="20" w:type="dxa"/>
            <w:vAlign w:val="bottom"/>
          </w:tcPr>
          <w:p>
            <w:pPr>
              <w:spacing w:after="0"/>
              <w:rPr>
                <w:sz w:val="13"/>
                <w:szCs w:val="13"/>
                <w:color w:val="auto"/>
              </w:rPr>
            </w:pPr>
          </w:p>
        </w:tc>
      </w:tr>
      <w:tr>
        <w:trPr>
          <w:trHeight w:val="130"/>
        </w:trPr>
        <w:tc>
          <w:tcPr>
            <w:tcW w:w="3880" w:type="dxa"/>
            <w:vAlign w:val="bottom"/>
            <w:gridSpan w:val="4"/>
            <w:shd w:val="clear" w:color="auto" w:fill="CCEEFF"/>
          </w:tcPr>
          <w:p>
            <w:pPr>
              <w:ind w:left="360"/>
              <w:spacing w:after="0" w:line="130" w:lineRule="exact"/>
              <w:rPr>
                <w:sz w:val="20"/>
                <w:szCs w:val="20"/>
                <w:color w:val="auto"/>
              </w:rPr>
            </w:pPr>
            <w:r>
              <w:rPr>
                <w:rFonts w:ascii="Times New Roman" w:cs="Times New Roman" w:eastAsia="Times New Roman" w:hAnsi="Times New Roman"/>
                <w:sz w:val="12"/>
                <w:szCs w:val="12"/>
                <w:color w:val="auto"/>
              </w:rPr>
              <w:t>Site improvements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2,321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1,676</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2,321</w:t>
            </w:r>
          </w:p>
        </w:tc>
        <w:tc>
          <w:tcPr>
            <w:tcW w:w="20" w:type="dxa"/>
            <w:vAlign w:val="bottom"/>
          </w:tcPr>
          <w:p>
            <w:pPr>
              <w:spacing w:after="0"/>
              <w:rPr>
                <w:sz w:val="11"/>
                <w:szCs w:val="11"/>
                <w:color w:val="auto"/>
              </w:rPr>
            </w:pPr>
          </w:p>
        </w:tc>
      </w:tr>
      <w:tr>
        <w:trPr>
          <w:trHeight w:val="152"/>
        </w:trPr>
        <w:tc>
          <w:tcPr>
            <w:tcW w:w="3880" w:type="dxa"/>
            <w:vAlign w:val="bottom"/>
            <w:gridSpan w:val="4"/>
          </w:tcPr>
          <w:p>
            <w:pPr>
              <w:ind w:left="360"/>
              <w:spacing w:after="0"/>
              <w:rPr>
                <w:sz w:val="20"/>
                <w:szCs w:val="20"/>
                <w:color w:val="auto"/>
              </w:rPr>
            </w:pPr>
            <w:r>
              <w:rPr>
                <w:rFonts w:ascii="Times New Roman" w:cs="Times New Roman" w:eastAsia="Times New Roman" w:hAnsi="Times New Roman"/>
                <w:sz w:val="12"/>
                <w:szCs w:val="12"/>
                <w:color w:val="auto"/>
              </w:rPr>
              <w:t>Tenant improvements</w:t>
            </w:r>
          </w:p>
        </w:tc>
        <w:tc>
          <w:tcPr>
            <w:tcW w:w="12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w:t>
            </w:r>
          </w:p>
        </w:tc>
        <w:tc>
          <w:tcPr>
            <w:tcW w:w="20" w:type="dxa"/>
            <w:vAlign w:val="bottom"/>
          </w:tcPr>
          <w:p>
            <w:pPr>
              <w:spacing w:after="0"/>
              <w:rPr>
                <w:sz w:val="13"/>
                <w:szCs w:val="13"/>
                <w:color w:val="auto"/>
              </w:rPr>
            </w:pPr>
          </w:p>
        </w:tc>
      </w:tr>
      <w:tr>
        <w:trPr>
          <w:trHeight w:val="141"/>
        </w:trPr>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1"/>
        </w:trPr>
        <w:tc>
          <w:tcPr>
            <w:tcW w:w="3880" w:type="dxa"/>
            <w:vAlign w:val="bottom"/>
            <w:gridSpan w:val="4"/>
          </w:tcPr>
          <w:p>
            <w:pPr>
              <w:ind w:left="100"/>
              <w:spacing w:after="0" w:line="121" w:lineRule="exact"/>
              <w:rPr>
                <w:sz w:val="20"/>
                <w:szCs w:val="20"/>
                <w:color w:val="auto"/>
              </w:rPr>
            </w:pPr>
            <w:r>
              <w:rPr>
                <w:rFonts w:ascii="Times New Roman" w:cs="Times New Roman" w:eastAsia="Times New Roman" w:hAnsi="Times New Roman"/>
                <w:sz w:val="12"/>
                <w:szCs w:val="12"/>
                <w:color w:val="auto"/>
              </w:rPr>
              <w:t>Above-market leases</w:t>
            </w:r>
          </w:p>
        </w:tc>
        <w:tc>
          <w:tcPr>
            <w:tcW w:w="120" w:type="dxa"/>
            <w:vAlign w:val="bottom"/>
          </w:tcPr>
          <w:p>
            <w:pPr>
              <w:spacing w:after="0"/>
              <w:rPr>
                <w:sz w:val="10"/>
                <w:szCs w:val="10"/>
                <w:color w:val="auto"/>
              </w:rPr>
            </w:pPr>
          </w:p>
        </w:tc>
        <w:tc>
          <w:tcPr>
            <w:tcW w:w="880" w:type="dxa"/>
            <w:vAlign w:val="bottom"/>
          </w:tcPr>
          <w:p>
            <w:pPr>
              <w:jc w:val="right"/>
              <w:ind w:right="2"/>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jc w:val="right"/>
              <w:ind w:right="2"/>
              <w:spacing w:after="0" w:line="121"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61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44</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61</w:t>
            </w:r>
          </w:p>
        </w:tc>
        <w:tc>
          <w:tcPr>
            <w:tcW w:w="20" w:type="dxa"/>
            <w:vAlign w:val="bottom"/>
          </w:tcPr>
          <w:p>
            <w:pPr>
              <w:spacing w:after="0"/>
              <w:rPr>
                <w:sz w:val="10"/>
                <w:szCs w:val="10"/>
                <w:color w:val="auto"/>
              </w:rPr>
            </w:pPr>
          </w:p>
        </w:tc>
      </w:tr>
      <w:tr>
        <w:trPr>
          <w:trHeight w:val="141"/>
        </w:trPr>
        <w:tc>
          <w:tcPr>
            <w:tcW w:w="38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In-place leases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2,135</w:t>
            </w:r>
          </w:p>
        </w:tc>
        <w:tc>
          <w:tcPr>
            <w:tcW w:w="20" w:type="dxa"/>
            <w:vAlign w:val="bottom"/>
          </w:tcPr>
          <w:p>
            <w:pPr>
              <w:spacing w:after="0"/>
              <w:rPr>
                <w:sz w:val="12"/>
                <w:szCs w:val="12"/>
                <w:color w:val="auto"/>
              </w:rPr>
            </w:pPr>
          </w:p>
        </w:tc>
      </w:tr>
      <w:tr>
        <w:trPr>
          <w:trHeight w:val="130"/>
        </w:trPr>
        <w:tc>
          <w:tcPr>
            <w:tcW w:w="3880" w:type="dxa"/>
            <w:vAlign w:val="bottom"/>
            <w:gridSpan w:val="4"/>
          </w:tcPr>
          <w:p>
            <w:pPr>
              <w:ind w:left="100"/>
              <w:spacing w:after="0" w:line="130" w:lineRule="exact"/>
              <w:rPr>
                <w:sz w:val="20"/>
                <w:szCs w:val="20"/>
                <w:color w:val="auto"/>
              </w:rPr>
            </w:pPr>
            <w:r>
              <w:rPr>
                <w:rFonts w:ascii="Times New Roman" w:cs="Times New Roman" w:eastAsia="Times New Roman" w:hAnsi="Times New Roman"/>
                <w:sz w:val="12"/>
                <w:szCs w:val="12"/>
                <w:color w:val="auto"/>
              </w:rPr>
              <w:t>Unamortized leasing commissions</w:t>
            </w:r>
          </w:p>
        </w:tc>
        <w:tc>
          <w:tcPr>
            <w:tcW w:w="120" w:type="dxa"/>
            <w:vAlign w:val="bottom"/>
          </w:tcPr>
          <w:p>
            <w:pPr>
              <w:spacing w:after="0"/>
              <w:rPr>
                <w:sz w:val="11"/>
                <w:szCs w:val="11"/>
                <w:color w:val="auto"/>
              </w:rPr>
            </w:pPr>
          </w:p>
        </w:tc>
        <w:tc>
          <w:tcPr>
            <w:tcW w:w="880" w:type="dxa"/>
            <w:vAlign w:val="bottom"/>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333</w:t>
            </w:r>
          </w:p>
        </w:tc>
        <w:tc>
          <w:tcPr>
            <w:tcW w:w="20" w:type="dxa"/>
            <w:vAlign w:val="bottom"/>
          </w:tcPr>
          <w:p>
            <w:pPr>
              <w:spacing w:after="0"/>
              <w:rPr>
                <w:sz w:val="11"/>
                <w:szCs w:val="11"/>
                <w:color w:val="auto"/>
              </w:rPr>
            </w:pPr>
          </w:p>
        </w:tc>
      </w:tr>
      <w:tr>
        <w:trPr>
          <w:trHeight w:val="119"/>
        </w:trPr>
        <w:tc>
          <w:tcPr>
            <w:tcW w:w="3880" w:type="dxa"/>
            <w:vAlign w:val="bottom"/>
            <w:gridSpan w:val="4"/>
            <w:shd w:val="clear" w:color="auto" w:fill="CCEEFF"/>
          </w:tcPr>
          <w:p>
            <w:pPr>
              <w:ind w:left="100"/>
              <w:spacing w:after="0" w:line="120" w:lineRule="exact"/>
              <w:rPr>
                <w:sz w:val="20"/>
                <w:szCs w:val="20"/>
                <w:color w:val="auto"/>
              </w:rPr>
            </w:pPr>
            <w:r>
              <w:rPr>
                <w:rFonts w:ascii="Times New Roman" w:cs="Times New Roman" w:eastAsia="Times New Roman" w:hAnsi="Times New Roman"/>
                <w:sz w:val="12"/>
                <w:szCs w:val="12"/>
                <w:color w:val="auto"/>
              </w:rPr>
              <w:t>Unamortized legal fees</w:t>
            </w:r>
          </w:p>
        </w:tc>
        <w:tc>
          <w:tcPr>
            <w:tcW w:w="12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2"/>
              <w:spacing w:after="0" w:line="12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ind w:right="2"/>
              <w:spacing w:after="0" w:line="12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40</w:t>
            </w:r>
          </w:p>
        </w:tc>
        <w:tc>
          <w:tcPr>
            <w:tcW w:w="24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55</w:t>
            </w:r>
          </w:p>
        </w:tc>
        <w:tc>
          <w:tcPr>
            <w:tcW w:w="20" w:type="dxa"/>
            <w:vAlign w:val="bottom"/>
          </w:tcPr>
          <w:p>
            <w:pPr>
              <w:spacing w:after="0"/>
              <w:rPr>
                <w:sz w:val="10"/>
                <w:szCs w:val="10"/>
                <w:color w:val="auto"/>
              </w:rPr>
            </w:pPr>
          </w:p>
        </w:tc>
      </w:tr>
      <w:tr>
        <w:trPr>
          <w:trHeight w:val="110"/>
        </w:trPr>
        <w:tc>
          <w:tcPr>
            <w:tcW w:w="3880" w:type="dxa"/>
            <w:vAlign w:val="bottom"/>
            <w:gridSpan w:val="4"/>
          </w:tcPr>
          <w:p>
            <w:pPr>
              <w:ind w:left="360"/>
              <w:spacing w:after="0" w:line="110" w:lineRule="exact"/>
              <w:rPr>
                <w:sz w:val="20"/>
                <w:szCs w:val="20"/>
                <w:color w:val="auto"/>
              </w:rPr>
            </w:pPr>
            <w:r>
              <w:rPr>
                <w:rFonts w:ascii="Times New Roman" w:cs="Times New Roman" w:eastAsia="Times New Roman" w:hAnsi="Times New Roman"/>
                <w:sz w:val="12"/>
                <w:szCs w:val="12"/>
                <w:i w:val="1"/>
                <w:iCs w:val="1"/>
                <w:color w:val="auto"/>
              </w:rPr>
              <w:t>Total assets acquired</w:t>
            </w:r>
          </w:p>
        </w:tc>
        <w:tc>
          <w:tcPr>
            <w:tcW w:w="120" w:type="dxa"/>
            <w:vAlign w:val="bottom"/>
          </w:tcPr>
          <w:p>
            <w:pPr>
              <w:spacing w:after="0"/>
              <w:rPr>
                <w:sz w:val="9"/>
                <w:szCs w:val="9"/>
                <w:color w:val="auto"/>
              </w:rPr>
            </w:pP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24,113</w:t>
            </w: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w w:val="96"/>
              </w:rPr>
              <w:t>33,392</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130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24,207</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33,522</w:t>
            </w:r>
          </w:p>
        </w:tc>
        <w:tc>
          <w:tcPr>
            <w:tcW w:w="20" w:type="dxa"/>
            <w:vAlign w:val="bottom"/>
          </w:tcPr>
          <w:p>
            <w:pPr>
              <w:spacing w:after="0"/>
              <w:rPr>
                <w:sz w:val="9"/>
                <w:szCs w:val="9"/>
                <w:color w:val="auto"/>
              </w:rPr>
            </w:pPr>
          </w:p>
        </w:tc>
      </w:tr>
      <w:tr>
        <w:trPr>
          <w:trHeight w:val="130"/>
        </w:trPr>
        <w:tc>
          <w:tcPr>
            <w:tcW w:w="480" w:type="dxa"/>
            <w:vAlign w:val="bottom"/>
            <w:tcBorders>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w w:val="94"/>
              </w:rPr>
              <w:t>Liabilities</w:t>
            </w:r>
          </w:p>
        </w:tc>
        <w:tc>
          <w:tcPr>
            <w:tcW w:w="3400" w:type="dxa"/>
            <w:vAlign w:val="bottom"/>
            <w:tcBorders>
              <w:bottom w:val="single" w:sz="8" w:color="CCEEFF"/>
            </w:tcBorders>
            <w:gridSpan w:val="3"/>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0"/>
        </w:trPr>
        <w:tc>
          <w:tcPr>
            <w:tcW w:w="3880" w:type="dxa"/>
            <w:vAlign w:val="bottom"/>
            <w:tcBorders>
              <w:bottom w:val="single" w:sz="8" w:color="CCEEFF"/>
            </w:tcBorders>
            <w:gridSpan w:val="4"/>
          </w:tcPr>
          <w:p>
            <w:pPr>
              <w:ind w:left="100"/>
              <w:spacing w:after="0" w:line="110" w:lineRule="exact"/>
              <w:rPr>
                <w:sz w:val="20"/>
                <w:szCs w:val="20"/>
                <w:color w:val="auto"/>
              </w:rPr>
            </w:pPr>
            <w:r>
              <w:rPr>
                <w:rFonts w:ascii="Times New Roman" w:cs="Times New Roman" w:eastAsia="Times New Roman" w:hAnsi="Times New Roman"/>
                <w:sz w:val="12"/>
                <w:szCs w:val="12"/>
                <w:color w:val="auto"/>
              </w:rPr>
              <w:t>Below-market leases</w:t>
            </w: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2"/>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2"/>
              <w:spacing w:after="0" w:line="11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(130)</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(94)</w:t>
            </w:r>
          </w:p>
        </w:tc>
        <w:tc>
          <w:tcPr>
            <w:tcW w:w="2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(130)</w:t>
            </w:r>
          </w:p>
        </w:tc>
        <w:tc>
          <w:tcPr>
            <w:tcW w:w="20" w:type="dxa"/>
            <w:vAlign w:val="bottom"/>
          </w:tcPr>
          <w:p>
            <w:pPr>
              <w:spacing w:after="0"/>
              <w:rPr>
                <w:sz w:val="9"/>
                <w:szCs w:val="9"/>
                <w:color w:val="auto"/>
              </w:rPr>
            </w:pPr>
          </w:p>
        </w:tc>
      </w:tr>
      <w:tr>
        <w:trPr>
          <w:trHeight w:val="112"/>
        </w:trPr>
        <w:tc>
          <w:tcPr>
            <w:tcW w:w="3880" w:type="dxa"/>
            <w:vAlign w:val="bottom"/>
            <w:tcBorders>
              <w:bottom w:val="single" w:sz="8" w:color="CCEEFF"/>
            </w:tcBorders>
            <w:gridSpan w:val="4"/>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Net assets acquired</w:t>
            </w:r>
          </w:p>
        </w:tc>
        <w:tc>
          <w:tcPr>
            <w:tcW w:w="120" w:type="dxa"/>
            <w:vAlign w:val="bottom"/>
            <w:tcBorders>
              <w:bottom w:val="single" w:sz="8" w:color="auto"/>
            </w:tcBorders>
            <w:shd w:val="clear" w:color="auto" w:fill="CCEEFF"/>
          </w:tcPr>
          <w:p>
            <w:pPr>
              <w:jc w:val="right"/>
              <w:ind w:right="8"/>
              <w:spacing w:after="0" w:line="110"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24,113</w:t>
            </w:r>
          </w:p>
        </w:tc>
        <w:tc>
          <w:tcPr>
            <w:tcW w:w="22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ind w:left="38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w w:val="96"/>
              </w:rPr>
              <w:t>33,392</w:t>
            </w:r>
          </w:p>
        </w:tc>
        <w:tc>
          <w:tcPr>
            <w:tcW w:w="2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8"/>
              <w:spacing w:after="0" w:line="110"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bottom w:val="single" w:sz="8" w:color="auto"/>
            </w:tcBorders>
            <w:shd w:val="clear" w:color="auto" w:fill="CCEEFF"/>
          </w:tcPr>
          <w:p>
            <w:pPr>
              <w:jc w:val="right"/>
              <w:ind w:right="2"/>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8"/>
              <w:spacing w:after="0" w:line="110"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24,113</w:t>
            </w:r>
          </w:p>
        </w:tc>
        <w:tc>
          <w:tcPr>
            <w:tcW w:w="2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33,392</w:t>
            </w:r>
          </w:p>
        </w:tc>
        <w:tc>
          <w:tcPr>
            <w:tcW w:w="20" w:type="dxa"/>
            <w:vAlign w:val="bottom"/>
          </w:tcPr>
          <w:p>
            <w:pPr>
              <w:spacing w:after="0"/>
              <w:rPr>
                <w:sz w:val="9"/>
                <w:szCs w:val="9"/>
                <w:color w:val="auto"/>
              </w:rPr>
            </w:pPr>
          </w:p>
        </w:tc>
      </w:tr>
    </w:tbl>
    <w:p>
      <w:pPr>
        <w:spacing w:after="0" w:line="93" w:lineRule="exact"/>
        <w:rPr>
          <w:sz w:val="20"/>
          <w:szCs w:val="20"/>
          <w:color w:val="auto"/>
        </w:rPr>
      </w:pPr>
    </w:p>
    <w:p>
      <w:pPr>
        <w:ind w:left="100" w:hanging="92"/>
        <w:spacing w:after="0"/>
        <w:tabs>
          <w:tab w:leader="none" w:pos="100" w:val="left"/>
        </w:tabs>
        <w:numPr>
          <w:ilvl w:val="0"/>
          <w:numId w:val="80"/>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The balances were translated into U.S. Dollars based on the applicable exchange rate as of the date of acquisition, December 23, 2015.</w:t>
      </w:r>
    </w:p>
    <w:p>
      <w:pPr>
        <w:spacing w:after="0" w:line="16" w:lineRule="exact"/>
        <w:rPr>
          <w:rFonts w:ascii="Times New Roman" w:cs="Times New Roman" w:eastAsia="Times New Roman" w:hAnsi="Times New Roman"/>
          <w:sz w:val="10"/>
          <w:szCs w:val="10"/>
          <w:i w:val="1"/>
          <w:iCs w:val="1"/>
          <w:color w:val="auto"/>
          <w:vertAlign w:val="superscript"/>
        </w:rPr>
      </w:pPr>
    </w:p>
    <w:p>
      <w:pPr>
        <w:ind w:left="140" w:right="260" w:hanging="132"/>
        <w:spacing w:after="0" w:line="256" w:lineRule="auto"/>
        <w:tabs>
          <w:tab w:leader="none" w:pos="98" w:val="left"/>
        </w:tabs>
        <w:numPr>
          <w:ilvl w:val="0"/>
          <w:numId w:val="80"/>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The measurement period adjustments were mainly due to the finalization of the valuations of the tangible land, building and improvements, site improvements and tenant improvements, as well as valuations of intangible assets and liabilities typically present in an acquisition of a regional mall with existing tenancies. This resulted in a reallocation of the purchase price from Building to other tangible assets (site and tenant improvements), as well as to intangible assets, including above and below market leases, in-place leases and unamortized lease origination costs.</w:t>
      </w:r>
    </w:p>
    <w:p>
      <w:pPr>
        <w:spacing w:after="0" w:line="14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The revenue and earnings from this acquisition, since the acquisition date as included in the consolidated statement of operations for the year ended December 31, 2015, were not significant. Based on the available information provided to us and after exhausting significant efforts to satisfy the pro-forma disclosure requirements assuming the business acquisition happened at the beginning of the year, the Company concluded it to be impracticable to determine and disclose the full-year pro forma combined revenue and earnings for 2015.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PROPERTIES AND EQUIPMENTS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Property,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associated with our operating activities is summarized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3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December 31, 2016</w:t>
            </w:r>
          </w:p>
        </w:tc>
      </w:tr>
      <w:tr>
        <w:trPr>
          <w:trHeight w:val="174"/>
        </w:trPr>
        <w:tc>
          <w:tcPr>
            <w:tcW w:w="5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Land</w:t>
            </w:r>
          </w:p>
        </w:tc>
        <w:tc>
          <w:tcPr>
            <w:tcW w:w="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76,457</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73,803</w:t>
            </w:r>
          </w:p>
        </w:tc>
      </w:tr>
      <w:tr>
        <w:trPr>
          <w:trHeight w:val="16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Building and improvements</w:t>
            </w: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153,232</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122,863</w:t>
            </w:r>
          </w:p>
        </w:tc>
      </w:tr>
      <w:tr>
        <w:trPr>
          <w:trHeight w:val="163"/>
        </w:trPr>
        <w:tc>
          <w:tcPr>
            <w:tcW w:w="5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Leasehold improvements</w:t>
            </w:r>
          </w:p>
        </w:tc>
        <w:tc>
          <w:tcPr>
            <w:tcW w:w="4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48,481</w:t>
            </w: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46,902</w:t>
            </w:r>
          </w:p>
        </w:tc>
      </w:tr>
      <w:tr>
        <w:trPr>
          <w:trHeight w:val="16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Fixtures and equipment</w:t>
            </w: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145,033</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118,180</w:t>
            </w:r>
          </w:p>
        </w:tc>
      </w:tr>
      <w:tr>
        <w:trPr>
          <w:trHeight w:val="163"/>
        </w:trPr>
        <w:tc>
          <w:tcPr>
            <w:tcW w:w="5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Construction-in-progress</w:t>
            </w:r>
          </w:p>
        </w:tc>
        <w:tc>
          <w:tcPr>
            <w:tcW w:w="4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26,000</w:t>
            </w:r>
          </w:p>
        </w:tc>
        <w:tc>
          <w:tcPr>
            <w:tcW w:w="3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11,517</w:t>
            </w:r>
          </w:p>
        </w:tc>
      </w:tr>
      <w:tr>
        <w:trPr>
          <w:trHeight w:val="154"/>
        </w:trPr>
        <w:tc>
          <w:tcPr>
            <w:tcW w:w="562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3"/>
                <w:szCs w:val="13"/>
                <w:color w:val="auto"/>
              </w:rPr>
              <w:t>Total cost</w:t>
            </w:r>
          </w:p>
        </w:tc>
        <w:tc>
          <w:tcPr>
            <w:tcW w:w="44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449,203</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373,265</w:t>
            </w:r>
          </w:p>
        </w:tc>
      </w:tr>
      <w:tr>
        <w:trPr>
          <w:trHeight w:val="163"/>
        </w:trPr>
        <w:tc>
          <w:tcPr>
            <w:tcW w:w="5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44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(184,479)</w:t>
            </w:r>
          </w:p>
        </w:tc>
        <w:tc>
          <w:tcPr>
            <w:tcW w:w="4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(161,379)</w:t>
            </w:r>
          </w:p>
        </w:tc>
      </w:tr>
      <w:tr>
        <w:trPr>
          <w:trHeight w:val="155"/>
        </w:trPr>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Properties, net</w:t>
            </w:r>
          </w:p>
        </w:tc>
        <w:tc>
          <w:tcPr>
            <w:tcW w:w="4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264,724</w:t>
            </w:r>
          </w:p>
        </w:tc>
        <w:tc>
          <w:tcPr>
            <w:tcW w:w="3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211,886</w:t>
            </w: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81" w:name="page82"/>
    <w:bookmarkEnd w:id="81"/>
    <w:p>
      <w:pPr>
        <w:ind w:right="160"/>
        <w:spacing w:after="0" w:line="284" w:lineRule="auto"/>
        <w:rPr>
          <w:sz w:val="20"/>
          <w:szCs w:val="20"/>
          <w:color w:val="auto"/>
        </w:rPr>
      </w:pPr>
      <w:r>
        <w:rPr>
          <w:rFonts w:ascii="Times New Roman" w:cs="Times New Roman" w:eastAsia="Times New Roman" w:hAnsi="Times New Roman"/>
          <w:sz w:val="14"/>
          <w:szCs w:val="14"/>
          <w:color w:val="auto"/>
        </w:rPr>
        <w:t>Of our total operating properties as disclosed above, the gross and carrying amounts of the portion of our properties currently on lease or held for leasing as of December 31, 2017 and 2016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40" w:type="dxa"/>
            <w:vAlign w:val="bottom"/>
          </w:tcPr>
          <w:p>
            <w:pPr>
              <w:spacing w:after="0"/>
              <w:rPr>
                <w:sz w:val="15"/>
                <w:szCs w:val="15"/>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440" w:type="dxa"/>
            <w:vAlign w:val="bottom"/>
          </w:tcPr>
          <w:p>
            <w:pPr>
              <w:spacing w:after="0"/>
              <w:rPr>
                <w:sz w:val="15"/>
                <w:szCs w:val="15"/>
                <w:color w:val="auto"/>
              </w:rPr>
            </w:pPr>
          </w:p>
        </w:tc>
        <w:tc>
          <w:tcPr>
            <w:tcW w:w="1680" w:type="dxa"/>
            <w:vAlign w:val="bottom"/>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December 31, 2016</w:t>
            </w:r>
          </w:p>
        </w:tc>
      </w:tr>
      <w:tr>
        <w:trPr>
          <w:trHeight w:val="174"/>
        </w:trPr>
        <w:tc>
          <w:tcPr>
            <w:tcW w:w="53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Building and improvements</w:t>
            </w:r>
          </w:p>
        </w:tc>
        <w:tc>
          <w:tcPr>
            <w:tcW w:w="3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r>
      <w:tr>
        <w:trPr>
          <w:trHeight w:val="182"/>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Gross balance</w:t>
            </w: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71,749</w:t>
            </w:r>
          </w:p>
        </w:tc>
        <w:tc>
          <w:tcPr>
            <w:tcW w:w="32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33,879</w:t>
            </w:r>
          </w:p>
        </w:tc>
      </w:tr>
      <w:tr>
        <w:trPr>
          <w:trHeight w:val="187"/>
        </w:trPr>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depreciation</w:t>
            </w:r>
          </w:p>
        </w:tc>
        <w:tc>
          <w:tcPr>
            <w:tcW w:w="4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17,585</w:t>
            </w:r>
          </w:p>
        </w:tc>
        <w:tc>
          <w:tcPr>
            <w:tcW w:w="3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9,982</w:t>
            </w:r>
          </w:p>
        </w:tc>
      </w:tr>
      <w:tr>
        <w:trPr>
          <w:trHeight w:val="155"/>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Net Book Value</w:t>
            </w:r>
          </w:p>
        </w:tc>
        <w:tc>
          <w:tcPr>
            <w:tcW w:w="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54,164</w:t>
            </w:r>
          </w:p>
        </w:tc>
        <w:tc>
          <w:tcPr>
            <w:tcW w:w="320" w:type="dxa"/>
            <w:vAlign w:val="bottom"/>
          </w:tcPr>
          <w:p>
            <w:pPr>
              <w:spacing w:after="0"/>
              <w:rPr>
                <w:sz w:val="13"/>
                <w:szCs w:val="13"/>
                <w:color w:val="auto"/>
              </w:rPr>
            </w:pPr>
          </w:p>
        </w:tc>
        <w:tc>
          <w:tcPr>
            <w:tcW w:w="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23,897</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for operating property was $14.0 million, $15.1 million, and $13.6 million for the year ended December 31, 2017, 2016 and 2015,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and Development Property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and development property is summarized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40" w:type="dxa"/>
            <w:vAlign w:val="bottom"/>
          </w:tcPr>
          <w:p>
            <w:pPr>
              <w:spacing w:after="0"/>
              <w:rPr>
                <w:sz w:val="15"/>
                <w:szCs w:val="15"/>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440" w:type="dxa"/>
            <w:vAlign w:val="bottom"/>
          </w:tcPr>
          <w:p>
            <w:pPr>
              <w:spacing w:after="0"/>
              <w:rPr>
                <w:sz w:val="15"/>
                <w:szCs w:val="15"/>
                <w:color w:val="auto"/>
              </w:rPr>
            </w:pPr>
          </w:p>
        </w:tc>
        <w:tc>
          <w:tcPr>
            <w:tcW w:w="1680" w:type="dxa"/>
            <w:vAlign w:val="bottom"/>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December 31, 2016</w:t>
            </w:r>
          </w:p>
        </w:tc>
      </w:tr>
      <w:tr>
        <w:trPr>
          <w:trHeight w:val="163"/>
        </w:trPr>
        <w:tc>
          <w:tcPr>
            <w:tcW w:w="53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Land</w:t>
            </w:r>
          </w:p>
        </w:tc>
        <w:tc>
          <w:tcPr>
            <w:tcW w:w="3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25,025</w:t>
            </w:r>
          </w:p>
        </w:tc>
        <w:tc>
          <w:tcPr>
            <w:tcW w:w="3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24,616</w:t>
            </w:r>
          </w:p>
        </w:tc>
      </w:tr>
      <w:tr>
        <w:trPr>
          <w:trHeight w:val="16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Building</w:t>
            </w: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r>
      <w:tr>
        <w:trPr>
          <w:trHeight w:val="163"/>
        </w:trPr>
        <w:tc>
          <w:tcPr>
            <w:tcW w:w="5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Construction-in-progress (including capitalized interest)</w:t>
            </w:r>
          </w:p>
        </w:tc>
        <w:tc>
          <w:tcPr>
            <w:tcW w:w="4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34,329</w:t>
            </w:r>
          </w:p>
        </w:tc>
        <w:tc>
          <w:tcPr>
            <w:tcW w:w="3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17,171</w:t>
            </w:r>
          </w:p>
        </w:tc>
      </w:tr>
      <w:tr>
        <w:trPr>
          <w:trHeight w:val="155"/>
        </w:trPr>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Investment and development property, net</w:t>
            </w:r>
          </w:p>
        </w:tc>
        <w:tc>
          <w:tcPr>
            <w:tcW w:w="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61,254</w:t>
            </w:r>
          </w:p>
        </w:tc>
        <w:tc>
          <w:tcPr>
            <w:tcW w:w="320" w:type="dxa"/>
            <w:vAlign w:val="bottom"/>
          </w:tcPr>
          <w:p>
            <w:pPr>
              <w:spacing w:after="0"/>
              <w:rPr>
                <w:sz w:val="13"/>
                <w:szCs w:val="13"/>
                <w:color w:val="auto"/>
              </w:rPr>
            </w:pPr>
          </w:p>
        </w:tc>
        <w:tc>
          <w:tcPr>
            <w:tcW w:w="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43,687</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2017 and 2016, we capitalized interest charges of $1.2 million and $297,000 pertaining to our on-going development projects.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6 – INVESTMENTS IN UNCONSOLIDATED JOINT VENTURES</w:t>
      </w:r>
    </w:p>
    <w:p>
      <w:pPr>
        <w:spacing w:after="0" w:line="156"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4"/>
          <w:szCs w:val="14"/>
          <w:color w:val="auto"/>
        </w:rPr>
        <w:t>Our investments in unconsolidated joint ventures are accounted for under the equity method of accounting. The table below summarizes our active investment holdings in two unconsolidated joint ventures: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36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360" w:type="dxa"/>
            <w:vAlign w:val="bottom"/>
          </w:tcPr>
          <w:p>
            <w:pPr>
              <w:spacing w:after="0"/>
              <w:rPr>
                <w:sz w:val="15"/>
                <w:szCs w:val="15"/>
                <w:color w:val="auto"/>
              </w:rPr>
            </w:pP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w w:val="98"/>
              </w:rPr>
              <w:t>December 31, 2016</w:t>
            </w:r>
          </w:p>
        </w:tc>
      </w:tr>
      <w:tr>
        <w:trPr>
          <w:trHeight w:val="163"/>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Mt. Gravatt</w:t>
            </w:r>
          </w:p>
        </w:tc>
        <w:tc>
          <w:tcPr>
            <w:tcW w:w="360" w:type="dxa"/>
            <w:vAlign w:val="bottom"/>
          </w:tcPr>
          <w:p>
            <w:pPr>
              <w:spacing w:after="0"/>
              <w:rPr>
                <w:sz w:val="14"/>
                <w:szCs w:val="14"/>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33.3%</w:t>
            </w:r>
          </w:p>
        </w:tc>
        <w:tc>
          <w:tcPr>
            <w:tcW w:w="360" w:type="dxa"/>
            <w:vAlign w:val="bottom"/>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4,118</w:t>
            </w:r>
          </w:p>
        </w:tc>
        <w:tc>
          <w:tcPr>
            <w:tcW w:w="360" w:type="dxa"/>
            <w:vAlign w:val="bottom"/>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3,874</w:t>
            </w:r>
          </w:p>
        </w:tc>
      </w:tr>
      <w:tr>
        <w:trPr>
          <w:trHeight w:val="16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Rialto Cinemas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3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3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w:t>
            </w:r>
          </w:p>
        </w:tc>
      </w:tr>
      <w:tr>
        <w:trPr>
          <w:trHeight w:val="155"/>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Joint Ventures</w:t>
            </w:r>
          </w:p>
        </w:tc>
        <w:tc>
          <w:tcPr>
            <w:tcW w:w="1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5,304</w:t>
            </w:r>
          </w:p>
        </w:tc>
        <w:tc>
          <w:tcPr>
            <w:tcW w:w="36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5,071</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recorded share of equity earnings from our investments in unconsolidated joint ventures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580" w:type="dxa"/>
            <w:vAlign w:val="bottom"/>
          </w:tcPr>
          <w:p>
            <w:pPr>
              <w:spacing w:after="0"/>
              <w:rPr>
                <w:sz w:val="15"/>
                <w:szCs w:val="15"/>
                <w:color w:val="auto"/>
              </w:rPr>
            </w:pPr>
          </w:p>
        </w:tc>
        <w:tc>
          <w:tcPr>
            <w:tcW w:w="1220" w:type="dxa"/>
            <w:vAlign w:val="bottom"/>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2017</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2016</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163"/>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Mt. Gravatt</w:t>
            </w:r>
          </w:p>
        </w:tc>
        <w:tc>
          <w:tcPr>
            <w:tcW w:w="3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r>
      <w:tr>
        <w:trPr>
          <w:trHeight w:val="163"/>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Rialto Cinemas</w:t>
            </w:r>
          </w:p>
        </w:tc>
        <w:tc>
          <w:tcPr>
            <w:tcW w:w="5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6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Rialto Distribution</w:t>
            </w:r>
          </w:p>
        </w:tc>
        <w:tc>
          <w:tcPr>
            <w:tcW w:w="5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5"/>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equity earnings</w:t>
            </w: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815</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999</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1,204</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Mt. Gravatt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own an undivided 33.3% interest in Mt. Gravatt, an unincorporated joint venture that owns and operates a sixteen-screen multiplex cinema in Australia.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Rialto Cinemas</w:t>
      </w:r>
    </w:p>
    <w:p>
      <w:pPr>
        <w:spacing w:after="0" w:line="3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4"/>
          <w:szCs w:val="14"/>
          <w:color w:val="auto"/>
        </w:rPr>
        <w:t>We own an undivided 50.0% interest in the assets and liabilities of the Rialto Entertainment joint venture that owns and operates two (2) movie theaters, with 13 screens in New Zealand.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Rialto Distribution</w:t>
      </w:r>
    </w:p>
    <w:p>
      <w:pPr>
        <w:spacing w:after="0" w:line="3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4"/>
          <w:szCs w:val="14"/>
          <w:color w:val="auto"/>
        </w:rPr>
        <w:t>During 2017, this investment was transferred to our previous business partners. We paid an amount lower than the accrual we had taken for our debt obligation in the joint venture. Consequently, we recognized a gain of $15,000 (NZ$21,000) during the quarter ended June 30, 2017.</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7 – GOODWILL AND INTANGIBLE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goodwill by business segment: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6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Cinema</w:t>
            </w:r>
          </w:p>
        </w:tc>
        <w:tc>
          <w:tcPr>
            <w:tcW w:w="40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500" w:type="dxa"/>
            <w:vAlign w:val="bottom"/>
          </w:tcPr>
          <w:p>
            <w:pPr>
              <w:spacing w:after="0"/>
              <w:rPr>
                <w:sz w:val="15"/>
                <w:szCs w:val="15"/>
                <w:color w:val="auto"/>
              </w:rPr>
            </w:pPr>
          </w:p>
        </w:tc>
        <w:tc>
          <w:tcPr>
            <w:tcW w:w="1240" w:type="dxa"/>
            <w:vAlign w:val="bottom"/>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January 1, 2016</w:t>
            </w:r>
          </w:p>
        </w:tc>
        <w:tc>
          <w:tcPr>
            <w:tcW w:w="3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14,491</w:t>
            </w:r>
          </w:p>
        </w:tc>
        <w:tc>
          <w:tcPr>
            <w:tcW w:w="3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3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19,715</w:t>
            </w:r>
          </w:p>
        </w:tc>
      </w:tr>
      <w:tr>
        <w:trPr>
          <w:trHeight w:val="163"/>
        </w:trPr>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4"/>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2016</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14,604</w:t>
            </w: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19,828</w:t>
            </w:r>
          </w:p>
        </w:tc>
      </w:tr>
      <w:tr>
        <w:trPr>
          <w:trHeight w:val="163"/>
        </w:trPr>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55"/>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2017</w:t>
            </w:r>
          </w:p>
        </w:tc>
        <w:tc>
          <w:tcPr>
            <w:tcW w:w="4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15,052</w:t>
            </w:r>
          </w:p>
        </w:tc>
        <w:tc>
          <w:tcPr>
            <w:tcW w:w="3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5,224</w:t>
            </w:r>
          </w:p>
        </w:tc>
        <w:tc>
          <w:tcPr>
            <w:tcW w:w="3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20,276</w:t>
            </w:r>
          </w:p>
        </w:tc>
      </w:tr>
    </w:tbl>
    <w:p>
      <w:pPr>
        <w:spacing w:after="0" w:line="15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2017. The assessment results indicated that there is no impairment to our goodwill as of December 31, 2017.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summarize intangible assets other than goodwill:</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73"/>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23"/>
                <w:szCs w:val="23"/>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Beneficial Leases</w:t>
            </w:r>
          </w:p>
        </w:tc>
        <w:tc>
          <w:tcPr>
            <w:tcW w:w="280" w:type="dxa"/>
            <w:vAlign w:val="bottom"/>
          </w:tcPr>
          <w:p>
            <w:pPr>
              <w:spacing w:after="0"/>
              <w:rPr>
                <w:sz w:val="23"/>
                <w:szCs w:val="2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Trade Name</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Other Intangible Assets</w:t>
            </w:r>
          </w:p>
        </w:tc>
        <w:tc>
          <w:tcPr>
            <w:tcW w:w="460" w:type="dxa"/>
            <w:vAlign w:val="bottom"/>
          </w:tcPr>
          <w:p>
            <w:pPr>
              <w:spacing w:after="0"/>
              <w:rPr>
                <w:sz w:val="23"/>
                <w:szCs w:val="23"/>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carrying amount</w:t>
            </w: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28,860</w:t>
            </w: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7,254</w:t>
            </w:r>
          </w:p>
        </w:tc>
        <w:tc>
          <w:tcPr>
            <w:tcW w:w="2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2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37,253</w:t>
            </w:r>
          </w:p>
        </w:tc>
      </w:tr>
      <w:tr>
        <w:trPr>
          <w:trHeight w:val="163"/>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2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(23,292)</w:t>
            </w:r>
          </w:p>
        </w:tc>
        <w:tc>
          <w:tcPr>
            <w:tcW w:w="280" w:type="dxa"/>
            <w:vAlign w:val="bottom"/>
          </w:tcPr>
          <w:p>
            <w:pPr>
              <w:spacing w:after="0"/>
              <w:rPr>
                <w:sz w:val="14"/>
                <w:szCs w:val="14"/>
                <w:color w:val="auto"/>
              </w:rPr>
            </w:pPr>
          </w:p>
        </w:tc>
        <w:tc>
          <w:tcPr>
            <w:tcW w:w="14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(4,936)</w:t>
            </w:r>
          </w:p>
        </w:tc>
        <w:tc>
          <w:tcPr>
            <w:tcW w:w="7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(483)</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(28,711)</w:t>
            </w:r>
          </w:p>
        </w:tc>
      </w:tr>
      <w:tr>
        <w:trPr>
          <w:trHeight w:val="155"/>
        </w:trPr>
        <w:tc>
          <w:tcPr>
            <w:tcW w:w="3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intangible assets other than goodwill</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5,568</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b w:val="1"/>
                <w:bCs w:val="1"/>
                <w:color w:val="auto"/>
              </w:rPr>
              <w:t>2,318</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656</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8,542</w:t>
            </w:r>
          </w:p>
        </w:tc>
      </w:tr>
      <w:tr>
        <w:trPr>
          <w:trHeight w:val="598"/>
        </w:trPr>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December 31, 2016</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95"/>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Beneficial Leases</w:t>
            </w:r>
          </w:p>
        </w:tc>
        <w:tc>
          <w:tcPr>
            <w:tcW w:w="28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Trade Name</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Other Intangible Assets</w:t>
            </w:r>
          </w:p>
        </w:tc>
        <w:tc>
          <w:tcPr>
            <w:tcW w:w="460" w:type="dxa"/>
            <w:vAlign w:val="bottom"/>
          </w:tcPr>
          <w:p>
            <w:pPr>
              <w:spacing w:after="0"/>
              <w:rPr>
                <w:sz w:val="24"/>
                <w:szCs w:val="24"/>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carrying amount</w:t>
            </w: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28,671</w:t>
            </w: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7,254</w:t>
            </w:r>
          </w:p>
        </w:tc>
        <w:tc>
          <w:tcPr>
            <w:tcW w:w="2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2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37,009</w:t>
            </w:r>
          </w:p>
        </w:tc>
      </w:tr>
      <w:tr>
        <w:trPr>
          <w:trHeight w:val="163"/>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2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(21,870)</w:t>
            </w:r>
          </w:p>
        </w:tc>
        <w:tc>
          <w:tcPr>
            <w:tcW w:w="280" w:type="dxa"/>
            <w:vAlign w:val="bottom"/>
          </w:tcPr>
          <w:p>
            <w:pPr>
              <w:spacing w:after="0"/>
              <w:rPr>
                <w:sz w:val="14"/>
                <w:szCs w:val="14"/>
                <w:color w:val="auto"/>
              </w:rPr>
            </w:pPr>
          </w:p>
        </w:tc>
        <w:tc>
          <w:tcPr>
            <w:tcW w:w="14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(4,634)</w:t>
            </w:r>
          </w:p>
        </w:tc>
        <w:tc>
          <w:tcPr>
            <w:tcW w:w="7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(468)</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(26,972)</w:t>
            </w:r>
          </w:p>
        </w:tc>
      </w:tr>
      <w:tr>
        <w:trPr>
          <w:trHeight w:val="155"/>
        </w:trPr>
        <w:tc>
          <w:tcPr>
            <w:tcW w:w="3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intangible assets other than goodwill</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6,801</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b w:val="1"/>
                <w:bCs w:val="1"/>
                <w:color w:val="auto"/>
              </w:rPr>
              <w:t>2,620</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616</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10,037</w:t>
            </w:r>
          </w:p>
        </w:tc>
      </w:tr>
    </w:tbl>
    <w:p>
      <w:pPr>
        <w:spacing w:after="0" w:line="1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We amortize our beneficial leases over the lease period, the longest of which is approximately 30 years; our trade name using an accelerated amortization method over its estimated useful life of 45 years; and other intangible assets over its estimated useful life of up to 30 years (except for transferrable liquor licenses, which are indefinite-lived assets, with a balance of $421,000 and $389,000 as of December 31, 2017 and 2016). For the years ended December 31, 2017, 2016, and 2015, our amortization expense was $1.7 million, $1.9 million, and $1.7 million,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2017, the estimated amortization expense for our amortizable intangibles, in the five succeeding years and thereafter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2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60" w:type="dxa"/>
            <w:vAlign w:val="bottom"/>
          </w:tcPr>
          <w:p>
            <w:pPr>
              <w:spacing w:after="0"/>
              <w:rPr>
                <w:sz w:val="12"/>
                <w:szCs w:val="12"/>
                <w:color w:val="auto"/>
              </w:rPr>
            </w:pPr>
          </w:p>
        </w:tc>
        <w:tc>
          <w:tcPr>
            <w:tcW w:w="2480" w:type="dxa"/>
            <w:vAlign w:val="bottom"/>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w w:val="96"/>
              </w:rPr>
              <w:t>Estimated Future Amortization Expense</w:t>
            </w:r>
          </w:p>
        </w:tc>
      </w:tr>
      <w:tr>
        <w:trPr>
          <w:trHeight w:val="130"/>
        </w:trPr>
        <w:tc>
          <w:tcPr>
            <w:tcW w:w="662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2018</w:t>
            </w:r>
          </w:p>
        </w:tc>
        <w:tc>
          <w:tcPr>
            <w:tcW w:w="6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4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1,691</w:t>
            </w:r>
          </w:p>
        </w:tc>
      </w:tr>
      <w:tr>
        <w:trPr>
          <w:trHeight w:val="141"/>
        </w:trPr>
        <w:tc>
          <w:tcPr>
            <w:tcW w:w="6620" w:type="dxa"/>
            <w:vAlign w:val="bottom"/>
          </w:tcPr>
          <w:p>
            <w:pPr>
              <w:spacing w:after="0"/>
              <w:rPr>
                <w:sz w:val="20"/>
                <w:szCs w:val="20"/>
                <w:color w:val="auto"/>
              </w:rPr>
            </w:pPr>
            <w:r>
              <w:rPr>
                <w:rFonts w:ascii="Times New Roman" w:cs="Times New Roman" w:eastAsia="Times New Roman" w:hAnsi="Times New Roman"/>
                <w:sz w:val="12"/>
                <w:szCs w:val="12"/>
                <w:color w:val="auto"/>
              </w:rPr>
              <w:t>2019</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w:t>
            </w:r>
          </w:p>
        </w:tc>
      </w:tr>
      <w:tr>
        <w:trPr>
          <w:trHeight w:val="14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2020</w:t>
            </w: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w:t>
            </w:r>
          </w:p>
        </w:tc>
      </w:tr>
      <w:tr>
        <w:trPr>
          <w:trHeight w:val="141"/>
        </w:trPr>
        <w:tc>
          <w:tcPr>
            <w:tcW w:w="662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w:t>
            </w:r>
          </w:p>
        </w:tc>
      </w:tr>
      <w:tr>
        <w:trPr>
          <w:trHeight w:val="14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w:t>
            </w:r>
          </w:p>
        </w:tc>
      </w:tr>
      <w:tr>
        <w:trPr>
          <w:trHeight w:val="141"/>
        </w:trPr>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4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2,747</w:t>
            </w:r>
          </w:p>
        </w:tc>
      </w:tr>
      <w:tr>
        <w:trPr>
          <w:trHeight w:val="112"/>
        </w:trPr>
        <w:tc>
          <w:tcPr>
            <w:tcW w:w="7220" w:type="dxa"/>
            <w:vAlign w:val="bottom"/>
            <w:tcBorders>
              <w:bottom w:val="single" w:sz="8" w:color="CCEEFF"/>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future amortization expense</w:t>
            </w:r>
          </w:p>
        </w:tc>
        <w:tc>
          <w:tcPr>
            <w:tcW w:w="46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24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8,121</w:t>
            </w: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8 – PREPAID AND OTHER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assets are summarized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60" w:type="dxa"/>
            <w:vAlign w:val="bottom"/>
          </w:tcPr>
          <w:p>
            <w:pPr>
              <w:spacing w:after="0"/>
              <w:rPr>
                <w:sz w:val="15"/>
                <w:szCs w:val="15"/>
                <w:color w:val="auto"/>
              </w:rPr>
            </w:pP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460" w:type="dxa"/>
            <w:vAlign w:val="bottom"/>
          </w:tcPr>
          <w:p>
            <w:pPr>
              <w:spacing w:after="0"/>
              <w:rPr>
                <w:sz w:val="15"/>
                <w:szCs w:val="15"/>
                <w:color w:val="auto"/>
              </w:rPr>
            </w:pPr>
          </w:p>
        </w:tc>
        <w:tc>
          <w:tcPr>
            <w:tcW w:w="1700" w:type="dxa"/>
            <w:vAlign w:val="bottom"/>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December 31, 2016</w:t>
            </w:r>
          </w:p>
        </w:tc>
      </w:tr>
      <w:tr>
        <w:trPr>
          <w:trHeight w:val="174"/>
        </w:trPr>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Prepaid and other current assets</w:t>
            </w:r>
          </w:p>
        </w:tc>
        <w:tc>
          <w:tcPr>
            <w:tcW w:w="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r>
      <w:tr>
        <w:trPr>
          <w:trHeight w:val="163"/>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Prepaid expenses</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36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r>
      <w:tr>
        <w:trPr>
          <w:trHeight w:val="163"/>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Prepaid taxes</w:t>
            </w: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w:t>
            </w:r>
          </w:p>
        </w:tc>
      </w:tr>
      <w:tr>
        <w:trPr>
          <w:trHeight w:val="163"/>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Income taxes receivable</w:t>
            </w:r>
          </w:p>
        </w:tc>
        <w:tc>
          <w:tcPr>
            <w:tcW w:w="4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w:t>
            </w:r>
          </w:p>
        </w:tc>
      </w:tr>
      <w:tr>
        <w:trPr>
          <w:trHeight w:val="163"/>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Prepaid rent</w:t>
            </w: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w:t>
            </w:r>
          </w:p>
        </w:tc>
      </w:tr>
      <w:tr>
        <w:trPr>
          <w:trHeight w:val="163"/>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Deposits</w:t>
            </w:r>
          </w:p>
        </w:tc>
        <w:tc>
          <w:tcPr>
            <w:tcW w:w="4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r>
      <w:tr>
        <w:trPr>
          <w:trHeight w:val="163"/>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cash</w:t>
            </w: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3"/>
        </w:trPr>
        <w:tc>
          <w:tcPr>
            <w:tcW w:w="5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Investments in marketable securities</w:t>
            </w: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4"/>
        </w:trPr>
        <w:tc>
          <w:tcPr>
            <w:tcW w:w="5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prepaid and other current assets</w:t>
            </w: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5,325</w:t>
            </w:r>
          </w:p>
        </w:tc>
        <w:tc>
          <w:tcPr>
            <w:tcW w:w="3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5,787</w:t>
            </w:r>
          </w:p>
        </w:tc>
      </w:tr>
      <w:tr>
        <w:trPr>
          <w:trHeight w:val="143"/>
        </w:trPr>
        <w:tc>
          <w:tcPr>
            <w:tcW w:w="54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Other non-current assets</w:t>
            </w:r>
          </w:p>
        </w:tc>
        <w:tc>
          <w:tcPr>
            <w:tcW w:w="4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5"/>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Recoverable asset</w:t>
            </w:r>
            <w:r>
              <w:rPr>
                <w:rFonts w:ascii="Times New Roman" w:cs="Times New Roman" w:eastAsia="Times New Roman" w:hAnsi="Times New Roman"/>
                <w:sz w:val="14"/>
                <w:szCs w:val="14"/>
                <w:color w:val="auto"/>
                <w:vertAlign w:val="superscript"/>
              </w:rPr>
              <w:t>(1)</w:t>
            </w:r>
          </w:p>
        </w:tc>
        <w:tc>
          <w:tcPr>
            <w:tcW w:w="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9,480</w:t>
            </w:r>
          </w:p>
        </w:tc>
      </w:tr>
      <w:tr>
        <w:trPr>
          <w:trHeight w:val="163"/>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non-cinema and non-rental real estate assets</w:t>
            </w:r>
          </w:p>
        </w:tc>
        <w:tc>
          <w:tcPr>
            <w:tcW w:w="4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w:t>
            </w:r>
          </w:p>
        </w:tc>
      </w:tr>
      <w:tr>
        <w:trPr>
          <w:trHeight w:val="163"/>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in Reading International Trust I</w:t>
            </w: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r>
      <w:tr>
        <w:trPr>
          <w:trHeight w:val="163"/>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rate cap at fair value</w:t>
            </w:r>
          </w:p>
        </w:tc>
        <w:tc>
          <w:tcPr>
            <w:tcW w:w="460" w:type="dxa"/>
            <w:vAlign w:val="bottom"/>
          </w:tcPr>
          <w:p>
            <w:pPr>
              <w:spacing w:after="0"/>
              <w:rPr>
                <w:sz w:val="14"/>
                <w:szCs w:val="14"/>
                <w:color w:val="auto"/>
              </w:rPr>
            </w:pPr>
          </w:p>
        </w:tc>
        <w:tc>
          <w:tcPr>
            <w:tcW w:w="20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Straight-line rent asset</w:t>
            </w: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2,564</w:t>
            </w: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w:t>
            </w:r>
          </w:p>
        </w:tc>
      </w:tr>
      <w:tr>
        <w:trPr>
          <w:trHeight w:val="163"/>
        </w:trPr>
        <w:tc>
          <w:tcPr>
            <w:tcW w:w="5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Long-term deposits</w:t>
            </w: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5"/>
        </w:trPr>
        <w:tc>
          <w:tcPr>
            <w:tcW w:w="5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4,543</w:t>
            </w:r>
          </w:p>
        </w:tc>
        <w:tc>
          <w:tcPr>
            <w:tcW w:w="3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13,949</w:t>
            </w:r>
          </w:p>
        </w:tc>
      </w:tr>
    </w:tbl>
    <w:p>
      <w:pPr>
        <w:spacing w:after="0" w:line="82" w:lineRule="exact"/>
        <w:rPr>
          <w:sz w:val="20"/>
          <w:szCs w:val="20"/>
          <w:color w:val="auto"/>
        </w:rPr>
      </w:pPr>
    </w:p>
    <w:p>
      <w:pPr>
        <w:ind w:left="260" w:hanging="241"/>
        <w:spacing w:after="0"/>
        <w:tabs>
          <w:tab w:leader="none" w:pos="260" w:val="left"/>
        </w:tabs>
        <w:numPr>
          <w:ilvl w:val="0"/>
          <w:numId w:val="8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Refer to </w:t>
      </w:r>
      <w:r>
        <w:rPr>
          <w:rFonts w:ascii="Times New Roman" w:cs="Times New Roman" w:eastAsia="Times New Roman" w:hAnsi="Times New Roman"/>
          <w:sz w:val="10"/>
          <w:szCs w:val="10"/>
          <w:i w:val="1"/>
          <w:iCs w:val="1"/>
          <w:color w:val="auto"/>
        </w:rPr>
        <w:t>Note 19 – Insurance Recoveries on Impairment and Related Losses due to Earthquake</w:t>
      </w:r>
      <w:r>
        <w:rPr>
          <w:rFonts w:ascii="Times New Roman" w:cs="Times New Roman" w:eastAsia="Times New Roman" w:hAnsi="Times New Roman"/>
          <w:sz w:val="10"/>
          <w:szCs w:val="10"/>
          <w:color w:val="auto"/>
        </w:rPr>
        <w:t xml:space="preserve"> for further discussion on this item.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9 - INCOME TAXES</w:t>
      </w:r>
    </w:p>
    <w:p>
      <w:pPr>
        <w:spacing w:after="0" w:line="1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On December 22, 2017, the U.S. Tax Cuts and Jobs Act of 2017 (the “Tax Act”) was signed into law. The Tax Act significantly changed the U.S. corporate income tax law by lowering the statutory corporate tax rate from 35% to 21%, imposing a one-time mandatory repatriation tax on earnings of foreign subsidiaries, and changing how foreign earnings are subject to U.S. tax. We have not completed our determination of the implications of the Tax Act. However, we have reasonably estimated the impact of the Tax Act and recorded provisional amounts in our financial statements as of December 31, 2017, pursuant to the guidance of the U.S. Securities and Exchange Commission Staff Accounting Bulletin No. 118. We recorded income tax expense for the impact of the Tax Act of approximately $13.0 million. This net amount is primarily comprised of $8.3 million from re-measurement of federal net deferred tax assets resulting from the reduction in the U.S. statutory corporate tax rate and a provisional amount of</w:t>
      </w:r>
    </w:p>
    <w:p>
      <w:pPr>
        <w:spacing w:after="0" w:line="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$4.7 million from the one-time mandatory repatriation tax on deferred earnings of our foreign subsidiaries. As we complete our analysis of the Tax Act, collect and prepare necessary data, and interpret any additional guidance issued by the U.S. Treasury Department and the IRS, we may make adjustments to the provisional amount. Those adjustments may materially impact our provision for income taxes in the period in which the adjustments are made. The accounting for the tax effects of the Tax Act will be completed in 2018.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before income taxes includes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80" w:type="dxa"/>
            <w:vAlign w:val="bottom"/>
          </w:tcPr>
          <w:p>
            <w:pPr>
              <w:spacing w:after="0"/>
              <w:rPr>
                <w:sz w:val="15"/>
                <w:szCs w:val="15"/>
                <w:color w:val="auto"/>
              </w:rPr>
            </w:pPr>
          </w:p>
        </w:tc>
        <w:tc>
          <w:tcPr>
            <w:tcW w:w="82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2016</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163"/>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3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2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2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3,826</w:t>
            </w:r>
          </w:p>
        </w:tc>
      </w:tr>
      <w:tr>
        <w:trPr>
          <w:trHeight w:val="164"/>
        </w:trPr>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Foreign</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38,675</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14,324</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23,149</w:t>
            </w:r>
          </w:p>
        </w:tc>
      </w:tr>
      <w:tr>
        <w:trPr>
          <w:trHeight w:val="282"/>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 and equity earnings of unconsolidated joint ventures</w:t>
            </w: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33,532</w:t>
            </w:r>
          </w:p>
        </w:tc>
        <w:tc>
          <w:tcPr>
            <w:tcW w:w="2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2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26,975</w:t>
            </w:r>
          </w:p>
        </w:tc>
      </w:tr>
      <w:tr>
        <w:trPr>
          <w:trHeight w:val="163"/>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Equity earnings of unconsolidated joint ventures</w:t>
            </w: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United States</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Foreign</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1,204</w:t>
            </w:r>
          </w:p>
        </w:tc>
      </w:tr>
      <w:tr>
        <w:trPr>
          <w:trHeight w:val="155"/>
        </w:trPr>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34,347</w:t>
            </w:r>
          </w:p>
        </w:tc>
        <w:tc>
          <w:tcPr>
            <w:tcW w:w="2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13,437</w:t>
            </w:r>
          </w:p>
        </w:tc>
        <w:tc>
          <w:tcPr>
            <w:tcW w:w="2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28,179</w:t>
            </w: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Significant components of the provision for income taxes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80" w:type="dxa"/>
            <w:vAlign w:val="bottom"/>
          </w:tcPr>
          <w:p>
            <w:pPr>
              <w:spacing w:after="0"/>
              <w:rPr>
                <w:sz w:val="15"/>
                <w:szCs w:val="15"/>
                <w:color w:val="auto"/>
              </w:rPr>
            </w:pPr>
          </w:p>
        </w:tc>
        <w:tc>
          <w:tcPr>
            <w:tcW w:w="82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2016</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2015</w:t>
            </w:r>
          </w:p>
        </w:tc>
        <w:tc>
          <w:tcPr>
            <w:tcW w:w="0" w:type="dxa"/>
            <w:vAlign w:val="bottom"/>
          </w:tcPr>
          <w:p>
            <w:pPr>
              <w:spacing w:after="0"/>
              <w:rPr>
                <w:sz w:val="1"/>
                <w:szCs w:val="1"/>
                <w:color w:val="auto"/>
              </w:rPr>
            </w:pPr>
          </w:p>
        </w:tc>
      </w:tr>
      <w:tr>
        <w:trPr>
          <w:trHeight w:val="186"/>
        </w:trPr>
        <w:tc>
          <w:tcPr>
            <w:tcW w:w="57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income tax expense (benefit)</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 xml:space="preserve">Federal </w:t>
            </w:r>
            <w:r>
              <w:rPr>
                <w:rFonts w:ascii="Times New Roman" w:cs="Times New Roman" w:eastAsia="Times New Roman" w:hAnsi="Times New Roman"/>
                <w:sz w:val="5"/>
                <w:szCs w:val="5"/>
                <w:color w:val="auto"/>
              </w:rPr>
              <w:t>(1)</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(7,846)</w:t>
            </w: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2,982</w:t>
            </w:r>
          </w:p>
        </w:tc>
        <w:tc>
          <w:tcPr>
            <w:tcW w:w="28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46"/>
        </w:trPr>
        <w:tc>
          <w:tcPr>
            <w:tcW w:w="5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State</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0" w:type="dxa"/>
            <w:vAlign w:val="bottom"/>
          </w:tcPr>
          <w:p>
            <w:pPr>
              <w:spacing w:after="0"/>
              <w:rPr>
                <w:sz w:val="1"/>
                <w:szCs w:val="1"/>
                <w:color w:val="auto"/>
              </w:rPr>
            </w:pPr>
          </w:p>
        </w:tc>
      </w:tr>
      <w:tr>
        <w:trPr>
          <w:trHeight w:val="163"/>
        </w:trPr>
        <w:tc>
          <w:tcPr>
            <w:tcW w:w="6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Foreign</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7,079</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4,685</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3,120</w:t>
            </w:r>
          </w:p>
        </w:tc>
        <w:tc>
          <w:tcPr>
            <w:tcW w:w="0" w:type="dxa"/>
            <w:vAlign w:val="bottom"/>
          </w:tcPr>
          <w:p>
            <w:pPr>
              <w:spacing w:after="0"/>
              <w:rPr>
                <w:sz w:val="1"/>
                <w:szCs w:val="1"/>
                <w:color w:val="auto"/>
              </w:rPr>
            </w:pPr>
          </w:p>
        </w:tc>
      </w:tr>
      <w:tr>
        <w:trPr>
          <w:trHeight w:val="154"/>
        </w:trPr>
        <w:tc>
          <w:tcPr>
            <w:tcW w:w="6040" w:type="dxa"/>
            <w:vAlign w:val="bottom"/>
            <w:gridSpan w:val="2"/>
            <w:shd w:val="clear" w:color="auto" w:fill="CCEEFF"/>
          </w:tcPr>
          <w:p>
            <w:pPr>
              <w:ind w:left="180"/>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8,342</w:t>
            </w:r>
          </w:p>
        </w:tc>
        <w:tc>
          <w:tcPr>
            <w:tcW w:w="2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4,117</w:t>
            </w:r>
          </w:p>
        </w:tc>
        <w:tc>
          <w:tcPr>
            <w:tcW w:w="0" w:type="dxa"/>
            <w:vAlign w:val="bottom"/>
          </w:tcPr>
          <w:p>
            <w:pPr>
              <w:spacing w:after="0"/>
              <w:rPr>
                <w:sz w:val="1"/>
                <w:szCs w:val="1"/>
                <w:color w:val="auto"/>
              </w:rPr>
            </w:pPr>
          </w:p>
        </w:tc>
      </w:tr>
      <w:tr>
        <w:trPr>
          <w:trHeight w:val="143"/>
        </w:trPr>
        <w:tc>
          <w:tcPr>
            <w:tcW w:w="60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Deferred income tax expense (benefit)</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Federal</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(4,197)</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0" w:type="dxa"/>
            <w:vAlign w:val="bottom"/>
          </w:tcPr>
          <w:p>
            <w:pPr>
              <w:spacing w:after="0"/>
              <w:rPr>
                <w:sz w:val="1"/>
                <w:szCs w:val="1"/>
                <w:color w:val="auto"/>
              </w:rPr>
            </w:pPr>
          </w:p>
        </w:tc>
      </w:tr>
      <w:tr>
        <w:trPr>
          <w:trHeight w:val="163"/>
        </w:trPr>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State</w:t>
            </w:r>
          </w:p>
        </w:tc>
        <w:tc>
          <w:tcPr>
            <w:tcW w:w="3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(2,351)</w:t>
            </w:r>
          </w:p>
        </w:tc>
        <w:tc>
          <w:tcPr>
            <w:tcW w:w="38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(422)</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0" w:type="dxa"/>
            <w:vAlign w:val="bottom"/>
          </w:tcPr>
          <w:p>
            <w:pPr>
              <w:spacing w:after="0"/>
              <w:rPr>
                <w:sz w:val="1"/>
                <w:szCs w:val="1"/>
                <w:color w:val="auto"/>
              </w:rPr>
            </w:pPr>
          </w:p>
        </w:tc>
      </w:tr>
      <w:tr>
        <w:trPr>
          <w:trHeight w:val="163"/>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w:t>
            </w: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2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0" w:type="dxa"/>
            <w:vAlign w:val="bottom"/>
          </w:tcPr>
          <w:p>
            <w:pPr>
              <w:spacing w:after="0"/>
              <w:rPr>
                <w:sz w:val="1"/>
                <w:szCs w:val="1"/>
                <w:color w:val="auto"/>
              </w:rPr>
            </w:pPr>
          </w:p>
        </w:tc>
      </w:tr>
      <w:tr>
        <w:trPr>
          <w:trHeight w:val="154"/>
        </w:trPr>
        <w:tc>
          <w:tcPr>
            <w:tcW w:w="6040" w:type="dxa"/>
            <w:vAlign w:val="bottom"/>
            <w:tcBorders>
              <w:bottom w:val="single" w:sz="8" w:color="CCEEFF"/>
            </w:tcBorders>
            <w:gridSpan w:val="2"/>
          </w:tcPr>
          <w:p>
            <w:pPr>
              <w:ind w:left="180"/>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3,329</w:t>
            </w:r>
          </w:p>
        </w:tc>
        <w:tc>
          <w:tcPr>
            <w:tcW w:w="2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(4,322)</w:t>
            </w:r>
          </w:p>
        </w:tc>
        <w:tc>
          <w:tcPr>
            <w:tcW w:w="2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0" w:type="dxa"/>
            <w:vAlign w:val="bottom"/>
          </w:tcPr>
          <w:p>
            <w:pPr>
              <w:spacing w:after="0"/>
              <w:rPr>
                <w:sz w:val="1"/>
                <w:szCs w:val="1"/>
                <w:color w:val="auto"/>
              </w:rPr>
            </w:pPr>
          </w:p>
        </w:tc>
      </w:tr>
      <w:tr>
        <w:trPr>
          <w:trHeight w:val="155"/>
        </w:trPr>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income tax expense</w:t>
            </w: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2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4,020</w:t>
            </w:r>
          </w:p>
        </w:tc>
        <w:tc>
          <w:tcPr>
            <w:tcW w:w="2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60" w:hanging="252"/>
        <w:spacing w:after="0"/>
        <w:tabs>
          <w:tab w:leader="none" w:pos="26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2017 amount includes a federal tax benefit of $7,785 related to changes in unrecognized tax benefits and related interest.</w:t>
      </w:r>
    </w:p>
    <w:p>
      <w:pPr>
        <w:spacing w:after="0" w:line="179"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4"/>
          <w:szCs w:val="14"/>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 xml:space="preserve">December 31, 2017 </w:t>
            </w:r>
            <w:r>
              <w:rPr>
                <w:rFonts w:ascii="Times New Roman" w:cs="Times New Roman" w:eastAsia="Times New Roman" w:hAnsi="Times New Roman"/>
                <w:sz w:val="14"/>
                <w:szCs w:val="14"/>
                <w:b w:val="1"/>
                <w:bCs w:val="1"/>
                <w:color w:val="auto"/>
                <w:vertAlign w:val="superscript"/>
              </w:rPr>
              <w:t>(1)</w:t>
            </w:r>
          </w:p>
        </w:tc>
        <w:tc>
          <w:tcPr>
            <w:tcW w:w="3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December 31, 2016</w:t>
            </w:r>
          </w:p>
        </w:tc>
      </w:tr>
      <w:tr>
        <w:trPr>
          <w:trHeight w:val="20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63"/>
        </w:trPr>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8,579</w:t>
            </w:r>
          </w:p>
        </w:tc>
        <w:tc>
          <w:tcPr>
            <w:tcW w:w="340" w:type="dxa"/>
            <w:vAlign w:val="bottom"/>
          </w:tcPr>
          <w:p>
            <w:pPr>
              <w:spacing w:after="0"/>
              <w:rPr>
                <w:sz w:val="14"/>
                <w:szCs w:val="14"/>
                <w:color w:val="auto"/>
              </w:rPr>
            </w:pPr>
          </w:p>
        </w:tc>
        <w:tc>
          <w:tcPr>
            <w:tcW w:w="64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11,940</w:t>
            </w:r>
          </w:p>
        </w:tc>
      </w:tr>
      <w:tr>
        <w:trPr>
          <w:trHeight w:val="163"/>
        </w:trPr>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Alternative minimum tax credit carry-forwards</w:t>
            </w: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r>
      <w:tr>
        <w:trPr>
          <w:trHeight w:val="163"/>
        </w:trPr>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Compensation and employee benefits</w:t>
            </w:r>
          </w:p>
        </w:tc>
        <w:tc>
          <w:tcPr>
            <w:tcW w:w="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4,146</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6,221</w:t>
            </w:r>
          </w:p>
        </w:tc>
      </w:tr>
      <w:tr>
        <w:trPr>
          <w:trHeight w:val="163"/>
        </w:trPr>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revenue</w:t>
            </w: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w:t>
            </w:r>
          </w:p>
        </w:tc>
      </w:tr>
      <w:tr>
        <w:trPr>
          <w:trHeight w:val="163"/>
        </w:trPr>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Accrued expenses</w:t>
            </w:r>
          </w:p>
        </w:tc>
        <w:tc>
          <w:tcPr>
            <w:tcW w:w="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6,178</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7,134</w:t>
            </w:r>
          </w:p>
        </w:tc>
      </w:tr>
      <w:tr>
        <w:trPr>
          <w:trHeight w:val="163"/>
        </w:trPr>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taxes</w:t>
            </w: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w:t>
            </w:r>
          </w:p>
        </w:tc>
      </w:tr>
      <w:tr>
        <w:trPr>
          <w:trHeight w:val="163"/>
        </w:trPr>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Land and property</w:t>
            </w:r>
          </w:p>
        </w:tc>
        <w:tc>
          <w:tcPr>
            <w:tcW w:w="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8,457</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12,857</w:t>
            </w:r>
          </w:p>
        </w:tc>
      </w:tr>
      <w:tr>
        <w:trPr>
          <w:trHeight w:val="163"/>
        </w:trPr>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6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3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r>
      <w:tr>
        <w:trPr>
          <w:trHeight w:val="154"/>
        </w:trPr>
        <w:tc>
          <w:tcPr>
            <w:tcW w:w="706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Total Deferred Tax Assets</w:t>
            </w:r>
          </w:p>
        </w:tc>
        <w:tc>
          <w:tcPr>
            <w:tcW w:w="6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33,346</w:t>
            </w:r>
          </w:p>
        </w:tc>
        <w:tc>
          <w:tcPr>
            <w:tcW w:w="3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49,704</w:t>
            </w:r>
          </w:p>
        </w:tc>
      </w:tr>
      <w:tr>
        <w:trPr>
          <w:trHeight w:val="143"/>
        </w:trPr>
        <w:tc>
          <w:tcPr>
            <w:tcW w:w="706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Deferred Tax Liabilities:</w:t>
            </w: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3"/>
        </w:trPr>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Intangibles</w:t>
            </w:r>
          </w:p>
        </w:tc>
        <w:tc>
          <w:tcPr>
            <w:tcW w:w="6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(1,087)</w:t>
            </w: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w:t>
            </w:r>
          </w:p>
        </w:tc>
      </w:tr>
      <w:tr>
        <w:trPr>
          <w:trHeight w:val="163"/>
        </w:trPr>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Cancellation of indebtedness</w:t>
            </w:r>
          </w:p>
        </w:tc>
        <w:tc>
          <w:tcPr>
            <w:tcW w:w="6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(481)</w:t>
            </w: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r>
      <w:tr>
        <w:trPr>
          <w:trHeight w:val="163"/>
        </w:trPr>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Notes receivable</w:t>
            </w:r>
          </w:p>
        </w:tc>
        <w:tc>
          <w:tcPr>
            <w:tcW w:w="68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(7,403)</w:t>
            </w:r>
          </w:p>
        </w:tc>
      </w:tr>
      <w:tr>
        <w:trPr>
          <w:trHeight w:val="154"/>
        </w:trPr>
        <w:tc>
          <w:tcPr>
            <w:tcW w:w="706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Total Deferred Tax Liabilities</w:t>
            </w: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3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(10,444)</w:t>
            </w:r>
          </w:p>
        </w:tc>
      </w:tr>
      <w:tr>
        <w:trPr>
          <w:trHeight w:val="154"/>
        </w:trPr>
        <w:tc>
          <w:tcPr>
            <w:tcW w:w="706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Net deferred tax assets before valuation allowance</w:t>
            </w:r>
          </w:p>
        </w:tc>
        <w:tc>
          <w:tcPr>
            <w:tcW w:w="6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31,778</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39,260</w:t>
            </w:r>
          </w:p>
        </w:tc>
      </w:tr>
      <w:tr>
        <w:trPr>
          <w:trHeight w:val="163"/>
        </w:trPr>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Valuation allowance</w:t>
            </w:r>
          </w:p>
        </w:tc>
        <w:tc>
          <w:tcPr>
            <w:tcW w:w="6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(6,870)</w:t>
            </w: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(10,593)</w:t>
            </w:r>
          </w:p>
        </w:tc>
      </w:tr>
      <w:tr>
        <w:trPr>
          <w:trHeight w:val="188"/>
        </w:trPr>
        <w:tc>
          <w:tcPr>
            <w:tcW w:w="7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deferred tax asset</w:t>
            </w:r>
          </w:p>
        </w:tc>
        <w:tc>
          <w:tcPr>
            <w:tcW w:w="6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24,908</w:t>
            </w:r>
          </w:p>
        </w:tc>
        <w:tc>
          <w:tcPr>
            <w:tcW w:w="34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28,667</w:t>
            </w:r>
          </w:p>
        </w:tc>
      </w:tr>
    </w:tbl>
    <w:p>
      <w:pPr>
        <w:spacing w:after="0" w:line="156" w:lineRule="exact"/>
        <w:rPr>
          <w:sz w:val="20"/>
          <w:szCs w:val="20"/>
          <w:color w:val="auto"/>
        </w:rPr>
      </w:pPr>
    </w:p>
    <w:p>
      <w:pPr>
        <w:ind w:left="200" w:right="80" w:hanging="192"/>
        <w:spacing w:after="0" w:line="233" w:lineRule="auto"/>
        <w:tabs>
          <w:tab w:leader="none" w:pos="20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recorded an adjustment to our federal deferred income tax assets and liabilities as of December 31, 2017 to reflect the reduction in the U.S. statutory federal corporate income tax rate from 35% to 21% resulting from the Tax Act.</w:t>
      </w:r>
    </w:p>
    <w:p>
      <w:pPr>
        <w:spacing w:after="0" w:line="11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We record net deferred tax assets to the extent we believe these assets will more likely than not be realized. In making such determination, we considered all available positive and negative evidence, including scheduled reversals of deferred tax liabilities, projected future taxable income, tax planning strategies and recent financial performance. Because there are more negative evidences for New Zealand and certain U.S. state carryforwards as of December 31, 2017, we recorded a valuation allowance of $6.9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2017, we had the following carry-forwards:</w:t>
      </w:r>
    </w:p>
    <w:p>
      <w:pPr>
        <w:spacing w:after="0" w:line="99" w:lineRule="exact"/>
        <w:rPr>
          <w:sz w:val="20"/>
          <w:szCs w:val="20"/>
          <w:color w:val="auto"/>
        </w:rPr>
      </w:pPr>
    </w:p>
    <w:p>
      <w:pPr>
        <w:ind w:left="520" w:hanging="252"/>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$939,000 in U.S. alternative minimum tax credit carry-forwards with no expiration date and are refundable beginning tax year 2018;</w:t>
      </w:r>
    </w:p>
    <w:p>
      <w:pPr>
        <w:spacing w:after="0" w:line="27"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$8.4 million in available New Zealand loss carry-forwards with no expiration date;</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$43.7 million in New York state loss carryforwards expiring in 2034; and,</w:t>
      </w:r>
    </w:p>
    <w:p>
      <w:pPr>
        <w:spacing w:after="0" w:line="12"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$43.8 million in New York city loss carryforwards expiring in 2034.</w:t>
      </w:r>
    </w:p>
    <w:p>
      <w:pPr>
        <w:spacing w:after="0" w:line="171"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4"/>
          <w:szCs w:val="14"/>
          <w:color w:val="auto"/>
        </w:rPr>
        <w:t>In 2017 we liquidated a non-operating foreign subsidiary resulting in a reversal of approximately $7.6 million in deferred tax liability and $7.8 million in withholding tax reserves.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auto"/>
        </w:rPr>
        <w:t>We expect no substantial limitations on the future use of U.S. or foreign loss carry-forwards.</w:t>
      </w:r>
    </w:p>
    <w:p>
      <w:pPr>
        <w:spacing w:after="0" w:line="99" w:lineRule="exact"/>
        <w:rPr>
          <w:sz w:val="20"/>
          <w:szCs w:val="20"/>
          <w:color w:val="auto"/>
        </w:rPr>
      </w:pPr>
    </w:p>
    <w:p>
      <w:pPr>
        <w:ind w:right="440"/>
        <w:spacing w:after="0" w:line="300" w:lineRule="auto"/>
        <w:rPr>
          <w:sz w:val="20"/>
          <w:szCs w:val="20"/>
          <w:color w:val="auto"/>
        </w:rPr>
      </w:pPr>
      <w:r>
        <w:rPr>
          <w:rFonts w:ascii="Times New Roman" w:cs="Times New Roman" w:eastAsia="Times New Roman" w:hAnsi="Times New Roman"/>
          <w:sz w:val="14"/>
          <w:szCs w:val="14"/>
          <w:color w:val="auto"/>
        </w:rPr>
        <w:t>The provision for income taxes is different from amounts computed by applying U.S. statutory rates to consolidated losses before taxes. The significant reason for these differences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80" w:type="dxa"/>
            <w:vAlign w:val="bottom"/>
          </w:tcPr>
          <w:p>
            <w:pPr>
              <w:spacing w:after="0"/>
              <w:rPr>
                <w:sz w:val="15"/>
                <w:szCs w:val="15"/>
                <w:color w:val="auto"/>
              </w:rPr>
            </w:pPr>
          </w:p>
        </w:tc>
        <w:tc>
          <w:tcPr>
            <w:tcW w:w="82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2016</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163"/>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tax provision</w:t>
            </w:r>
          </w:p>
        </w:tc>
        <w:tc>
          <w:tcPr>
            <w:tcW w:w="3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12,022</w:t>
            </w:r>
          </w:p>
        </w:tc>
        <w:tc>
          <w:tcPr>
            <w:tcW w:w="2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4,566</w:t>
            </w:r>
          </w:p>
        </w:tc>
        <w:tc>
          <w:tcPr>
            <w:tcW w:w="2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9,581</w:t>
            </w:r>
          </w:p>
        </w:tc>
      </w:tr>
      <w:tr>
        <w:trPr>
          <w:trHeight w:val="163"/>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Increase (decrease) in tax expense resulting from:</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tax rate differential</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(2,153)</w:t>
            </w: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(648)</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r>
      <w:tr>
        <w:trPr>
          <w:trHeight w:val="163"/>
        </w:trPr>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3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(905)</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w:t>
            </w:r>
          </w:p>
        </w:tc>
      </w:tr>
      <w:tr>
        <w:trPr>
          <w:trHeight w:val="163"/>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State and local tax provision</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(541)</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w:t>
            </w:r>
          </w:p>
        </w:tc>
      </w:tr>
      <w:tr>
        <w:trPr>
          <w:trHeight w:val="163"/>
        </w:trPr>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Prior year adjustments</w:t>
            </w:r>
          </w:p>
        </w:tc>
        <w:tc>
          <w:tcPr>
            <w:tcW w:w="3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(79)</w:t>
            </w:r>
          </w:p>
        </w:tc>
        <w:tc>
          <w:tcPr>
            <w:tcW w:w="38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(954)</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r>
      <w:tr>
        <w:trPr>
          <w:trHeight w:val="163"/>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Unrecognized tax benefits</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(8,498)</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r>
      <w:tr>
        <w:trPr>
          <w:trHeight w:val="182"/>
        </w:trPr>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Advance to Overseas Subsidiary</w:t>
            </w:r>
          </w:p>
        </w:tc>
        <w:tc>
          <w:tcPr>
            <w:tcW w:w="3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(7,620)</w:t>
            </w:r>
          </w:p>
        </w:tc>
        <w:tc>
          <w:tcPr>
            <w:tcW w:w="3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Impact of Tax Act</w:t>
            </w: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13,018</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Non-taxable insurance proceeds</w:t>
            </w:r>
          </w:p>
        </w:tc>
        <w:tc>
          <w:tcPr>
            <w:tcW w:w="3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(1,871)</w:t>
            </w:r>
          </w:p>
        </w:tc>
        <w:tc>
          <w:tcPr>
            <w:tcW w:w="3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Indefinite reinvestment assertion</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(3,089)</w:t>
            </w:r>
          </w:p>
        </w:tc>
      </w:tr>
      <w:tr>
        <w:trPr>
          <w:trHeight w:val="163"/>
        </w:trPr>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State rate and law change</w:t>
            </w:r>
          </w:p>
        </w:tc>
        <w:tc>
          <w:tcPr>
            <w:tcW w:w="3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(3,635)</w:t>
            </w:r>
          </w:p>
        </w:tc>
      </w:tr>
      <w:tr>
        <w:trPr>
          <w:trHeight w:val="163"/>
        </w:trPr>
        <w:tc>
          <w:tcPr>
            <w:tcW w:w="6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(36)</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155"/>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Actual tax provision</w:t>
            </w:r>
          </w:p>
        </w:tc>
        <w:tc>
          <w:tcPr>
            <w:tcW w:w="3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3,337</w:t>
            </w:r>
          </w:p>
        </w:tc>
        <w:tc>
          <w:tcPr>
            <w:tcW w:w="2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4,020</w:t>
            </w:r>
          </w:p>
        </w:tc>
        <w:tc>
          <w:tcPr>
            <w:tcW w:w="2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5,148</w:t>
            </w:r>
          </w:p>
        </w:tc>
      </w:tr>
    </w:tbl>
    <w:p>
      <w:pPr>
        <w:spacing w:after="0" w:line="15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The undistributed earnings of the Company's Australian subsidiaries are considered to be indefinitely reinvested. Accordingly, no provision for state income taxes or foreign withholding taxes has been provided on such undistributed earnings. Due to the enactment of the Tax Act, future repatriations of foreign earnings will generally not be subject to U.S. federal taxation but may incur state taxes. At December 31, 2017, we have not changed our indefinite reinvestment decision as a result of the Tax Act but will reassess this decision during the course of 2018 as we continue to consider the impact of the Tax 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the activity related to unrecognized tax benefits, excluding interest and penalties, for the years ended December 31, 2017, 2016, and 2015: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80" w:type="dxa"/>
            <w:vAlign w:val="bottom"/>
          </w:tcPr>
          <w:p>
            <w:pPr>
              <w:spacing w:after="0"/>
              <w:rPr>
                <w:sz w:val="15"/>
                <w:szCs w:val="15"/>
                <w:color w:val="auto"/>
              </w:rPr>
            </w:pPr>
          </w:p>
        </w:tc>
        <w:tc>
          <w:tcPr>
            <w:tcW w:w="82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2016</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163"/>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Unrecognized tax benefits – gross beginning balance</w:t>
            </w:r>
          </w:p>
        </w:tc>
        <w:tc>
          <w:tcPr>
            <w:tcW w:w="3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11,480</w:t>
            </w:r>
          </w:p>
        </w:tc>
        <w:tc>
          <w:tcPr>
            <w:tcW w:w="2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11,022</w:t>
            </w:r>
          </w:p>
        </w:tc>
        <w:tc>
          <w:tcPr>
            <w:tcW w:w="2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3,760</w:t>
            </w:r>
          </w:p>
        </w:tc>
      </w:tr>
      <w:tr>
        <w:trPr>
          <w:trHeight w:val="163"/>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 increase (decrease) - prior year tax positions</w:t>
            </w:r>
          </w:p>
        </w:tc>
        <w:tc>
          <w:tcPr>
            <w:tcW w:w="3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(7,905)</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6,679</w:t>
            </w:r>
          </w:p>
        </w:tc>
      </w:tr>
      <w:tr>
        <w:trPr>
          <w:trHeight w:val="163"/>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increase (decrease) - current period tax positions</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r>
      <w:tr>
        <w:trPr>
          <w:trHeight w:val="182"/>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Settlements</w:t>
            </w:r>
          </w:p>
        </w:tc>
        <w:tc>
          <w:tcPr>
            <w:tcW w:w="3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(452)</w:t>
            </w:r>
          </w:p>
        </w:tc>
        <w:tc>
          <w:tcPr>
            <w:tcW w:w="3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Unrecognized tax benefits – gross ending balance</w:t>
            </w:r>
          </w:p>
        </w:tc>
        <w:tc>
          <w:tcPr>
            <w:tcW w:w="3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3,123</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11,480</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11,022</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2017 and 2016, if recognized, $3.1 million and $9.9 million respectively, of the unrecognized tax benefits would impact the Company’s effective tax rate.</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We record interest and penalties related to income tax matters as part of income tax expense. During the year ended December 31, 2016, we recorded an increase to tax interest of $0.4 million, resulting in a total $8.9 million in interest. During the year ended December 31, 2017, we recorded an increase to tax interest of $203,000, resulting in a total $9.1 million in interest.</w:t>
      </w:r>
    </w:p>
    <w:p>
      <w:pPr>
        <w:spacing w:after="0" w:line="10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 to $1.5 million. The reasons for such change include but are not limited to tax positions expected to be taken during 2017, revaluation of current uncertain tax positions, and expiring statutes of limitations.</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4"/>
          <w:szCs w:val="14"/>
          <w:color w:val="auto"/>
        </w:rPr>
        <w:t>Generally, changes to our federal and most state income tax returns for the calendar year 2013 and earlier are barred by statutes of limitations. Certain U.S.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w:t>
      </w:r>
      <w:r>
        <w:rPr>
          <w:rFonts w:ascii="Times New Roman" w:cs="Times New Roman" w:eastAsia="Times New Roman" w:hAnsi="Times New Roman"/>
          <w:sz w:val="14"/>
          <w:szCs w:val="14"/>
          <w:i w:val="1"/>
          <w:iCs w:val="1"/>
          <w:color w:val="auto"/>
        </w:rPr>
        <w:t>Tax Audit/Litigation</w:t>
      </w:r>
      <w:r>
        <w:rPr>
          <w:rFonts w:ascii="Times New Roman" w:cs="Times New Roman" w:eastAsia="Times New Roman" w:hAnsi="Times New Roman"/>
          <w:sz w:val="14"/>
          <w:szCs w:val="14"/>
          <w:color w:val="auto"/>
        </w:rPr>
        <w:t xml:space="preserve">,” Note 12 –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86" w:name="page87"/>
    <w:bookmarkEnd w:id="86"/>
    <w:p>
      <w:pPr>
        <w:ind w:right="220"/>
        <w:spacing w:after="0" w:line="269" w:lineRule="auto"/>
        <w:rPr>
          <w:sz w:val="20"/>
          <w:szCs w:val="20"/>
          <w:color w:val="auto"/>
        </w:rPr>
      </w:pPr>
      <w:r>
        <w:rPr>
          <w:rFonts w:ascii="Times New Roman" w:cs="Times New Roman" w:eastAsia="Times New Roman" w:hAnsi="Times New Roman"/>
          <w:sz w:val="14"/>
          <w:szCs w:val="14"/>
          <w:color w:val="auto"/>
        </w:rPr>
        <w:t>As of December 31, 2017, federal income tax returns for 2014 and after are open for examination, with the 2015 return being currently under examination. California worldwide unitary income tax returns for 2013 and after are open for examination, but an examination of 2013 through 2015 has been completed, awaiting a final assessment notice. Income tax returns filed in Puerto Rico for 2013 and after are open for examination. Australia income tax returns for calendar years 2012 and after are open for examination, with 2014 and 2015 currently under risk review. New Zealand income tax returns for calendar year 2009 and after were under examination as of December 31, 2017, with no other New Zealand returns being open for examination.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10 – BORROWINGS</w:t>
      </w:r>
    </w:p>
    <w:p>
      <w:pPr>
        <w:spacing w:after="0" w:line="166"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4"/>
          <w:szCs w:val="14"/>
          <w:color w:val="auto"/>
        </w:rPr>
        <w:t>The Company’s borrowings at December 31, 2017 and 2016, net of deferred financing costs and incorporating the impact of interest rate swaps on our effective interest rates, are summarized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As of December 31, 2017</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2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60" w:type="dxa"/>
            <w:vAlign w:val="bottom"/>
            <w:vMerge w:val="restart"/>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Maturity Date</w:t>
            </w:r>
          </w:p>
        </w:tc>
        <w:tc>
          <w:tcPr>
            <w:tcW w:w="160" w:type="dxa"/>
            <w:vAlign w:val="bottom"/>
            <w:vMerge w:val="restart"/>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4"/>
              </w:rPr>
              <w:t>Contractual Facility</w:t>
            </w:r>
          </w:p>
        </w:tc>
        <w:tc>
          <w:tcPr>
            <w:tcW w:w="160" w:type="dxa"/>
            <w:vAlign w:val="bottom"/>
            <w:vMerge w:val="restart"/>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Balance, Gross</w:t>
            </w:r>
          </w:p>
        </w:tc>
        <w:tc>
          <w:tcPr>
            <w:tcW w:w="140" w:type="dxa"/>
            <w:vAlign w:val="bottom"/>
            <w:vMerge w:val="restart"/>
          </w:tcPr>
          <w:p>
            <w:pPr>
              <w:spacing w:after="0"/>
              <w:rPr>
                <w:sz w:val="13"/>
                <w:szCs w:val="13"/>
                <w:color w:val="auto"/>
              </w:rPr>
            </w:pPr>
          </w:p>
        </w:tc>
        <w:tc>
          <w:tcPr>
            <w:tcW w:w="8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Balance, Net</w:t>
            </w:r>
            <w:r>
              <w:rPr>
                <w:rFonts w:ascii="Times New Roman" w:cs="Times New Roman" w:eastAsia="Times New Roman" w:hAnsi="Times New Roman"/>
                <w:sz w:val="5"/>
                <w:szCs w:val="5"/>
                <w:b w:val="1"/>
                <w:bCs w:val="1"/>
                <w:color w:val="auto"/>
              </w:rPr>
              <w:t>(3)</w:t>
            </w:r>
          </w:p>
        </w:tc>
        <w:tc>
          <w:tcPr>
            <w:tcW w:w="160" w:type="dxa"/>
            <w:vAlign w:val="bottom"/>
            <w:vMerge w:val="restart"/>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Stated Interest</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Effective Interest</w:t>
            </w:r>
          </w:p>
        </w:tc>
        <w:tc>
          <w:tcPr>
            <w:tcW w:w="0" w:type="dxa"/>
            <w:vAlign w:val="bottom"/>
          </w:tcPr>
          <w:p>
            <w:pPr>
              <w:spacing w:after="0"/>
              <w:rPr>
                <w:sz w:val="1"/>
                <w:szCs w:val="1"/>
                <w:color w:val="auto"/>
              </w:rPr>
            </w:pPr>
          </w:p>
        </w:tc>
      </w:tr>
      <w:tr>
        <w:trPr>
          <w:trHeight w:val="140"/>
        </w:trPr>
        <w:tc>
          <w:tcPr>
            <w:tcW w:w="31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Rate</w:t>
            </w: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 xml:space="preserve">Rate </w:t>
            </w:r>
            <w:r>
              <w:rPr>
                <w:rFonts w:ascii="Times New Roman" w:cs="Times New Roman" w:eastAsia="Times New Roman" w:hAnsi="Times New Roman"/>
                <w:sz w:val="5"/>
                <w:szCs w:val="5"/>
                <w:b w:val="1"/>
                <w:bCs w:val="1"/>
                <w:color w:val="auto"/>
                <w:w w:val="91"/>
              </w:rPr>
              <w:t>(1)</w:t>
            </w:r>
          </w:p>
        </w:tc>
        <w:tc>
          <w:tcPr>
            <w:tcW w:w="0" w:type="dxa"/>
            <w:vAlign w:val="bottom"/>
          </w:tcPr>
          <w:p>
            <w:pPr>
              <w:spacing w:after="0"/>
              <w:rPr>
                <w:sz w:val="1"/>
                <w:szCs w:val="1"/>
                <w:color w:val="auto"/>
              </w:rPr>
            </w:pPr>
          </w:p>
        </w:tc>
      </w:tr>
      <w:tr>
        <w:trPr>
          <w:trHeight w:val="15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Denominated in USD</w:t>
            </w: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Trust Preferred Securities (USA)</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6"/>
              </w:rPr>
              <w:t>April 30, 2027</w:t>
            </w:r>
          </w:p>
        </w:tc>
        <w:tc>
          <w:tcPr>
            <w:tcW w:w="38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27,913</w:t>
            </w:r>
          </w:p>
        </w:tc>
        <w:tc>
          <w:tcPr>
            <w:tcW w:w="160" w:type="dxa"/>
            <w:vAlign w:val="bottom"/>
          </w:tcPr>
          <w:p>
            <w:pPr>
              <w:spacing w:after="0"/>
              <w:rPr>
                <w:sz w:val="13"/>
                <w:szCs w:val="13"/>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27,913</w:t>
            </w:r>
          </w:p>
        </w:tc>
        <w:tc>
          <w:tcPr>
            <w:tcW w:w="140" w:type="dxa"/>
            <w:vAlign w:val="bottom"/>
          </w:tcPr>
          <w:p>
            <w:pPr>
              <w:spacing w:after="0"/>
              <w:rPr>
                <w:sz w:val="13"/>
                <w:szCs w:val="13"/>
                <w:color w:val="auto"/>
              </w:rPr>
            </w:pP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27,554</w:t>
            </w: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5.38%</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5.38%</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Bank of America Credit Facility (USA)</w:t>
            </w:r>
          </w:p>
        </w:tc>
        <w:tc>
          <w:tcPr>
            <w:tcW w:w="15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6"/>
              </w:rPr>
              <w:t>November 28, 2019</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55,000</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31,000</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31,000</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4.57%</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4.57%</w:t>
            </w:r>
          </w:p>
        </w:tc>
        <w:tc>
          <w:tcPr>
            <w:tcW w:w="0" w:type="dxa"/>
            <w:vAlign w:val="bottom"/>
          </w:tcPr>
          <w:p>
            <w:pPr>
              <w:spacing w:after="0"/>
              <w:rPr>
                <w:sz w:val="1"/>
                <w:szCs w:val="1"/>
                <w:color w:val="auto"/>
              </w:rPr>
            </w:pPr>
          </w:p>
        </w:tc>
      </w:tr>
      <w:tr>
        <w:trPr>
          <w:trHeight w:val="163"/>
        </w:trPr>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Bank of America Line of Credit (USA)</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October 31, 2019</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4.57%</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4.57%</w:t>
            </w:r>
          </w:p>
        </w:tc>
        <w:tc>
          <w:tcPr>
            <w:tcW w:w="0" w:type="dxa"/>
            <w:vAlign w:val="bottom"/>
          </w:tcPr>
          <w:p>
            <w:pPr>
              <w:spacing w:after="0"/>
              <w:rPr>
                <w:sz w:val="1"/>
                <w:szCs w:val="1"/>
                <w:color w:val="auto"/>
              </w:rPr>
            </w:pPr>
          </w:p>
        </w:tc>
      </w:tr>
      <w:tr>
        <w:trPr>
          <w:trHeight w:val="152"/>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Cinema 1, 2, 3 Term Loan (USA)</w:t>
            </w:r>
          </w:p>
        </w:tc>
        <w:tc>
          <w:tcPr>
            <w:tcW w:w="15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7"/>
              </w:rPr>
              <w:t>September 1, 2019</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19,500</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19,500</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19,105</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3.25%</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3.25%</w:t>
            </w:r>
          </w:p>
        </w:tc>
        <w:tc>
          <w:tcPr>
            <w:tcW w:w="0" w:type="dxa"/>
            <w:vAlign w:val="bottom"/>
          </w:tcPr>
          <w:p>
            <w:pPr>
              <w:spacing w:after="0"/>
              <w:rPr>
                <w:sz w:val="1"/>
                <w:szCs w:val="1"/>
                <w:color w:val="auto"/>
              </w:rPr>
            </w:pPr>
          </w:p>
        </w:tc>
      </w:tr>
      <w:tr>
        <w:trPr>
          <w:trHeight w:val="152"/>
        </w:trPr>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Minetta &amp; Orpheum Theatres Loan (USA)</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June 1, 2018</w:t>
            </w: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7,470</w:t>
            </w: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4.13%</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4.13%</w:t>
            </w:r>
          </w:p>
        </w:tc>
        <w:tc>
          <w:tcPr>
            <w:tcW w:w="0" w:type="dxa"/>
            <w:vAlign w:val="bottom"/>
          </w:tcPr>
          <w:p>
            <w:pPr>
              <w:spacing w:after="0"/>
              <w:rPr>
                <w:sz w:val="1"/>
                <w:szCs w:val="1"/>
                <w:color w:val="auto"/>
              </w:rPr>
            </w:pPr>
          </w:p>
        </w:tc>
      </w:tr>
      <w:tr>
        <w:trPr>
          <w:trHeight w:val="152"/>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U.S. Corporate Office Term Loan (USA)</w:t>
            </w:r>
            <w:r>
              <w:rPr>
                <w:rFonts w:ascii="Times New Roman" w:cs="Times New Roman" w:eastAsia="Times New Roman" w:hAnsi="Times New Roman"/>
                <w:sz w:val="5"/>
                <w:szCs w:val="5"/>
                <w:color w:val="auto"/>
              </w:rPr>
              <w:t>(4)</w:t>
            </w:r>
          </w:p>
        </w:tc>
        <w:tc>
          <w:tcPr>
            <w:tcW w:w="15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4"/>
              </w:rPr>
              <w:t>January 1, 2027</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9,719</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9,719</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9,582</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4.64% / 4.44%</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4.61%</w:t>
            </w:r>
          </w:p>
        </w:tc>
        <w:tc>
          <w:tcPr>
            <w:tcW w:w="0" w:type="dxa"/>
            <w:vAlign w:val="bottom"/>
          </w:tcPr>
          <w:p>
            <w:pPr>
              <w:spacing w:after="0"/>
              <w:rPr>
                <w:sz w:val="1"/>
                <w:szCs w:val="1"/>
                <w:color w:val="auto"/>
              </w:rPr>
            </w:pPr>
          </w:p>
        </w:tc>
      </w:tr>
      <w:tr>
        <w:trPr>
          <w:trHeight w:val="141"/>
        </w:trPr>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Union Square Construction Financing (USA)</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7"/>
              </w:rPr>
              <w:t>December 29, 2019</w:t>
            </w: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5,033</w:t>
            </w: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5.81%</w:t>
            </w:r>
          </w:p>
        </w:tc>
        <w:tc>
          <w:tcPr>
            <w:tcW w:w="1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5.81%</w:t>
            </w:r>
          </w:p>
        </w:tc>
        <w:tc>
          <w:tcPr>
            <w:tcW w:w="0" w:type="dxa"/>
            <w:vAlign w:val="bottom"/>
          </w:tcPr>
          <w:p>
            <w:pPr>
              <w:spacing w:after="0"/>
              <w:rPr>
                <w:sz w:val="1"/>
                <w:szCs w:val="1"/>
                <w:color w:val="auto"/>
              </w:rPr>
            </w:pPr>
          </w:p>
        </w:tc>
      </w:tr>
      <w:tr>
        <w:trPr>
          <w:trHeight w:val="15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Denominated in foreign currency ("FC")</w:t>
            </w:r>
            <w:r>
              <w:rPr>
                <w:rFonts w:ascii="Times New Roman" w:cs="Times New Roman" w:eastAsia="Times New Roman" w:hAnsi="Times New Roman"/>
                <w:sz w:val="5"/>
                <w:szCs w:val="5"/>
                <w:color w:val="auto"/>
              </w:rPr>
              <w:t>(2)</w:t>
            </w: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NAB Corporate Loan Facility (AU)</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June 30, 2019</w:t>
            </w: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51,970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30,869</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30,781</w:t>
            </w: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3.66%</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3.66%</w:t>
            </w:r>
          </w:p>
        </w:tc>
        <w:tc>
          <w:tcPr>
            <w:tcW w:w="0" w:type="dxa"/>
            <w:vAlign w:val="bottom"/>
          </w:tcPr>
          <w:p>
            <w:pPr>
              <w:spacing w:after="0"/>
              <w:rPr>
                <w:sz w:val="1"/>
                <w:szCs w:val="1"/>
                <w:color w:val="auto"/>
              </w:rPr>
            </w:pPr>
          </w:p>
        </w:tc>
      </w:tr>
      <w:tr>
        <w:trPr>
          <w:trHeight w:val="189"/>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Westpac Bank Corporate (general/non-construction) Credit</w:t>
            </w:r>
          </w:p>
        </w:tc>
        <w:tc>
          <w:tcPr>
            <w:tcW w:w="1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280" w:type="dxa"/>
            <w:vAlign w:val="bottom"/>
            <w:gridSpan w:val="2"/>
            <w:shd w:val="clear" w:color="auto" w:fill="CCEEFF"/>
          </w:tcPr>
          <w:p>
            <w:pPr>
              <w:ind w:left="360"/>
              <w:spacing w:after="0" w:line="137" w:lineRule="exact"/>
              <w:rPr>
                <w:sz w:val="20"/>
                <w:szCs w:val="20"/>
                <w:color w:val="auto"/>
              </w:rPr>
            </w:pPr>
            <w:r>
              <w:rPr>
                <w:rFonts w:ascii="Times New Roman" w:cs="Times New Roman" w:eastAsia="Times New Roman" w:hAnsi="Times New Roman"/>
                <w:sz w:val="12"/>
                <w:szCs w:val="12"/>
                <w:color w:val="auto"/>
              </w:rPr>
              <w:t>Facility (NZ)</w:t>
            </w:r>
          </w:p>
        </w:tc>
        <w:tc>
          <w:tcPr>
            <w:tcW w:w="1560" w:type="dxa"/>
            <w:vAlign w:val="bottom"/>
            <w:gridSpan w:val="2"/>
            <w:shd w:val="clear" w:color="auto" w:fill="CCEEFF"/>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7"/>
              </w:rPr>
              <w:t>December 31, 2019</w:t>
            </w: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24,850</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2"/>
                <w:szCs w:val="12"/>
                <w:color w:val="auto"/>
                <w:w w:val="96"/>
              </w:rPr>
              <w:t>3.70%</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2"/>
                <w:szCs w:val="12"/>
                <w:color w:val="auto"/>
                <w:w w:val="96"/>
              </w:rPr>
              <w:t>3.70%</w:t>
            </w:r>
          </w:p>
        </w:tc>
        <w:tc>
          <w:tcPr>
            <w:tcW w:w="0" w:type="dxa"/>
            <w:vAlign w:val="bottom"/>
          </w:tcPr>
          <w:p>
            <w:pPr>
              <w:spacing w:after="0"/>
              <w:rPr>
                <w:sz w:val="1"/>
                <w:szCs w:val="1"/>
                <w:color w:val="auto"/>
              </w:rPr>
            </w:pPr>
          </w:p>
        </w:tc>
      </w:tr>
      <w:tr>
        <w:trPr>
          <w:trHeight w:val="189"/>
        </w:trPr>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Westpac Bank Corporate (construction) Credit Facility</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280" w:type="dxa"/>
            <w:vAlign w:val="bottom"/>
            <w:gridSpan w:val="2"/>
          </w:tcPr>
          <w:p>
            <w:pPr>
              <w:ind w:left="360"/>
              <w:spacing w:after="0" w:line="137" w:lineRule="exact"/>
              <w:rPr>
                <w:sz w:val="20"/>
                <w:szCs w:val="20"/>
                <w:color w:val="auto"/>
              </w:rPr>
            </w:pPr>
            <w:r>
              <w:rPr>
                <w:rFonts w:ascii="Times New Roman" w:cs="Times New Roman" w:eastAsia="Times New Roman" w:hAnsi="Times New Roman"/>
                <w:sz w:val="12"/>
                <w:szCs w:val="12"/>
                <w:color w:val="auto"/>
              </w:rPr>
              <w:t>(NZ)</w:t>
            </w:r>
          </w:p>
        </w:tc>
        <w:tc>
          <w:tcPr>
            <w:tcW w:w="156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7"/>
              </w:rPr>
              <w:t>December 31, 2019</w:t>
            </w:r>
          </w:p>
        </w:tc>
        <w:tc>
          <w:tcPr>
            <w:tcW w:w="38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12,780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1"/>
                <w:szCs w:val="11"/>
                <w:color w:val="auto"/>
              </w:rPr>
            </w:pPr>
          </w:p>
        </w:tc>
        <w:tc>
          <w:tcPr>
            <w:tcW w:w="58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auto"/>
                <w:w w:val="96"/>
              </w:rPr>
              <w:t>3.70%</w:t>
            </w:r>
          </w:p>
        </w:tc>
        <w:tc>
          <w:tcPr>
            <w:tcW w:w="160" w:type="dxa"/>
            <w:vAlign w:val="bottom"/>
          </w:tcPr>
          <w:p>
            <w:pPr>
              <w:spacing w:after="0"/>
              <w:rPr>
                <w:sz w:val="11"/>
                <w:szCs w:val="11"/>
                <w:color w:val="auto"/>
              </w:rPr>
            </w:pPr>
          </w:p>
        </w:tc>
        <w:tc>
          <w:tcPr>
            <w:tcW w:w="11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auto"/>
                <w:w w:val="96"/>
              </w:rPr>
              <w:t>3.70%</w:t>
            </w:r>
          </w:p>
        </w:tc>
        <w:tc>
          <w:tcPr>
            <w:tcW w:w="0" w:type="dxa"/>
            <w:vAlign w:val="bottom"/>
          </w:tcPr>
          <w:p>
            <w:pPr>
              <w:spacing w:after="0"/>
              <w:rPr>
                <w:sz w:val="1"/>
                <w:szCs w:val="1"/>
                <w:color w:val="auto"/>
              </w:rPr>
            </w:pPr>
          </w:p>
        </w:tc>
      </w:tr>
      <w:tr>
        <w:trPr>
          <w:trHeight w:val="123"/>
        </w:trPr>
        <w:tc>
          <w:tcPr>
            <w:tcW w:w="3280" w:type="dxa"/>
            <w:vAlign w:val="bottom"/>
            <w:tcBorders>
              <w:top w:val="single" w:sz="8" w:color="CCEEFF"/>
              <w:bottom w:val="single" w:sz="8" w:color="CCEEFF"/>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w:t>
            </w:r>
          </w:p>
        </w:tc>
        <w:tc>
          <w:tcPr>
            <w:tcW w:w="14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jc w:val="right"/>
              <w:ind w:right="162"/>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271,732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ind w:right="82"/>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134,501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ind w:right="182"/>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7"/>
              </w:rPr>
              <w:t>130,525</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10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00" w:hanging="92"/>
        <w:spacing w:after="0"/>
        <w:tabs>
          <w:tab w:leader="none" w:pos="100" w:val="left"/>
        </w:tabs>
        <w:numPr>
          <w:ilvl w:val="0"/>
          <w:numId w:val="8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Both interest rate derivatives associated with the Trust Preferred Securities and Bank of America Credit Facility expired in October 2017 so the effective interest rate no longer applies as of December 31, 2017.</w:t>
      </w:r>
    </w:p>
    <w:p>
      <w:pPr>
        <w:spacing w:after="0" w:line="24" w:lineRule="exact"/>
        <w:rPr>
          <w:rFonts w:ascii="Times New Roman" w:cs="Times New Roman" w:eastAsia="Times New Roman" w:hAnsi="Times New Roman"/>
          <w:sz w:val="10"/>
          <w:szCs w:val="10"/>
          <w:color w:val="auto"/>
          <w:vertAlign w:val="superscript"/>
        </w:rPr>
      </w:pPr>
    </w:p>
    <w:p>
      <w:pPr>
        <w:ind w:left="100" w:hanging="92"/>
        <w:spacing w:after="0"/>
        <w:tabs>
          <w:tab w:leader="none" w:pos="100" w:val="left"/>
        </w:tabs>
        <w:numPr>
          <w:ilvl w:val="0"/>
          <w:numId w:val="8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The contractual facilities and outstanding balances of the FC-denominated borrowings were translated into U.S. dollars based on exchange rates as of December 31, 2017.</w:t>
      </w:r>
    </w:p>
    <w:p>
      <w:pPr>
        <w:spacing w:after="0" w:line="38" w:lineRule="exact"/>
        <w:rPr>
          <w:rFonts w:ascii="Times New Roman" w:cs="Times New Roman" w:eastAsia="Times New Roman" w:hAnsi="Times New Roman"/>
          <w:sz w:val="10"/>
          <w:szCs w:val="10"/>
          <w:color w:val="auto"/>
          <w:vertAlign w:val="superscript"/>
        </w:rPr>
      </w:pPr>
    </w:p>
    <w:p>
      <w:pPr>
        <w:ind w:left="100" w:hanging="92"/>
        <w:spacing w:after="0"/>
        <w:tabs>
          <w:tab w:leader="none" w:pos="100" w:val="left"/>
        </w:tabs>
        <w:numPr>
          <w:ilvl w:val="0"/>
          <w:numId w:val="8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Net of deferred financing costs amounting to $4.0 million.</w:t>
      </w:r>
    </w:p>
    <w:p>
      <w:pPr>
        <w:spacing w:after="0" w:line="36" w:lineRule="exact"/>
        <w:rPr>
          <w:rFonts w:ascii="Times New Roman" w:cs="Times New Roman" w:eastAsia="Times New Roman" w:hAnsi="Times New Roman"/>
          <w:sz w:val="10"/>
          <w:szCs w:val="10"/>
          <w:color w:val="auto"/>
          <w:vertAlign w:val="superscript"/>
        </w:rPr>
      </w:pPr>
    </w:p>
    <w:p>
      <w:pPr>
        <w:ind w:left="100" w:hanging="92"/>
        <w:spacing w:after="0"/>
        <w:tabs>
          <w:tab w:leader="none" w:pos="100" w:val="left"/>
        </w:tabs>
        <w:numPr>
          <w:ilvl w:val="0"/>
          <w:numId w:val="8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In June 2017 we received $1.5M in additional financing on our new U.S. Corporate Headquarters with Citizens Asset Finance, Inc. due to the reappraisal of the property.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As of December 31, 2016</w:t>
            </w:r>
          </w:p>
        </w:tc>
        <w:tc>
          <w:tcPr>
            <w:tcW w:w="9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2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60" w:type="dxa"/>
            <w:vAlign w:val="bottom"/>
            <w:vMerge w:val="restart"/>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Maturity Date</w:t>
            </w:r>
          </w:p>
        </w:tc>
        <w:tc>
          <w:tcPr>
            <w:tcW w:w="180" w:type="dxa"/>
            <w:vAlign w:val="bottom"/>
            <w:vMerge w:val="restart"/>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Contractual</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Balance, Gross</w:t>
            </w:r>
          </w:p>
        </w:tc>
        <w:tc>
          <w:tcPr>
            <w:tcW w:w="160" w:type="dxa"/>
            <w:vAlign w:val="bottom"/>
            <w:vMerge w:val="restart"/>
          </w:tcPr>
          <w:p>
            <w:pPr>
              <w:spacing w:after="0"/>
              <w:rPr>
                <w:sz w:val="14"/>
                <w:szCs w:val="14"/>
                <w:color w:val="auto"/>
              </w:rPr>
            </w:pPr>
          </w:p>
        </w:tc>
        <w:tc>
          <w:tcPr>
            <w:tcW w:w="8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Balance, Net</w:t>
            </w:r>
            <w:r>
              <w:rPr>
                <w:rFonts w:ascii="Times New Roman" w:cs="Times New Roman" w:eastAsia="Times New Roman" w:hAnsi="Times New Roman"/>
                <w:sz w:val="5"/>
                <w:szCs w:val="5"/>
                <w:b w:val="1"/>
                <w:bCs w:val="1"/>
                <w:color w:val="auto"/>
              </w:rPr>
              <w:t>(3)</w:t>
            </w:r>
          </w:p>
        </w:tc>
        <w:tc>
          <w:tcPr>
            <w:tcW w:w="160" w:type="dxa"/>
            <w:vAlign w:val="bottom"/>
            <w:vMerge w:val="restart"/>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Stated Interest</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Effective Interest</w:t>
            </w:r>
          </w:p>
        </w:tc>
        <w:tc>
          <w:tcPr>
            <w:tcW w:w="0" w:type="dxa"/>
            <w:vAlign w:val="bottom"/>
          </w:tcPr>
          <w:p>
            <w:pPr>
              <w:spacing w:after="0"/>
              <w:rPr>
                <w:sz w:val="1"/>
                <w:szCs w:val="1"/>
                <w:color w:val="auto"/>
              </w:rPr>
            </w:pPr>
          </w:p>
        </w:tc>
      </w:tr>
      <w:tr>
        <w:trPr>
          <w:trHeight w:val="140"/>
        </w:trPr>
        <w:tc>
          <w:tcPr>
            <w:tcW w:w="34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Facility</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Rate</w:t>
            </w: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xml:space="preserve">Rate </w:t>
            </w:r>
            <w:r>
              <w:rPr>
                <w:rFonts w:ascii="Times New Roman" w:cs="Times New Roman" w:eastAsia="Times New Roman" w:hAnsi="Times New Roman"/>
                <w:sz w:val="5"/>
                <w:szCs w:val="5"/>
                <w:b w:val="1"/>
                <w:bCs w:val="1"/>
                <w:color w:val="auto"/>
                <w:w w:val="97"/>
              </w:rPr>
              <w:t>(1)</w:t>
            </w:r>
          </w:p>
        </w:tc>
        <w:tc>
          <w:tcPr>
            <w:tcW w:w="0" w:type="dxa"/>
            <w:vAlign w:val="bottom"/>
          </w:tcPr>
          <w:p>
            <w:pPr>
              <w:spacing w:after="0"/>
              <w:rPr>
                <w:sz w:val="1"/>
                <w:szCs w:val="1"/>
                <w:color w:val="auto"/>
              </w:rPr>
            </w:pPr>
          </w:p>
        </w:tc>
      </w:tr>
      <w:tr>
        <w:trPr>
          <w:trHeight w:val="152"/>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Denominated in USD</w:t>
            </w: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Trust Preferred Securities (USA)</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6"/>
              </w:rPr>
              <w:t>April 30, 2027</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27,913</w:t>
            </w:r>
          </w:p>
        </w:tc>
        <w:tc>
          <w:tcPr>
            <w:tcW w:w="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27,913</w:t>
            </w:r>
          </w:p>
        </w:tc>
        <w:tc>
          <w:tcPr>
            <w:tcW w:w="160" w:type="dxa"/>
            <w:vAlign w:val="bottom"/>
          </w:tcPr>
          <w:p>
            <w:pPr>
              <w:spacing w:after="0"/>
              <w:rPr>
                <w:sz w:val="14"/>
                <w:szCs w:val="14"/>
                <w:color w:val="auto"/>
              </w:rPr>
            </w:pP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27,340</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4.89%</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5.20%</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Bank of America Credit Facility (USA)</w:t>
            </w:r>
          </w:p>
        </w:tc>
        <w:tc>
          <w:tcPr>
            <w:tcW w:w="1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6"/>
              </w:rPr>
              <w:t>November 28, 2019</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39,950</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39,759</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3.27%</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3.90%</w:t>
            </w:r>
          </w:p>
        </w:tc>
        <w:tc>
          <w:tcPr>
            <w:tcW w:w="0" w:type="dxa"/>
            <w:vAlign w:val="bottom"/>
          </w:tcPr>
          <w:p>
            <w:pPr>
              <w:spacing w:after="0"/>
              <w:rPr>
                <w:sz w:val="1"/>
                <w:szCs w:val="1"/>
                <w:color w:val="auto"/>
              </w:rPr>
            </w:pPr>
          </w:p>
        </w:tc>
      </w:tr>
      <w:tr>
        <w:trPr>
          <w:trHeight w:val="16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Bank of America Line of Credit (USA)</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7"/>
              </w:rPr>
              <w:t>October 31, 2017</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3.77%</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3.77%</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Cinema 1, 2, 3 Term Loan (USA)</w:t>
            </w:r>
            <w:r>
              <w:rPr>
                <w:rFonts w:ascii="Times New Roman" w:cs="Times New Roman" w:eastAsia="Times New Roman" w:hAnsi="Times New Roman"/>
                <w:sz w:val="5"/>
                <w:szCs w:val="5"/>
                <w:color w:val="auto"/>
              </w:rPr>
              <w:t>(4)</w:t>
            </w:r>
          </w:p>
        </w:tc>
        <w:tc>
          <w:tcPr>
            <w:tcW w:w="14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5"/>
              </w:rPr>
              <w:t>September 1, 2019</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19,901</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19,356</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3.25%</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3.25%</w:t>
            </w:r>
          </w:p>
        </w:tc>
        <w:tc>
          <w:tcPr>
            <w:tcW w:w="0" w:type="dxa"/>
            <w:vAlign w:val="bottom"/>
          </w:tcPr>
          <w:p>
            <w:pPr>
              <w:spacing w:after="0"/>
              <w:rPr>
                <w:sz w:val="1"/>
                <w:szCs w:val="1"/>
                <w:color w:val="auto"/>
              </w:rPr>
            </w:pPr>
          </w:p>
        </w:tc>
      </w:tr>
      <w:tr>
        <w:trPr>
          <w:trHeight w:val="16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Minetta &amp; Orpheum Theatres Loan (USA)</w:t>
            </w:r>
            <w:r>
              <w:rPr>
                <w:rFonts w:ascii="Times New Roman" w:cs="Times New Roman" w:eastAsia="Times New Roman" w:hAnsi="Times New Roman"/>
                <w:sz w:val="5"/>
                <w:szCs w:val="5"/>
                <w:color w:val="auto"/>
              </w:rPr>
              <w:t>(4)</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5"/>
              </w:rPr>
              <w:t>June 1, 2018</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7,398</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3.38%</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3.38%</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U.S. Corporate Office Term Loan (USA)</w:t>
            </w:r>
            <w:r>
              <w:rPr>
                <w:rFonts w:ascii="Times New Roman" w:cs="Times New Roman" w:eastAsia="Times New Roman" w:hAnsi="Times New Roman"/>
                <w:sz w:val="5"/>
                <w:szCs w:val="5"/>
                <w:color w:val="auto"/>
              </w:rPr>
              <w:t>(4)</w:t>
            </w:r>
          </w:p>
        </w:tc>
        <w:tc>
          <w:tcPr>
            <w:tcW w:w="14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6"/>
              </w:rPr>
              <w:t>January 1, 2027</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8,363</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8,239</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4.64%</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4.64%</w:t>
            </w:r>
          </w:p>
        </w:tc>
        <w:tc>
          <w:tcPr>
            <w:tcW w:w="0" w:type="dxa"/>
            <w:vAlign w:val="bottom"/>
          </w:tcPr>
          <w:p>
            <w:pPr>
              <w:spacing w:after="0"/>
              <w:rPr>
                <w:sz w:val="1"/>
                <w:szCs w:val="1"/>
                <w:color w:val="auto"/>
              </w:rPr>
            </w:pPr>
          </w:p>
        </w:tc>
      </w:tr>
      <w:tr>
        <w:trPr>
          <w:trHeight w:val="16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Union Square Construction Financing (USA)</w:t>
            </w:r>
            <w:r>
              <w:rPr>
                <w:rFonts w:ascii="Times New Roman" w:cs="Times New Roman" w:eastAsia="Times New Roman" w:hAnsi="Times New Roman"/>
                <w:sz w:val="5"/>
                <w:szCs w:val="5"/>
                <w:color w:val="auto"/>
              </w:rPr>
              <w:t>(4)</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5"/>
              </w:rPr>
              <w:t>December 29, 2019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4,751</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4.52%</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4.52%</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Denominated in FC </w:t>
            </w:r>
            <w:r>
              <w:rPr>
                <w:rFonts w:ascii="Times New Roman" w:cs="Times New Roman" w:eastAsia="Times New Roman" w:hAnsi="Times New Roman"/>
                <w:sz w:val="5"/>
                <w:szCs w:val="5"/>
                <w:color w:val="auto"/>
              </w:rPr>
              <w:t>(2)</w:t>
            </w: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NAB Corporate Loan Facility (AU)</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June 30, 2019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48,080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28,558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28,421</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2.64%</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2.64%</w:t>
            </w:r>
          </w:p>
        </w:tc>
        <w:tc>
          <w:tcPr>
            <w:tcW w:w="0" w:type="dxa"/>
            <w:vAlign w:val="bottom"/>
          </w:tcPr>
          <w:p>
            <w:pPr>
              <w:spacing w:after="0"/>
              <w:rPr>
                <w:sz w:val="1"/>
                <w:szCs w:val="1"/>
                <w:color w:val="auto"/>
              </w:rPr>
            </w:pPr>
          </w:p>
        </w:tc>
      </w:tr>
      <w:tr>
        <w:trPr>
          <w:trHeight w:val="163"/>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Westpac Bank Corporate Credit Facility (NZ)</w:t>
            </w:r>
          </w:p>
        </w:tc>
        <w:tc>
          <w:tcPr>
            <w:tcW w:w="14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6"/>
              </w:rPr>
              <w:t>March 31, 2018</w:t>
            </w: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36,877</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3.80%</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3.80%</w:t>
            </w:r>
          </w:p>
        </w:tc>
        <w:tc>
          <w:tcPr>
            <w:tcW w:w="0" w:type="dxa"/>
            <w:vAlign w:val="bottom"/>
          </w:tcPr>
          <w:p>
            <w:pPr>
              <w:spacing w:after="0"/>
              <w:rPr>
                <w:sz w:val="1"/>
                <w:szCs w:val="1"/>
                <w:color w:val="auto"/>
              </w:rPr>
            </w:pPr>
          </w:p>
        </w:tc>
      </w:tr>
      <w:tr>
        <w:trPr>
          <w:trHeight w:val="123"/>
        </w:trPr>
        <w:tc>
          <w:tcPr>
            <w:tcW w:w="358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Total</w:t>
            </w: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266,134</w:t>
            </w:r>
          </w:p>
        </w:tc>
        <w:tc>
          <w:tcPr>
            <w:tcW w:w="160" w:type="dxa"/>
            <w:vAlign w:val="bottom"/>
          </w:tcPr>
          <w:p>
            <w:pPr>
              <w:spacing w:after="0"/>
              <w:rPr>
                <w:sz w:val="10"/>
                <w:szCs w:val="10"/>
                <w:color w:val="auto"/>
              </w:rPr>
            </w:pPr>
          </w:p>
        </w:tc>
        <w:tc>
          <w:tcPr>
            <w:tcW w:w="1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148,535</w:t>
            </w:r>
          </w:p>
        </w:tc>
        <w:tc>
          <w:tcPr>
            <w:tcW w:w="160" w:type="dxa"/>
            <w:vAlign w:val="bottom"/>
          </w:tcPr>
          <w:p>
            <w:pPr>
              <w:spacing w:after="0"/>
              <w:rPr>
                <w:sz w:val="10"/>
                <w:szCs w:val="10"/>
                <w:color w:val="auto"/>
              </w:rPr>
            </w:pPr>
          </w:p>
        </w:tc>
        <w:tc>
          <w:tcPr>
            <w:tcW w:w="300" w:type="dxa"/>
            <w:vAlign w:val="bottom"/>
            <w:tcBorders>
              <w:bottom w:val="single" w:sz="8" w:color="auto"/>
            </w:tcBorders>
          </w:tcPr>
          <w:p>
            <w:pPr>
              <w:jc w:val="right"/>
              <w:ind w:right="62"/>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143,614</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00" w:hanging="92"/>
        <w:spacing w:after="0"/>
        <w:tabs>
          <w:tab w:leader="none" w:pos="100" w:val="left"/>
        </w:tabs>
        <w:numPr>
          <w:ilvl w:val="0"/>
          <w:numId w:val="86"/>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Effective interest rate includes the impact of interest rate derivatives hedging the interest rate risk associated with Trust Preferred Securities and Bank of America Credit Facility that were outstanding as of December 31, 2016.</w:t>
      </w:r>
    </w:p>
    <w:p>
      <w:pPr>
        <w:spacing w:after="0" w:line="47" w:lineRule="exact"/>
        <w:rPr>
          <w:rFonts w:ascii="Times New Roman" w:cs="Times New Roman" w:eastAsia="Times New Roman" w:hAnsi="Times New Roman"/>
          <w:sz w:val="10"/>
          <w:szCs w:val="10"/>
          <w:color w:val="auto"/>
          <w:vertAlign w:val="superscript"/>
        </w:rPr>
      </w:pPr>
    </w:p>
    <w:p>
      <w:pPr>
        <w:ind w:left="100" w:hanging="92"/>
        <w:spacing w:after="0"/>
        <w:tabs>
          <w:tab w:leader="none" w:pos="100" w:val="left"/>
        </w:tabs>
        <w:numPr>
          <w:ilvl w:val="0"/>
          <w:numId w:val="86"/>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The contractual facilities and outstanding balances of the FC-denominated borrowings were translated into U.S. dollar based on exchange rates as of December 31, 2016.</w:t>
      </w:r>
    </w:p>
    <w:p>
      <w:pPr>
        <w:spacing w:after="0" w:line="47" w:lineRule="exact"/>
        <w:rPr>
          <w:rFonts w:ascii="Times New Roman" w:cs="Times New Roman" w:eastAsia="Times New Roman" w:hAnsi="Times New Roman"/>
          <w:sz w:val="10"/>
          <w:szCs w:val="10"/>
          <w:color w:val="auto"/>
          <w:vertAlign w:val="superscript"/>
        </w:rPr>
      </w:pPr>
    </w:p>
    <w:p>
      <w:pPr>
        <w:ind w:left="100" w:hanging="92"/>
        <w:spacing w:after="0"/>
        <w:tabs>
          <w:tab w:leader="none" w:pos="100" w:val="left"/>
        </w:tabs>
        <w:numPr>
          <w:ilvl w:val="0"/>
          <w:numId w:val="86"/>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Net of deferred financing costs amounting to $4.9 million.</w:t>
      </w:r>
    </w:p>
    <w:p>
      <w:pPr>
        <w:spacing w:after="0" w:line="47" w:lineRule="exact"/>
        <w:rPr>
          <w:rFonts w:ascii="Times New Roman" w:cs="Times New Roman" w:eastAsia="Times New Roman" w:hAnsi="Times New Roman"/>
          <w:sz w:val="10"/>
          <w:szCs w:val="10"/>
          <w:color w:val="auto"/>
          <w:vertAlign w:val="superscript"/>
        </w:rPr>
      </w:pPr>
    </w:p>
    <w:p>
      <w:pPr>
        <w:ind w:left="140" w:right="100" w:hanging="132"/>
        <w:spacing w:after="0" w:line="323" w:lineRule="auto"/>
        <w:tabs>
          <w:tab w:leader="none" w:pos="102" w:val="left"/>
        </w:tabs>
        <w:numPr>
          <w:ilvl w:val="0"/>
          <w:numId w:val="8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loan for our Minetta &amp; Orpheum Theatres was obtained from Santander Bank. The term loan for our Cinema 1,2,3 Theatre was refinanced during the third quarter of 2016 with Valley National Bank. The term loan, which is collateralized by our new U.S Corporate Headquarters office building, was obtained with Citizens Asset Finance, Inc. In December 2016, we successfully negotiated the construction financing for our Union Square redevelopment project, $8.0 million of which was advanced from the total construction loan limit of $57.5 million.</w:t>
      </w:r>
    </w:p>
    <w:p>
      <w:pPr>
        <w:spacing w:after="0" w:line="3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260"/>
          </w:cols>
          <w:pgMar w:left="1000" w:top="298"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auto"/>
        </w:rPr>
        <w:t>Our loan arrangements are presented, net of the deferred financing costs, on the face of our consolidated balance sheet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2"/>
                <w:szCs w:val="12"/>
                <w:i w:val="1"/>
                <w:iCs w:val="1"/>
                <w:color w:val="auto"/>
                <w:w w:val="99"/>
              </w:rPr>
              <w:t>Dollars in thousands</w:t>
            </w:r>
          </w:p>
        </w:tc>
        <w:tc>
          <w:tcPr>
            <w:tcW w:w="5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r>
      <w:tr>
        <w:trPr>
          <w:trHeight w:val="144"/>
        </w:trPr>
        <w:tc>
          <w:tcPr>
            <w:tcW w:w="4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Sheet Caption</w:t>
            </w:r>
          </w:p>
        </w:tc>
        <w:tc>
          <w:tcPr>
            <w:tcW w:w="680" w:type="dxa"/>
            <w:vAlign w:val="bottom"/>
          </w:tcPr>
          <w:p>
            <w:pPr>
              <w:spacing w:after="0"/>
              <w:rPr>
                <w:sz w:val="12"/>
                <w:szCs w:val="12"/>
                <w:color w:val="auto"/>
              </w:rPr>
            </w:pPr>
          </w:p>
        </w:tc>
        <w:tc>
          <w:tcPr>
            <w:tcW w:w="270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December 31, 2017</w:t>
            </w:r>
          </w:p>
        </w:tc>
        <w:tc>
          <w:tcPr>
            <w:tcW w:w="520" w:type="dxa"/>
            <w:vAlign w:val="bottom"/>
          </w:tcPr>
          <w:p>
            <w:pPr>
              <w:spacing w:after="0"/>
              <w:rPr>
                <w:sz w:val="12"/>
                <w:szCs w:val="12"/>
                <w:color w:val="auto"/>
              </w:rPr>
            </w:pPr>
          </w:p>
        </w:tc>
        <w:tc>
          <w:tcPr>
            <w:tcW w:w="1800" w:type="dxa"/>
            <w:vAlign w:val="bottom"/>
          </w:tcPr>
          <w:p>
            <w:pPr>
              <w:jc w:val="right"/>
              <w:ind w:right="642"/>
              <w:spacing w:after="0"/>
              <w:rPr>
                <w:sz w:val="20"/>
                <w:szCs w:val="20"/>
                <w:color w:val="auto"/>
              </w:rPr>
            </w:pPr>
            <w:r>
              <w:rPr>
                <w:rFonts w:ascii="Times New Roman" w:cs="Times New Roman" w:eastAsia="Times New Roman" w:hAnsi="Times New Roman"/>
                <w:sz w:val="12"/>
                <w:szCs w:val="12"/>
                <w:b w:val="1"/>
                <w:bCs w:val="1"/>
                <w:color w:val="auto"/>
              </w:rPr>
              <w:t>December 31, 2016</w:t>
            </w:r>
          </w:p>
        </w:tc>
      </w:tr>
      <w:tr>
        <w:trPr>
          <w:trHeight w:val="141"/>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 current portion</w:t>
            </w:r>
          </w:p>
        </w:tc>
        <w:tc>
          <w:tcPr>
            <w:tcW w:w="68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2"/>
                <w:szCs w:val="12"/>
                <w:color w:val="auto"/>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8,109</w:t>
            </w:r>
          </w:p>
        </w:tc>
        <w:tc>
          <w:tcPr>
            <w:tcW w:w="3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w:t>
            </w:r>
          </w:p>
        </w:tc>
      </w:tr>
      <w:tr>
        <w:trPr>
          <w:trHeight w:val="152"/>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Debt - long-term portion</w:t>
            </w:r>
          </w:p>
        </w:tc>
        <w:tc>
          <w:tcPr>
            <w:tcW w:w="680" w:type="dxa"/>
            <w:vAlign w:val="bottom"/>
          </w:tcPr>
          <w:p>
            <w:pPr>
              <w:spacing w:after="0"/>
              <w:rPr>
                <w:sz w:val="13"/>
                <w:szCs w:val="1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94,862</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115,707</w:t>
            </w:r>
          </w:p>
        </w:tc>
      </w:tr>
      <w:tr>
        <w:trPr>
          <w:trHeight w:val="15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Subordinated debt</w:t>
            </w:r>
          </w:p>
        </w:tc>
        <w:tc>
          <w:tcPr>
            <w:tcW w:w="680" w:type="dxa"/>
            <w:vAlign w:val="bottom"/>
            <w:tcBorders>
              <w:bottom w:val="single" w:sz="8" w:color="auto"/>
            </w:tcBorders>
            <w:shd w:val="clear" w:color="auto" w:fill="CCEEFF"/>
          </w:tcPr>
          <w:p>
            <w:pPr>
              <w:spacing w:after="0"/>
              <w:rPr>
                <w:sz w:val="13"/>
                <w:szCs w:val="13"/>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27,554</w:t>
            </w:r>
          </w:p>
        </w:tc>
        <w:tc>
          <w:tcPr>
            <w:tcW w:w="3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27,340</w:t>
            </w:r>
          </w:p>
        </w:tc>
      </w:tr>
      <w:tr>
        <w:trPr>
          <w:trHeight w:val="166"/>
        </w:trPr>
        <w:tc>
          <w:tcPr>
            <w:tcW w:w="4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borrowings</w:t>
            </w:r>
          </w:p>
        </w:tc>
        <w:tc>
          <w:tcPr>
            <w:tcW w:w="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130,525</w:t>
            </w:r>
          </w:p>
        </w:tc>
        <w:tc>
          <w:tcPr>
            <w:tcW w:w="380" w:type="dxa"/>
            <w:vAlign w:val="bottom"/>
          </w:tcPr>
          <w:p>
            <w:pPr>
              <w:spacing w:after="0"/>
              <w:rPr>
                <w:sz w:val="14"/>
                <w:szCs w:val="14"/>
                <w:color w:val="auto"/>
              </w:rPr>
            </w:pPr>
          </w:p>
        </w:tc>
        <w:tc>
          <w:tcPr>
            <w:tcW w:w="5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143,614</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Debt denominated in USD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Trust Preferred Securities (“TPS”)</w:t>
      </w:r>
    </w:p>
    <w:p>
      <w:pPr>
        <w:spacing w:after="0" w:line="3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On February 5, 2007, we issued $51.5 million in 20-year fully subordinated notes to a trust over which we have significant influence,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sheets. Effective May 1, 2012, the interest rate on our Trust Preferred Securities changed from a fixed rate of 9.22%, which was in effect for five years, to a variable rate of three month LIBOR plus 4.00%, which will reset each quarter through the end of the loan unless we exercise our right to re-fix the rate at the current market rate at that time.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 The covenant wavier expired January 1, 2018 so covenant compliance will begin starting with Q1 2018.</w:t>
      </w:r>
    </w:p>
    <w:p>
      <w:pPr>
        <w:spacing w:after="0" w:line="11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 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283"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4"/>
          <w:szCs w:val="14"/>
          <w:color w:val="auto"/>
        </w:rPr>
        <w:t>During the three years ended December 31, 2017, we paid $1.4 million in each year in preferred dividends to unrelated investors that are included in interest expense. At December 31, 2017 and 2016, we had preferred dividends payable of $250,000 and $184,000, respectively. Interest payments for this loan are required every three months.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 of America Credit Facility</w:t>
      </w:r>
    </w:p>
    <w:p>
      <w:pPr>
        <w:spacing w:after="0" w:line="3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March 3, 2016, we amended our $55.0 million credit facility with Bank of America to permit real property acquisition loans. This amendment was subject to the provision that the consolidated leverage ratio would be reduced by 0.25% from the established levels in the credit facility during the period of such borrowing subject further to a repayment of such borrowings on the earlier of the eighteen months from the date of such borrowing or the maturity date of the credit agreement. Such modification was not considered substantial under US GAAP.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 of America Line of Credit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October 2016, the term of this line of credit was extended for another two (2) years until October 31, 2019. Such modification was not considered to be substantial under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GAAP.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Cinemas 1,2,3 Term Loan and Line of Credit</w:t>
      </w:r>
    </w:p>
    <w:p>
      <w:pPr>
        <w:spacing w:after="0" w:line="3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On August 31, 2016, Sutton Hill Properties LLC (“SHP”), a 75% subsidiary of RDI, refinanced its $15 million Santander Bank term loan with a new lender, Valley National Bank. This new $20 million loan is collateralized by our Cinema 1,2,3 property and bears an interest rate of 3.25% per annum, with principal installments and accruing interest paid monthly. The new loan matures on September 1, 2019, with a one-time option to extend maturity date for another year.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i w:val="1"/>
          <w:iCs w:val="1"/>
          <w:color w:val="auto"/>
        </w:rPr>
        <w:t>Minetta and Orpheum Theatres Term Loan</w:t>
      </w:r>
    </w:p>
    <w:p>
      <w:pPr>
        <w:spacing w:after="0" w:line="3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4"/>
          <w:szCs w:val="14"/>
          <w:color w:val="auto"/>
        </w:rPr>
        <w:t>In May 2013, we refinanced our Liberty Theaters loan with a $7.5 million loan, secured by our Minetta and Orpheum theatres, thus releasing the Royal George Theatre from the security and leaving it unencumbered. This new loan has a maturity date of June 1, 2018, and an interest rate of 2.75% above LIBOR. We are currently working on a long term renewal with the current lender Santander.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Union Square Construction Financing</w:t>
      </w:r>
    </w:p>
    <w:p>
      <w:pPr>
        <w:spacing w:after="0" w:line="3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On December 29, 2016, we closed our new construction finance facilities totaling $57.5 million to fund the non-equity portion of the anticipated construction costs of the redevelopment of our property at 44 Union Square in New York City. The combined facilities consist of $50 million in aggregate loans (comprised of three loan tranches) from Bank of the Ozarks (“BOTO”), and a $7.5 million mezzanine loan from Tammany Mezz Investor, LLC, an affiliate of Fisher Brothers. As of December 31, 2016, Bank of the Ozarks advanced $8.0 million to repay the existing $8.0 million loan with East West Bank.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Presented in the table below is the breakdown of the Union Square construction financing as of December 31, 2017:</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0"/>
                <w:szCs w:val="10"/>
                <w:b w:val="1"/>
                <w:bCs w:val="1"/>
                <w:color w:val="auto"/>
              </w:rPr>
              <w:t>Facility Limits and Advances</w:t>
            </w: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64"/>
        </w:trPr>
        <w:tc>
          <w:tcPr>
            <w:tcW w:w="1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Financing Component</w:t>
            </w:r>
          </w:p>
        </w:tc>
        <w:tc>
          <w:tcPr>
            <w:tcW w:w="1900" w:type="dxa"/>
            <w:vAlign w:val="bottom"/>
            <w:gridSpan w:val="2"/>
          </w:tcPr>
          <w:p>
            <w:pPr>
              <w:jc w:val="center"/>
              <w:ind w:left="129"/>
              <w:spacing w:after="0"/>
              <w:rPr>
                <w:sz w:val="20"/>
                <w:szCs w:val="20"/>
                <w:color w:val="auto"/>
              </w:rPr>
            </w:pPr>
            <w:r>
              <w:rPr>
                <w:rFonts w:ascii="Times New Roman" w:cs="Times New Roman" w:eastAsia="Times New Roman" w:hAnsi="Times New Roman"/>
                <w:sz w:val="10"/>
                <w:szCs w:val="10"/>
                <w:b w:val="1"/>
                <w:bCs w:val="1"/>
                <w:color w:val="auto"/>
              </w:rPr>
              <w:t>Lender</w:t>
            </w:r>
          </w:p>
        </w:tc>
        <w:tc>
          <w:tcPr>
            <w:tcW w:w="2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Facility Limit</w:t>
            </w:r>
          </w:p>
        </w:tc>
        <w:tc>
          <w:tcPr>
            <w:tcW w:w="9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Advanced-to- Date</w:t>
            </w:r>
          </w:p>
        </w:tc>
        <w:tc>
          <w:tcPr>
            <w:tcW w:w="920" w:type="dxa"/>
            <w:vAlign w:val="bottom"/>
            <w:gridSpan w:val="2"/>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Remaining Facility</w:t>
            </w:r>
          </w:p>
        </w:tc>
        <w:tc>
          <w:tcPr>
            <w:tcW w:w="160" w:type="dxa"/>
            <w:vAlign w:val="bottom"/>
          </w:tcPr>
          <w:p>
            <w:pPr>
              <w:spacing w:after="0"/>
              <w:rPr>
                <w:sz w:val="14"/>
                <w:szCs w:val="14"/>
                <w:color w:val="auto"/>
              </w:rPr>
            </w:pPr>
          </w:p>
        </w:tc>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Interest Rate</w:t>
            </w:r>
            <w:r>
              <w:rPr>
                <w:rFonts w:ascii="Times New Roman" w:cs="Times New Roman" w:eastAsia="Times New Roman" w:hAnsi="Times New Roman"/>
                <w:sz w:val="11"/>
                <w:szCs w:val="11"/>
                <w:b w:val="1"/>
                <w:bCs w:val="1"/>
                <w:color w:val="auto"/>
                <w:w w:val="96"/>
                <w:vertAlign w:val="superscript"/>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 Date</w:t>
            </w:r>
            <w:r>
              <w:rPr>
                <w:rFonts w:ascii="Times New Roman" w:cs="Times New Roman" w:eastAsia="Times New Roman" w:hAnsi="Times New Roman"/>
                <w:sz w:val="11"/>
                <w:szCs w:val="11"/>
                <w:b w:val="1"/>
                <w:bCs w:val="1"/>
                <w:color w:val="auto"/>
                <w:w w:val="97"/>
                <w:vertAlign w:val="superscript"/>
              </w:rPr>
              <w:t>(2)</w:t>
            </w:r>
          </w:p>
        </w:tc>
      </w:tr>
      <w:tr>
        <w:trPr>
          <w:trHeight w:val="95"/>
        </w:trPr>
        <w:tc>
          <w:tcPr>
            <w:tcW w:w="1720" w:type="dxa"/>
            <w:vAlign w:val="bottom"/>
            <w:tcBorders>
              <w:top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Mezzanine loan</w:t>
            </w:r>
          </w:p>
        </w:tc>
        <w:tc>
          <w:tcPr>
            <w:tcW w:w="1720" w:type="dxa"/>
            <w:vAlign w:val="bottom"/>
            <w:tcBorders>
              <w:top w:val="single" w:sz="8" w:color="auto"/>
            </w:tcBorders>
            <w:shd w:val="clear" w:color="auto" w:fill="CCEEFF"/>
          </w:tcPr>
          <w:p>
            <w:pPr>
              <w:jc w:val="center"/>
              <w:ind w:left="309"/>
              <w:spacing w:after="0" w:line="95" w:lineRule="exact"/>
              <w:rPr>
                <w:sz w:val="20"/>
                <w:szCs w:val="20"/>
                <w:color w:val="auto"/>
              </w:rPr>
            </w:pPr>
            <w:r>
              <w:rPr>
                <w:rFonts w:ascii="Times New Roman" w:cs="Times New Roman" w:eastAsia="Times New Roman" w:hAnsi="Times New Roman"/>
                <w:sz w:val="10"/>
                <w:szCs w:val="10"/>
                <w:color w:val="auto"/>
              </w:rPr>
              <w:t>Tammany Mezz Investor LLC</w:t>
            </w:r>
          </w:p>
        </w:tc>
        <w:tc>
          <w:tcPr>
            <w:tcW w:w="1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7,500</w:t>
            </w:r>
          </w:p>
        </w:tc>
        <w:tc>
          <w:tcPr>
            <w:tcW w:w="16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ind w:right="169"/>
              <w:spacing w:after="0" w:line="95"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w w:val="74"/>
              </w:rPr>
              <w:t>--</w:t>
            </w:r>
          </w:p>
        </w:tc>
        <w:tc>
          <w:tcPr>
            <w:tcW w:w="1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ind w:right="169"/>
              <w:spacing w:after="0" w:line="9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7,500</w:t>
            </w:r>
          </w:p>
        </w:tc>
        <w:tc>
          <w:tcPr>
            <w:tcW w:w="16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auto"/>
            </w:tcBorders>
            <w:shd w:val="clear" w:color="auto" w:fill="CCEEFF"/>
          </w:tcPr>
          <w:p>
            <w:pPr>
              <w:jc w:val="center"/>
              <w:spacing w:after="0" w:line="95" w:lineRule="exact"/>
              <w:rPr>
                <w:sz w:val="20"/>
                <w:szCs w:val="20"/>
                <w:color w:val="auto"/>
              </w:rPr>
            </w:pPr>
            <w:r>
              <w:rPr>
                <w:rFonts w:ascii="Times New Roman" w:cs="Times New Roman" w:eastAsia="Times New Roman" w:hAnsi="Times New Roman"/>
                <w:sz w:val="10"/>
                <w:szCs w:val="10"/>
                <w:color w:val="auto"/>
              </w:rPr>
              <w:t>Greater of (i) 10.50% and (ii) Adjusted LIBOR</w:t>
            </w:r>
          </w:p>
        </w:tc>
        <w:tc>
          <w:tcPr>
            <w:tcW w:w="16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jc w:val="center"/>
              <w:spacing w:after="0" w:line="95" w:lineRule="exact"/>
              <w:rPr>
                <w:sz w:val="20"/>
                <w:szCs w:val="20"/>
                <w:color w:val="auto"/>
              </w:rPr>
            </w:pPr>
            <w:r>
              <w:rPr>
                <w:rFonts w:ascii="Times New Roman" w:cs="Times New Roman" w:eastAsia="Times New Roman" w:hAnsi="Times New Roman"/>
                <w:sz w:val="10"/>
                <w:szCs w:val="10"/>
                <w:color w:val="auto"/>
              </w:rPr>
              <w:t>December 29, 2019</w:t>
            </w:r>
          </w:p>
        </w:tc>
      </w:tr>
      <w:tr>
        <w:trPr>
          <w:trHeight w:val="122"/>
        </w:trPr>
        <w:tc>
          <w:tcPr>
            <w:tcW w:w="17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0"/>
                <w:szCs w:val="10"/>
                <w:color w:val="auto"/>
                <w:w w:val="98"/>
              </w:rPr>
              <w:t>+ 10%</w:t>
            </w: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95"/>
        </w:trPr>
        <w:tc>
          <w:tcPr>
            <w:tcW w:w="172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Senior loan</w:t>
            </w:r>
          </w:p>
        </w:tc>
        <w:tc>
          <w:tcPr>
            <w:tcW w:w="1900" w:type="dxa"/>
            <w:vAlign w:val="bottom"/>
            <w:gridSpan w:val="2"/>
          </w:tcPr>
          <w:p>
            <w:pPr>
              <w:jc w:val="center"/>
              <w:ind w:left="109"/>
              <w:spacing w:after="0" w:line="95" w:lineRule="exact"/>
              <w:rPr>
                <w:sz w:val="20"/>
                <w:szCs w:val="20"/>
                <w:color w:val="auto"/>
              </w:rPr>
            </w:pPr>
            <w:r>
              <w:rPr>
                <w:rFonts w:ascii="Times New Roman" w:cs="Times New Roman" w:eastAsia="Times New Roman" w:hAnsi="Times New Roman"/>
                <w:sz w:val="10"/>
                <w:szCs w:val="10"/>
                <w:color w:val="auto"/>
              </w:rPr>
              <w:t>Bank of the Ozarks</w:t>
            </w:r>
          </w:p>
        </w:tc>
        <w:tc>
          <w:tcPr>
            <w:tcW w:w="20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8,000</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8,000</w:t>
            </w: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0" w:type="dxa"/>
            <w:vAlign w:val="bottom"/>
            <w:gridSpan w:val="4"/>
          </w:tcPr>
          <w:p>
            <w:pPr>
              <w:ind w:left="460"/>
              <w:spacing w:after="0" w:line="95" w:lineRule="exact"/>
              <w:rPr>
                <w:sz w:val="20"/>
                <w:szCs w:val="20"/>
                <w:color w:val="auto"/>
              </w:rPr>
            </w:pPr>
            <w:r>
              <w:rPr>
                <w:rFonts w:ascii="Times New Roman" w:cs="Times New Roman" w:eastAsia="Times New Roman" w:hAnsi="Times New Roman"/>
                <w:sz w:val="10"/>
                <w:szCs w:val="10"/>
                <w:color w:val="auto"/>
              </w:rPr>
              <w:t>--    Greater of (i) 4.75% and (ii) Adjusted LIBOR +</w:t>
            </w:r>
          </w:p>
        </w:tc>
        <w:tc>
          <w:tcPr>
            <w:tcW w:w="116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December 29, 2019</w:t>
            </w:r>
          </w:p>
        </w:tc>
      </w:tr>
      <w:tr>
        <w:trPr>
          <w:trHeight w:val="122"/>
        </w:trPr>
        <w:tc>
          <w:tcPr>
            <w:tcW w:w="1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00" w:type="dxa"/>
            <w:vAlign w:val="bottom"/>
            <w:gridSpan w:val="2"/>
          </w:tcPr>
          <w:p>
            <w:pPr>
              <w:jc w:val="center"/>
              <w:ind w:left="109"/>
              <w:spacing w:after="0"/>
              <w:rPr>
                <w:sz w:val="20"/>
                <w:szCs w:val="20"/>
                <w:color w:val="auto"/>
              </w:rPr>
            </w:pPr>
            <w:r>
              <w:rPr>
                <w:rFonts w:ascii="Times New Roman" w:cs="Times New Roman" w:eastAsia="Times New Roman" w:hAnsi="Times New Roman"/>
                <w:sz w:val="10"/>
                <w:szCs w:val="10"/>
                <w:color w:val="auto"/>
              </w:rPr>
              <w:t>4.25%</w:t>
            </w: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95"/>
        </w:trPr>
        <w:tc>
          <w:tcPr>
            <w:tcW w:w="172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Building loan</w:t>
            </w:r>
          </w:p>
        </w:tc>
        <w:tc>
          <w:tcPr>
            <w:tcW w:w="1900" w:type="dxa"/>
            <w:vAlign w:val="bottom"/>
            <w:gridSpan w:val="2"/>
            <w:shd w:val="clear" w:color="auto" w:fill="CCEEFF"/>
          </w:tcPr>
          <w:p>
            <w:pPr>
              <w:jc w:val="center"/>
              <w:ind w:left="109"/>
              <w:spacing w:after="0" w:line="95" w:lineRule="exact"/>
              <w:rPr>
                <w:sz w:val="20"/>
                <w:szCs w:val="20"/>
                <w:color w:val="auto"/>
              </w:rPr>
            </w:pPr>
            <w:r>
              <w:rPr>
                <w:rFonts w:ascii="Times New Roman" w:cs="Times New Roman" w:eastAsia="Times New Roman" w:hAnsi="Times New Roman"/>
                <w:sz w:val="10"/>
                <w:szCs w:val="10"/>
                <w:color w:val="auto"/>
              </w:rPr>
              <w:t>Bank of the Ozarks</w:t>
            </w: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31,130</w:t>
            </w: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20" w:type="dxa"/>
            <w:vAlign w:val="bottom"/>
            <w:gridSpan w:val="2"/>
            <w:shd w:val="clear" w:color="auto" w:fill="CCEEFF"/>
          </w:tcPr>
          <w:p>
            <w:pPr>
              <w:ind w:left="380"/>
              <w:spacing w:after="0" w:line="95"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31,130</w:t>
            </w:r>
          </w:p>
        </w:tc>
        <w:tc>
          <w:tcPr>
            <w:tcW w:w="16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160"/>
              <w:spacing w:after="0" w:line="95" w:lineRule="exact"/>
              <w:rPr>
                <w:sz w:val="20"/>
                <w:szCs w:val="20"/>
                <w:color w:val="auto"/>
              </w:rPr>
            </w:pPr>
            <w:r>
              <w:rPr>
                <w:rFonts w:ascii="Times New Roman" w:cs="Times New Roman" w:eastAsia="Times New Roman" w:hAnsi="Times New Roman"/>
                <w:sz w:val="10"/>
                <w:szCs w:val="10"/>
                <w:color w:val="auto"/>
              </w:rPr>
              <w:t>Greater of (i) 4.75% and (ii) Adjusted LIBOR +</w:t>
            </w:r>
          </w:p>
        </w:tc>
        <w:tc>
          <w:tcPr>
            <w:tcW w:w="116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10"/>
                <w:szCs w:val="10"/>
                <w:color w:val="auto"/>
              </w:rPr>
              <w:t>December 29, 2019</w:t>
            </w:r>
          </w:p>
        </w:tc>
      </w:tr>
      <w:tr>
        <w:trPr>
          <w:trHeight w:val="122"/>
        </w:trPr>
        <w:tc>
          <w:tcPr>
            <w:tcW w:w="17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left="109"/>
              <w:spacing w:after="0"/>
              <w:rPr>
                <w:sz w:val="20"/>
                <w:szCs w:val="20"/>
                <w:color w:val="auto"/>
              </w:rPr>
            </w:pPr>
            <w:r>
              <w:rPr>
                <w:rFonts w:ascii="Times New Roman" w:cs="Times New Roman" w:eastAsia="Times New Roman" w:hAnsi="Times New Roman"/>
                <w:sz w:val="10"/>
                <w:szCs w:val="10"/>
                <w:color w:val="auto"/>
              </w:rPr>
              <w:t>4.25%</w:t>
            </w: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95"/>
        </w:trPr>
        <w:tc>
          <w:tcPr>
            <w:tcW w:w="172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Project loan</w:t>
            </w:r>
          </w:p>
        </w:tc>
        <w:tc>
          <w:tcPr>
            <w:tcW w:w="1900" w:type="dxa"/>
            <w:vAlign w:val="bottom"/>
            <w:gridSpan w:val="2"/>
          </w:tcPr>
          <w:p>
            <w:pPr>
              <w:jc w:val="center"/>
              <w:ind w:left="109"/>
              <w:spacing w:after="0" w:line="95" w:lineRule="exact"/>
              <w:rPr>
                <w:sz w:val="20"/>
                <w:szCs w:val="20"/>
                <w:color w:val="auto"/>
              </w:rPr>
            </w:pPr>
            <w:r>
              <w:rPr>
                <w:rFonts w:ascii="Times New Roman" w:cs="Times New Roman" w:eastAsia="Times New Roman" w:hAnsi="Times New Roman"/>
                <w:sz w:val="10"/>
                <w:szCs w:val="10"/>
                <w:color w:val="auto"/>
              </w:rPr>
              <w:t>Bank of the Ozarks</w:t>
            </w:r>
          </w:p>
        </w:tc>
        <w:tc>
          <w:tcPr>
            <w:tcW w:w="20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10,870</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gridSpan w:val="2"/>
          </w:tcPr>
          <w:p>
            <w:pPr>
              <w:ind w:left="380"/>
              <w:spacing w:after="0" w:line="95"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10,870</w:t>
            </w:r>
          </w:p>
        </w:tc>
        <w:tc>
          <w:tcPr>
            <w:tcW w:w="160" w:type="dxa"/>
            <w:vAlign w:val="bottom"/>
          </w:tcPr>
          <w:p>
            <w:pPr>
              <w:spacing w:after="0"/>
              <w:rPr>
                <w:sz w:val="8"/>
                <w:szCs w:val="8"/>
                <w:color w:val="auto"/>
              </w:rPr>
            </w:pPr>
          </w:p>
        </w:tc>
        <w:tc>
          <w:tcPr>
            <w:tcW w:w="210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color w:val="auto"/>
              </w:rPr>
              <w:t>Greater of (i) 4.75% and (ii) Adjusted LIBOR +</w:t>
            </w:r>
          </w:p>
        </w:tc>
        <w:tc>
          <w:tcPr>
            <w:tcW w:w="116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December 29, 2019</w:t>
            </w:r>
          </w:p>
        </w:tc>
      </w:tr>
      <w:tr>
        <w:trPr>
          <w:trHeight w:val="122"/>
        </w:trPr>
        <w:tc>
          <w:tcPr>
            <w:tcW w:w="1720" w:type="dxa"/>
            <w:vAlign w:val="bottom"/>
            <w:tcBorders>
              <w:bottom w:val="single" w:sz="8" w:color="CCEEFF"/>
            </w:tcBorders>
          </w:tcPr>
          <w:p>
            <w:pPr>
              <w:spacing w:after="0"/>
              <w:rPr>
                <w:sz w:val="10"/>
                <w:szCs w:val="10"/>
                <w:color w:val="auto"/>
              </w:rPr>
            </w:pPr>
          </w:p>
        </w:tc>
        <w:tc>
          <w:tcPr>
            <w:tcW w:w="17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100" w:type="dxa"/>
            <w:vAlign w:val="bottom"/>
            <w:tcBorders>
              <w:bottom w:val="single" w:sz="8" w:color="CCEEFF"/>
            </w:tcBorders>
            <w:gridSpan w:val="2"/>
          </w:tcPr>
          <w:p>
            <w:pPr>
              <w:jc w:val="center"/>
              <w:ind w:left="109"/>
              <w:spacing w:after="0"/>
              <w:rPr>
                <w:sz w:val="20"/>
                <w:szCs w:val="20"/>
                <w:color w:val="auto"/>
              </w:rPr>
            </w:pPr>
            <w:r>
              <w:rPr>
                <w:rFonts w:ascii="Times New Roman" w:cs="Times New Roman" w:eastAsia="Times New Roman" w:hAnsi="Times New Roman"/>
                <w:sz w:val="10"/>
                <w:szCs w:val="10"/>
                <w:color w:val="auto"/>
              </w:rPr>
              <w:t>4.25%</w:t>
            </w:r>
          </w:p>
        </w:tc>
        <w:tc>
          <w:tcPr>
            <w:tcW w:w="160" w:type="dxa"/>
            <w:vAlign w:val="bottom"/>
            <w:tcBorders>
              <w:bottom w:val="single" w:sz="8" w:color="CCEEFF"/>
            </w:tcBorders>
          </w:tcPr>
          <w:p>
            <w:pPr>
              <w:spacing w:after="0"/>
              <w:rPr>
                <w:sz w:val="10"/>
                <w:szCs w:val="10"/>
                <w:color w:val="auto"/>
              </w:rPr>
            </w:pPr>
          </w:p>
        </w:tc>
        <w:tc>
          <w:tcPr>
            <w:tcW w:w="1160" w:type="dxa"/>
            <w:vAlign w:val="bottom"/>
            <w:tcBorders>
              <w:bottom w:val="single" w:sz="8" w:color="CCEEFF"/>
            </w:tcBorders>
          </w:tcPr>
          <w:p>
            <w:pPr>
              <w:spacing w:after="0"/>
              <w:rPr>
                <w:sz w:val="10"/>
                <w:szCs w:val="10"/>
                <w:color w:val="auto"/>
              </w:rPr>
            </w:pPr>
          </w:p>
        </w:tc>
      </w:tr>
      <w:tr>
        <w:trPr>
          <w:trHeight w:val="144"/>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Union Square Financing</w:t>
            </w:r>
          </w:p>
        </w:tc>
        <w:tc>
          <w:tcPr>
            <w:tcW w:w="17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57,500</w:t>
            </w:r>
          </w:p>
        </w:tc>
        <w:tc>
          <w:tcPr>
            <w:tcW w:w="1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8,000</w:t>
            </w:r>
          </w:p>
        </w:tc>
        <w:tc>
          <w:tcPr>
            <w:tcW w:w="1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49,500</w:t>
            </w:r>
          </w:p>
        </w:tc>
        <w:tc>
          <w:tcPr>
            <w:tcW w:w="160" w:type="dxa"/>
            <w:vAlign w:val="bottom"/>
            <w:tcBorders>
              <w:bottom w:val="single" w:sz="8" w:color="CCEEFF"/>
            </w:tcBorders>
            <w:shd w:val="clear" w:color="auto" w:fill="CCEEFF"/>
          </w:tcPr>
          <w:p>
            <w:pPr>
              <w:spacing w:after="0"/>
              <w:rPr>
                <w:sz w:val="12"/>
                <w:szCs w:val="12"/>
                <w:color w:val="auto"/>
              </w:rPr>
            </w:pPr>
          </w:p>
        </w:tc>
        <w:tc>
          <w:tcPr>
            <w:tcW w:w="19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r>
    </w:tbl>
    <w:p>
      <w:pPr>
        <w:spacing w:after="0" w:line="169" w:lineRule="exact"/>
        <w:rPr>
          <w:sz w:val="20"/>
          <w:szCs w:val="20"/>
          <w:color w:val="auto"/>
        </w:rPr>
      </w:pPr>
    </w:p>
    <w:p>
      <w:pPr>
        <w:ind w:left="100" w:hanging="92"/>
        <w:spacing w:after="0"/>
        <w:tabs>
          <w:tab w:leader="none" w:pos="100" w:val="left"/>
        </w:tabs>
        <w:numPr>
          <w:ilvl w:val="0"/>
          <w:numId w:val="87"/>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Not to exceed the New York State maximum lawful borrowing rate, which typically is 16%.</w:t>
      </w:r>
    </w:p>
    <w:p>
      <w:pPr>
        <w:spacing w:after="0" w:line="26" w:lineRule="exact"/>
        <w:rPr>
          <w:rFonts w:ascii="Times New Roman" w:cs="Times New Roman" w:eastAsia="Times New Roman" w:hAnsi="Times New Roman"/>
          <w:sz w:val="10"/>
          <w:szCs w:val="10"/>
          <w:i w:val="1"/>
          <w:iCs w:val="1"/>
          <w:color w:val="auto"/>
          <w:vertAlign w:val="superscript"/>
        </w:rPr>
      </w:pPr>
    </w:p>
    <w:p>
      <w:pPr>
        <w:ind w:left="100" w:hanging="92"/>
        <w:spacing w:after="0"/>
        <w:tabs>
          <w:tab w:leader="none" w:pos="100" w:val="left"/>
        </w:tabs>
        <w:numPr>
          <w:ilvl w:val="0"/>
          <w:numId w:val="87"/>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Allowable for up to two (2) extension request options, one (1) year for each extension request.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Corporate Office Term Loan</w:t>
      </w:r>
    </w:p>
    <w:p>
      <w:pPr>
        <w:spacing w:after="0" w:line="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On December 13, 2016, we obtained a ten-year $8.4 million mortgage loan on our new Los Angeles Corporate Headquarters at a fixed annual interest rate of 4.64%. This loan provided for a second loan upon completion of certain improvements. On June 26, 2017, we obtained a further $1.5 million under this provision at a fixed annual interest rate of 4.44%.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Debt denominated in foreign currencies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Australian NAB Corporate Loan Facility</w:t>
      </w:r>
    </w:p>
    <w:p>
      <w:pPr>
        <w:spacing w:after="0" w:line="3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On December 23, 2015, we amended our Reading Entertainment Australia Term Loan and Corporate Credit Facility with National Australia Bank (“NAB”), from a three-tiered facility comprised of (1) the Bank Bill Discount Facility with a limit of AU$61.3 million, an interest rate of 2.35% above the Bank Bill Swap Bid Rate (BBSY), and amortization at AU$2.0 million per year; (2) the Bill Discount Facility – Revolving with a limit of AU$10.0 million and an interest rate of 1.50% above the BBSY on any undrawn portion; and (3) the Bank Guarantee Facility with a facility limit of AU$5.0 million, into a $48.1 million (AU$66.5 million) Revolving Corporate Markets Loan facility. The new facility has an interest rate of 0.95% above BBSY on any outstanding borrowings and an unchanged maturity date of June 30, 2019. In addition, we will incur a facility fee of 0.95% per annum. We also have a $3.6 million (AU$5.0 million) Bank Guarantee facility at a rate of 1.90% per annum. The modifications of this particular term loan were not considered to be substantial under US GAAP.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Zealand Westpac Bank Corporate Credit Facility</w:t>
      </w:r>
    </w:p>
    <w:p>
      <w:pPr>
        <w:spacing w:after="0" w:line="28"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4"/>
          <w:szCs w:val="14"/>
          <w:color w:val="auto"/>
        </w:rPr>
        <w:t>On December 15, 2017, we extended the maturity of the 1</w:t>
      </w:r>
      <w:r>
        <w:rPr>
          <w:rFonts w:ascii="Times New Roman" w:cs="Times New Roman" w:eastAsia="Times New Roman" w:hAnsi="Times New Roman"/>
          <w:sz w:val="7"/>
          <w:szCs w:val="7"/>
          <w:color w:val="auto"/>
        </w:rPr>
        <w:t>st</w:t>
      </w:r>
      <w:r>
        <w:rPr>
          <w:rFonts w:ascii="Times New Roman" w:cs="Times New Roman" w:eastAsia="Times New Roman" w:hAnsi="Times New Roman"/>
          <w:sz w:val="14"/>
          <w:szCs w:val="14"/>
          <w:color w:val="auto"/>
        </w:rPr>
        <w:t xml:space="preserve"> tranche (general/non-construction credit line) of our Westpac Corporate Credit Facility to December 31, 2019</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Prior to this on April 26, 2017, we extended the maturity of our entire Westpac Corporate Credit Facility, $37.6 million (NZ$53.0 million) to December 31, 2018, from March 31, 2018. We are currently working on a longer-term renewal of our Westpac Corporate Credit Facility which will replace the existing facility.</w:t>
      </w:r>
    </w:p>
    <w:p>
      <w:pPr>
        <w:spacing w:after="0" w:line="146"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In October 2016, we amended our $34.8 million (NZ$50.0 million) credit facility with Westpac Bank to provide a $2.1 million (NZ$3.0 million) increase, thereby amending the total credit facility to $36.9 million (NZ$53.0 million). The increase in the credit facility was specific to the second tranche of our credit facility which is a dedicated construction facility, now of $12.5 million (NZ$18.0 million) from the original limit of $10.4 million (NZ$15.0 million). No drawdowns have been made against the second tranche to date. This modification was not considered substantial under U.S. GAAP.</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4" w:right="739" w:bottom="1440" w:gutter="0" w:footer="0" w:header="0"/>
        </w:sectPr>
      </w:pPr>
    </w:p>
    <w:bookmarkStart w:id="89" w:name="page90"/>
    <w:bookmarkEnd w:id="89"/>
    <w:p>
      <w:pPr>
        <w:ind w:right="80"/>
        <w:spacing w:after="0" w:line="279" w:lineRule="auto"/>
        <w:rPr>
          <w:sz w:val="20"/>
          <w:szCs w:val="20"/>
          <w:color w:val="auto"/>
        </w:rPr>
      </w:pPr>
      <w:r>
        <w:rPr>
          <w:rFonts w:ascii="Times New Roman" w:cs="Times New Roman" w:eastAsia="Times New Roman" w:hAnsi="Times New Roman"/>
          <w:sz w:val="14"/>
          <w:szCs w:val="14"/>
          <w:color w:val="auto"/>
        </w:rPr>
        <w:t>Previously, on May 21, 2015, we refinanced our existing New Zealand Corporate Credit Facility with a $34.2 million (NZ$50.0 million) facility with the same bank (Westpac Bank), bearing an interest rate of 1.75% above Bank Bill Bid Rate and maturing on March 31, 2018. The facility is broken into two tranches, one a $23.9 million (NZ$35.0 million) credit facility and the second tranche for a $10.3 million (NZ$15.0 million) facility to be used for construction funding.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2017, our aggregate amount of future principal debt payments is estimated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86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2"/>
                <w:szCs w:val="12"/>
                <w:b w:val="1"/>
                <w:bCs w:val="1"/>
                <w:color w:val="auto"/>
              </w:rPr>
              <w:t>Future Principal Debt Payments</w:t>
            </w:r>
          </w:p>
        </w:tc>
      </w:tr>
      <w:tr>
        <w:trPr>
          <w:trHeight w:val="14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2018</w:t>
            </w:r>
          </w:p>
        </w:tc>
        <w:tc>
          <w:tcPr>
            <w:tcW w:w="86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rPr>
              <w:t>$</w:t>
            </w: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8,139</w:t>
            </w:r>
          </w:p>
        </w:tc>
      </w:tr>
      <w:tr>
        <w:trPr>
          <w:trHeight w:val="141"/>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2019</w:t>
            </w:r>
          </w:p>
        </w:tc>
        <w:tc>
          <w:tcPr>
            <w:tcW w:w="860" w:type="dxa"/>
            <w:vAlign w:val="bottom"/>
          </w:tcPr>
          <w:p>
            <w:pPr>
              <w:spacing w:after="0"/>
              <w:rPr>
                <w:sz w:val="12"/>
                <w:szCs w:val="12"/>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89,190</w:t>
            </w:r>
          </w:p>
        </w:tc>
      </w:tr>
      <w:tr>
        <w:trPr>
          <w:trHeight w:val="14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2020</w:t>
            </w:r>
          </w:p>
        </w:tc>
        <w:tc>
          <w:tcPr>
            <w:tcW w:w="860" w:type="dxa"/>
            <w:vAlign w:val="bottom"/>
            <w:shd w:val="clear" w:color="auto" w:fill="CCEEFF"/>
          </w:tcPr>
          <w:p>
            <w:pPr>
              <w:spacing w:after="0"/>
              <w:rPr>
                <w:sz w:val="12"/>
                <w:szCs w:val="12"/>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r>
      <w:tr>
        <w:trPr>
          <w:trHeight w:val="141"/>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860" w:type="dxa"/>
            <w:vAlign w:val="bottom"/>
          </w:tcPr>
          <w:p>
            <w:pPr>
              <w:spacing w:after="0"/>
              <w:rPr>
                <w:sz w:val="12"/>
                <w:szCs w:val="12"/>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r>
      <w:tr>
        <w:trPr>
          <w:trHeight w:val="14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860" w:type="dxa"/>
            <w:vAlign w:val="bottom"/>
            <w:shd w:val="clear" w:color="auto" w:fill="CCEEFF"/>
          </w:tcPr>
          <w:p>
            <w:pPr>
              <w:spacing w:after="0"/>
              <w:rPr>
                <w:sz w:val="12"/>
                <w:szCs w:val="12"/>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r>
      <w:tr>
        <w:trPr>
          <w:trHeight w:val="141"/>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86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36,400</w:t>
            </w:r>
          </w:p>
        </w:tc>
      </w:tr>
      <w:tr>
        <w:trPr>
          <w:trHeight w:val="112"/>
        </w:trPr>
        <w:tc>
          <w:tcPr>
            <w:tcW w:w="6060" w:type="dxa"/>
            <w:vAlign w:val="bottom"/>
            <w:tcBorders>
              <w:bottom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future principal debt payments</w:t>
            </w:r>
          </w:p>
        </w:tc>
        <w:tc>
          <w:tcPr>
            <w:tcW w:w="860" w:type="dxa"/>
            <w:vAlign w:val="bottom"/>
            <w:tcBorders>
              <w:bottom w:val="single" w:sz="8" w:color="auto"/>
            </w:tcBorders>
            <w:shd w:val="clear" w:color="auto" w:fill="CCEEFF"/>
          </w:tcPr>
          <w:p>
            <w:pPr>
              <w:jc w:val="right"/>
              <w:ind w:right="342"/>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32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134,505</w:t>
            </w:r>
          </w:p>
        </w:tc>
      </w:tr>
    </w:tbl>
    <w:p>
      <w:pPr>
        <w:spacing w:after="0" w:line="300"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4"/>
          <w:szCs w:val="14"/>
          <w:color w:val="auto"/>
        </w:rPr>
        <w:t>The estimated amount of future principal payments in U.S. dollars is subject to change because the payments in U.S. dollars on the debt denominated in foreign currencies, which represents a significant portion of our total outstanding debt balance, will fluctuate based on the applicable foreign currency exchange rates.</w:t>
      </w:r>
    </w:p>
    <w:p>
      <w:pPr>
        <w:sectPr>
          <w:pgSz w:w="11900" w:h="16838" w:orient="portrait"/>
          <w:cols w:equalWidth="0" w:num="1">
            <w:col w:w="10160"/>
          </w:cols>
          <w:pgMar w:left="1000" w:top="298" w:right="739" w:bottom="1440" w:gutter="0" w:footer="0" w:header="0"/>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 AND OTHER LIABILITIES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liabilities including pension are summarized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40" w:type="dxa"/>
            <w:vAlign w:val="bottom"/>
          </w:tcPr>
          <w:p>
            <w:pPr>
              <w:spacing w:after="0"/>
              <w:rPr>
                <w:sz w:val="15"/>
                <w:szCs w:val="15"/>
                <w:color w:val="auto"/>
              </w:rPr>
            </w:pP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December 31, 2017</w:t>
            </w:r>
          </w:p>
        </w:tc>
      </w:tr>
      <w:tr>
        <w:trPr>
          <w:trHeight w:val="163"/>
        </w:trPr>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4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r>
      <w:tr>
        <w:trPr>
          <w:trHeight w:val="163"/>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Liability for demolition and remediation costs</w:t>
            </w:r>
            <w:r>
              <w:rPr>
                <w:rFonts w:ascii="Times New Roman" w:cs="Times New Roman" w:eastAsia="Times New Roman" w:hAnsi="Times New Roman"/>
                <w:sz w:val="14"/>
                <w:szCs w:val="14"/>
                <w:color w:val="auto"/>
                <w:vertAlign w:val="superscript"/>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w:t>
            </w:r>
          </w:p>
        </w:tc>
      </w:tr>
      <w:tr>
        <w:trPr>
          <w:trHeight w:val="163"/>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Lease liability</w:t>
            </w:r>
            <w:r>
              <w:rPr>
                <w:rFonts w:ascii="Times New Roman" w:cs="Times New Roman" w:eastAsia="Times New Roman" w:hAnsi="Times New Roman"/>
                <w:sz w:val="14"/>
                <w:szCs w:val="14"/>
                <w:color w:val="auto"/>
                <w:vertAlign w:val="superscript"/>
              </w:rPr>
              <w:t>(2)</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5,900</w:t>
            </w:r>
          </w:p>
        </w:tc>
      </w:tr>
      <w:tr>
        <w:trPr>
          <w:trHeight w:val="163"/>
        </w:trPr>
        <w:tc>
          <w:tcPr>
            <w:tcW w:w="5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Accrued pension</w:t>
            </w:r>
            <w:r>
              <w:rPr>
                <w:rFonts w:ascii="Times New Roman" w:cs="Times New Roman" w:eastAsia="Times New Roman" w:hAnsi="Times New Roman"/>
                <w:sz w:val="14"/>
                <w:szCs w:val="14"/>
                <w:color w:val="auto"/>
                <w:vertAlign w:val="superscript"/>
              </w:rPr>
              <w:t>(3)</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2,907</w:t>
            </w:r>
          </w:p>
        </w:tc>
      </w:tr>
      <w:tr>
        <w:trPr>
          <w:trHeight w:val="163"/>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Security deposit payable</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8"/>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Other current liabilities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11,679</w:t>
            </w:r>
          </w:p>
        </w:tc>
      </w:tr>
      <w:tr>
        <w:trPr>
          <w:trHeight w:val="163"/>
        </w:trPr>
        <w:tc>
          <w:tcPr>
            <w:tcW w:w="5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3"/>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Straight-line rent liability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13,444</w:t>
            </w:r>
          </w:p>
        </w:tc>
      </w:tr>
      <w:tr>
        <w:trPr>
          <w:trHeight w:val="163"/>
        </w:trPr>
        <w:tc>
          <w:tcPr>
            <w:tcW w:w="5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Accrued pension</w:t>
            </w:r>
            <w:r>
              <w:rPr>
                <w:rFonts w:ascii="Times New Roman" w:cs="Times New Roman" w:eastAsia="Times New Roman" w:hAnsi="Times New Roman"/>
                <w:sz w:val="14"/>
                <w:szCs w:val="14"/>
                <w:color w:val="auto"/>
                <w:vertAlign w:val="superscript"/>
              </w:rPr>
              <w:t>(3)</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5,228</w:t>
            </w:r>
          </w:p>
        </w:tc>
      </w:tr>
      <w:tr>
        <w:trPr>
          <w:trHeight w:val="163"/>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Lease make-good provision</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5,648</w:t>
            </w:r>
          </w:p>
        </w:tc>
      </w:tr>
      <w:tr>
        <w:trPr>
          <w:trHeight w:val="163"/>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Environmental reserve</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1,656</w:t>
            </w:r>
          </w:p>
        </w:tc>
      </w:tr>
      <w:tr>
        <w:trPr>
          <w:trHeight w:val="163"/>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Interest rate swap</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Deferred Revenue - Real Estate</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3"/>
        </w:trPr>
        <w:tc>
          <w:tcPr>
            <w:tcW w:w="5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Acquired leases</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68"/>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w:t>
            </w:r>
          </w:p>
        </w:tc>
      </w:tr>
      <w:tr>
        <w:trPr>
          <w:trHeight w:val="161"/>
        </w:trPr>
        <w:tc>
          <w:tcPr>
            <w:tcW w:w="5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26,649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-1597660</wp:posOffset>
            </wp:positionV>
            <wp:extent cx="6447155" cy="1035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47155" cy="1035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6447155" cy="1035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47155" cy="1035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-949960</wp:posOffset>
            </wp:positionV>
            <wp:extent cx="6447155" cy="1035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47155" cy="1035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-742950</wp:posOffset>
            </wp:positionV>
            <wp:extent cx="6447155" cy="1035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47155" cy="1035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-536575</wp:posOffset>
            </wp:positionV>
            <wp:extent cx="6447155" cy="1035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47155" cy="1035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6447155" cy="1035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47155" cy="1035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6447155" cy="1238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47155" cy="1238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-1184275</wp:posOffset>
            </wp:positionV>
            <wp:extent cx="6447155" cy="1238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47155" cy="1238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-1824355</wp:posOffset>
            </wp:positionV>
            <wp:extent cx="6447155" cy="1238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47155" cy="123825"/>
                    </a:xfrm>
                    <a:prstGeom prst="rect">
                      <a:avLst/>
                    </a:prstGeom>
                    <a:noFill/>
                  </pic:spPr>
                </pic:pic>
              </a:graphicData>
            </a:graphic>
          </wp:anchor>
        </w:drawing>
      </w:r>
    </w:p>
    <w:p>
      <w:pPr>
        <w:spacing w:after="0" w:line="149" w:lineRule="exact"/>
        <w:rPr>
          <w:sz w:val="20"/>
          <w:szCs w:val="20"/>
          <w:color w:val="auto"/>
        </w:rPr>
      </w:pPr>
    </w:p>
    <w:p>
      <w:pPr>
        <w:ind w:left="100" w:hanging="92"/>
        <w:spacing w:after="0"/>
        <w:tabs>
          <w:tab w:leader="none" w:pos="100" w:val="left"/>
        </w:tabs>
        <w:numPr>
          <w:ilvl w:val="0"/>
          <w:numId w:val="88"/>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Refer to Note 19 – Insurance Recoveries on Impairment and Related Losses due to Earthquake for details on the estimation of the demolition costs for our Courtenay Central parking structure.</w:t>
      </w:r>
    </w:p>
    <w:p>
      <w:pPr>
        <w:spacing w:after="0" w:line="16" w:lineRule="exact"/>
        <w:rPr>
          <w:rFonts w:ascii="Times New Roman" w:cs="Times New Roman" w:eastAsia="Times New Roman" w:hAnsi="Times New Roman"/>
          <w:sz w:val="10"/>
          <w:szCs w:val="10"/>
          <w:i w:val="1"/>
          <w:iCs w:val="1"/>
          <w:color w:val="auto"/>
          <w:vertAlign w:val="superscript"/>
        </w:rPr>
      </w:pPr>
    </w:p>
    <w:p>
      <w:pPr>
        <w:ind w:left="100" w:hanging="92"/>
        <w:spacing w:after="0"/>
        <w:tabs>
          <w:tab w:leader="none" w:pos="100" w:val="left"/>
        </w:tabs>
        <w:numPr>
          <w:ilvl w:val="0"/>
          <w:numId w:val="88"/>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Represents the lease liability of the option associated with the ground lease purchase of the Village East Cinema. See below for more information.</w:t>
      </w:r>
    </w:p>
    <w:p>
      <w:pPr>
        <w:spacing w:after="0" w:line="4" w:lineRule="exact"/>
        <w:rPr>
          <w:rFonts w:ascii="Times New Roman" w:cs="Times New Roman" w:eastAsia="Times New Roman" w:hAnsi="Times New Roman"/>
          <w:sz w:val="10"/>
          <w:szCs w:val="10"/>
          <w:i w:val="1"/>
          <w:iCs w:val="1"/>
          <w:color w:val="auto"/>
          <w:vertAlign w:val="superscript"/>
        </w:rPr>
      </w:pPr>
    </w:p>
    <w:p>
      <w:pPr>
        <w:ind w:left="100" w:hanging="92"/>
        <w:spacing w:after="0"/>
        <w:tabs>
          <w:tab w:leader="none" w:pos="100" w:val="left"/>
        </w:tabs>
        <w:numPr>
          <w:ilvl w:val="0"/>
          <w:numId w:val="88"/>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9"/>
          <w:szCs w:val="9"/>
          <w:i w:val="1"/>
          <w:iCs w:val="1"/>
          <w:color w:val="auto"/>
        </w:rPr>
        <w:t>Represents the pension liability associated with the Supplemental Executive Retirement Plan explained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b w:val="1"/>
          <w:bCs w:val="1"/>
          <w:color w:val="auto"/>
        </w:rPr>
        <w:t>December 31, 2016</w:t>
      </w:r>
    </w:p>
    <w:p>
      <w:pPr>
        <w:spacing w:after="0" w:line="210" w:lineRule="exact"/>
        <w:rPr>
          <w:sz w:val="20"/>
          <w:szCs w:val="20"/>
          <w:color w:val="auto"/>
        </w:rPr>
      </w:pPr>
    </w:p>
    <w:p>
      <w:pPr>
        <w:ind w:left="1"/>
        <w:spacing w:after="0"/>
        <w:tabs>
          <w:tab w:leader="none" w:pos="134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5,914</w:t>
      </w:r>
    </w:p>
    <w:p>
      <w:pPr>
        <w:spacing w:after="0" w:line="3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color w:val="auto"/>
        </w:rPr>
        <w:t>5,900</w:t>
      </w:r>
    </w:p>
    <w:p>
      <w:pPr>
        <w:spacing w:after="0" w:line="1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color w:val="auto"/>
        </w:rPr>
        <w:t>2,223</w:t>
      </w:r>
    </w:p>
    <w:p>
      <w:pPr>
        <w:spacing w:after="0" w:line="1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color w:val="auto"/>
        </w:rPr>
        <w:t>77</w:t>
      </w:r>
    </w:p>
    <w:p>
      <w:pPr>
        <w:spacing w:after="0" w:line="1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color w:val="auto"/>
        </w:rPr>
        <w:t>17</w:t>
      </w:r>
    </w:p>
    <w:p>
      <w:pPr>
        <w:spacing w:after="0" w:line="17" w:lineRule="exact"/>
        <w:rPr>
          <w:sz w:val="20"/>
          <w:szCs w:val="20"/>
          <w:color w:val="auto"/>
        </w:rPr>
      </w:pPr>
    </w:p>
    <w:p>
      <w:pPr>
        <w:ind w:left="1301" w:hanging="1301"/>
        <w:spacing w:after="0"/>
        <w:tabs>
          <w:tab w:leader="none" w:pos="1301" w:val="left"/>
        </w:tabs>
        <w:numPr>
          <w:ilvl w:val="0"/>
          <w:numId w:val="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14,131</w:t>
      </w:r>
    </w:p>
    <w:p>
      <w:pPr>
        <w:spacing w:after="0" w:line="222" w:lineRule="exact"/>
        <w:rPr>
          <w:sz w:val="20"/>
          <w:szCs w:val="20"/>
          <w:color w:val="auto"/>
        </w:rPr>
      </w:pPr>
    </w:p>
    <w:p>
      <w:pPr>
        <w:ind w:left="1301" w:hanging="1301"/>
        <w:spacing w:after="0"/>
        <w:tabs>
          <w:tab w:leader="none" w:pos="1301"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12,413</w:t>
      </w:r>
    </w:p>
    <w:p>
      <w:pPr>
        <w:spacing w:after="0" w:line="29" w:lineRule="exact"/>
        <w:rPr>
          <w:rFonts w:ascii="Times New Roman" w:cs="Times New Roman" w:eastAsia="Times New Roman" w:hAnsi="Times New Roman"/>
          <w:sz w:val="12"/>
          <w:szCs w:val="12"/>
          <w:color w:val="auto"/>
        </w:rPr>
      </w:pPr>
    </w:p>
    <w:p>
      <w:pPr>
        <w:ind w:left="136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5,732</w:t>
      </w:r>
    </w:p>
    <w:p>
      <w:pPr>
        <w:spacing w:after="0" w:line="24" w:lineRule="exact"/>
        <w:rPr>
          <w:rFonts w:ascii="Times New Roman" w:cs="Times New Roman" w:eastAsia="Times New Roman" w:hAnsi="Times New Roman"/>
          <w:sz w:val="12"/>
          <w:szCs w:val="12"/>
          <w:color w:val="auto"/>
        </w:rPr>
      </w:pPr>
    </w:p>
    <w:p>
      <w:pPr>
        <w:ind w:left="136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5,146</w:t>
      </w:r>
    </w:p>
    <w:p>
      <w:pPr>
        <w:spacing w:after="0" w:line="24" w:lineRule="exact"/>
        <w:rPr>
          <w:rFonts w:ascii="Times New Roman" w:cs="Times New Roman" w:eastAsia="Times New Roman" w:hAnsi="Times New Roman"/>
          <w:sz w:val="12"/>
          <w:szCs w:val="12"/>
          <w:color w:val="auto"/>
        </w:rPr>
      </w:pPr>
    </w:p>
    <w:p>
      <w:pPr>
        <w:ind w:left="136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1,656</w:t>
      </w:r>
    </w:p>
    <w:p>
      <w:pPr>
        <w:spacing w:after="0" w:line="24" w:lineRule="exact"/>
        <w:rPr>
          <w:rFonts w:ascii="Times New Roman" w:cs="Times New Roman" w:eastAsia="Times New Roman" w:hAnsi="Times New Roman"/>
          <w:sz w:val="12"/>
          <w:szCs w:val="12"/>
          <w:color w:val="auto"/>
        </w:rPr>
      </w:pPr>
    </w:p>
    <w:p>
      <w:pPr>
        <w:ind w:left="152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58</w:t>
      </w:r>
    </w:p>
    <w:p>
      <w:pPr>
        <w:spacing w:after="0" w:line="24" w:lineRule="exact"/>
        <w:rPr>
          <w:rFonts w:ascii="Times New Roman" w:cs="Times New Roman" w:eastAsia="Times New Roman" w:hAnsi="Times New Roman"/>
          <w:sz w:val="12"/>
          <w:szCs w:val="12"/>
          <w:color w:val="auto"/>
        </w:rPr>
      </w:pPr>
    </w:p>
    <w:p>
      <w:pPr>
        <w:ind w:left="136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4,398</w:t>
      </w:r>
    </w:p>
    <w:p>
      <w:pPr>
        <w:spacing w:after="0" w:line="24" w:lineRule="exact"/>
        <w:rPr>
          <w:rFonts w:ascii="Times New Roman" w:cs="Times New Roman" w:eastAsia="Times New Roman" w:hAnsi="Times New Roman"/>
          <w:sz w:val="12"/>
          <w:szCs w:val="12"/>
          <w:color w:val="auto"/>
        </w:rPr>
      </w:pPr>
    </w:p>
    <w:p>
      <w:pPr>
        <w:ind w:left="146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267</w:t>
      </w:r>
    </w:p>
    <w:p>
      <w:pPr>
        <w:spacing w:after="0" w:line="24" w:lineRule="exact"/>
        <w:rPr>
          <w:rFonts w:ascii="Times New Roman" w:cs="Times New Roman" w:eastAsia="Times New Roman" w:hAnsi="Times New Roman"/>
          <w:sz w:val="12"/>
          <w:szCs w:val="12"/>
          <w:color w:val="auto"/>
        </w:rPr>
      </w:pPr>
    </w:p>
    <w:p>
      <w:pPr>
        <w:ind w:left="1461"/>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495</w:t>
      </w:r>
    </w:p>
    <w:p>
      <w:pPr>
        <w:spacing w:after="0" w:line="28" w:lineRule="exact"/>
        <w:rPr>
          <w:sz w:val="20"/>
          <w:szCs w:val="20"/>
          <w:color w:val="auto"/>
        </w:rPr>
      </w:pPr>
    </w:p>
    <w:p>
      <w:pPr>
        <w:ind w:left="1301" w:hanging="1301"/>
        <w:spacing w:after="0"/>
        <w:tabs>
          <w:tab w:leader="none" w:pos="1301" w:val="left"/>
        </w:tabs>
        <w:numPr>
          <w:ilvl w:val="0"/>
          <w:numId w:val="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30,165</w:t>
      </w:r>
    </w:p>
    <w:p>
      <w:pPr>
        <w:spacing w:after="0" w:line="712" w:lineRule="exact"/>
        <w:rPr>
          <w:sz w:val="20"/>
          <w:szCs w:val="20"/>
          <w:color w:val="auto"/>
        </w:rPr>
      </w:pPr>
    </w:p>
    <w:p>
      <w:pPr>
        <w:sectPr>
          <w:pgSz w:w="11900" w:h="16838" w:orient="portrait"/>
          <w:cols w:equalWidth="0" w:num="2">
            <w:col w:w="7900" w:space="579"/>
            <w:col w:w="1681"/>
          </w:cols>
          <w:pgMar w:left="1000" w:top="298" w:right="7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Liability - Village East Purchase Option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Village East lease includes a call option pursuant to which we may purchase the cinema ground lease for $5.9 million at the end of the lease term in June</w:t>
      </w:r>
    </w:p>
    <w:p>
      <w:pPr>
        <w:spacing w:after="0" w:line="1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2020. Additionally, our lease has a put option pursuant to which SHC may require our Company to purchase all or a portion of SHC’s interest in the existing cinema lease and the cinema ground lease at any time between July 1, 2013 and December 4, 2019. SHC’s put option may be exercised on one or more occasions in increments of not less than $100,000 each. Because our late Chairman, Chief Executive Officer, and controlling shareholder, Mr. James J. Cotter, Sr. was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$5.9 million presented under other liabilities which accreted up to the $5.9 million liability through July 1, 2013 (see Note 18 – </w:t>
      </w:r>
      <w:r>
        <w:rPr>
          <w:rFonts w:ascii="Times New Roman" w:cs="Times New Roman" w:eastAsia="Times New Roman" w:hAnsi="Times New Roman"/>
          <w:sz w:val="14"/>
          <w:szCs w:val="14"/>
          <w:i w:val="1"/>
          <w:iCs w:val="1"/>
          <w:color w:val="auto"/>
        </w:rPr>
        <w:t>Related Parties</w:t>
      </w:r>
      <w:r>
        <w:rPr>
          <w:rFonts w:ascii="Times New Roman" w:cs="Times New Roman" w:eastAsia="Times New Roman" w:hAnsi="Times New Roman"/>
          <w:sz w:val="14"/>
          <w:szCs w:val="14"/>
          <w:color w:val="auto"/>
        </w:rPr>
        <w:t>). As the put option has been exercisable by SHC since July 1, 2013, the lease liability has been classified as part of other current liabilities.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Liability - Supplemental Executive Retirement Plan</w:t>
      </w:r>
    </w:p>
    <w:p>
      <w:pPr>
        <w:spacing w:after="0" w:line="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August 29, 2014, the Supplemental Executive Retirement Plan (“SERP”) that was effective since March 1, 2007, was ended and replaced with a new pension annuity. As a result of the termination of the SERP program, the accrued pension liability of $7.6 million was reversed and replaced with a new pension annuity liability of</w:t>
      </w:r>
    </w:p>
    <w:p>
      <w:pPr>
        <w:spacing w:after="0" w:line="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$7.5 million. The valuation of the liability is based on the present value of $10.2 million discounted at 4.25% over a 15-year term, resulting in a monthly payment of $56,944 payable to the estate of Mr. James J. Cotter, Sr. The discount rate of 4.25% has been applied since 2014 to determine the net periodic benefit cost and plan benefit obligation and is expected to be used in future years. The discounted value of $2.7 million (which is the difference between the estimated payout of $10.2 million and the present value of $7.5 million) will be amortized and expensed based on the 15-year term. In addition, the accumulated actuarial loss of $3.1 million recorded, as part of other comprehensive income, will also be amortized based on the 15-year term.</w:t>
      </w:r>
    </w:p>
    <w:p>
      <w:pPr>
        <w:spacing w:after="0" w:line="111"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4"/>
          <w:szCs w:val="14"/>
          <w:color w:val="auto"/>
        </w:rPr>
        <w:t>As a result of the above, included in our other current and non-current liabilities are accrued pension costs of $8.1 million and $8.0 million as of December 31, 2017 and 2016, respectively. The benefits of our pension plans are fully vested and therefore no service costs were recognized 2016 and 2015. Our pension plans are unfunded.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the SERP pension benefit obligation and the funded status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00" w:type="dxa"/>
            <w:vAlign w:val="bottom"/>
            <w:tcBorders>
              <w:bottom w:val="single" w:sz="8" w:color="CCEEFF"/>
            </w:tcBorders>
            <w:gridSpan w:val="2"/>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2017</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December 31, 2016</w:t>
            </w:r>
          </w:p>
        </w:tc>
      </w:tr>
      <w:tr>
        <w:trPr>
          <w:trHeight w:val="141"/>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 obligation at January 1</w:t>
            </w:r>
          </w:p>
        </w:tc>
        <w:tc>
          <w:tcPr>
            <w:tcW w:w="152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7,955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7,775</w:t>
            </w:r>
          </w:p>
        </w:tc>
      </w:tr>
      <w:tr>
        <w:trPr>
          <w:trHeight w:val="152"/>
        </w:trPr>
        <w:tc>
          <w:tcPr>
            <w:tcW w:w="57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Interest cost</w:t>
            </w:r>
          </w:p>
        </w:tc>
        <w:tc>
          <w:tcPr>
            <w:tcW w:w="15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r>
      <w:tr>
        <w:trPr>
          <w:trHeight w:val="152"/>
        </w:trPr>
        <w:tc>
          <w:tcPr>
            <w:tcW w:w="57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Actuarial gain</w:t>
            </w:r>
          </w:p>
        </w:tc>
        <w:tc>
          <w:tcPr>
            <w:tcW w:w="15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4"/>
        </w:trPr>
        <w:tc>
          <w:tcPr>
            <w:tcW w:w="5700" w:type="dxa"/>
            <w:vAlign w:val="bottom"/>
            <w:tcBorders>
              <w:bottom w:val="single" w:sz="8" w:color="CCEEFF"/>
            </w:tcBorders>
            <w:gridSpan w:val="4"/>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Benefit obligation at December 31</w:t>
            </w:r>
          </w:p>
        </w:tc>
        <w:tc>
          <w:tcPr>
            <w:tcW w:w="1520" w:type="dxa"/>
            <w:vAlign w:val="bottom"/>
            <w:tcBorders>
              <w:top w:val="single" w:sz="8" w:color="auto"/>
              <w:bottom w:val="single" w:sz="8" w:color="auto"/>
            </w:tcBorders>
          </w:tcPr>
          <w:p>
            <w:pPr>
              <w:jc w:val="right"/>
              <w:ind w:right="104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Borders>
              <w:top w:val="single" w:sz="8" w:color="auto"/>
              <w:bottom w:val="single" w:sz="8" w:color="auto"/>
            </w:tcBorders>
            <w:gridSpan w:val="2"/>
          </w:tcPr>
          <w:p>
            <w:pPr>
              <w:jc w:val="right"/>
              <w:ind w:right="20"/>
              <w:spacing w:after="0" w:line="132" w:lineRule="exact"/>
              <w:rPr>
                <w:sz w:val="20"/>
                <w:szCs w:val="20"/>
                <w:color w:val="auto"/>
              </w:rPr>
            </w:pPr>
            <w:r>
              <w:rPr>
                <w:rFonts w:ascii="Times New Roman" w:cs="Times New Roman" w:eastAsia="Times New Roman" w:hAnsi="Times New Roman"/>
                <w:sz w:val="12"/>
                <w:szCs w:val="12"/>
                <w:b w:val="1"/>
                <w:bCs w:val="1"/>
                <w:color w:val="auto"/>
              </w:rPr>
              <w:t>8,135</w:t>
            </w:r>
          </w:p>
        </w:tc>
        <w:tc>
          <w:tcPr>
            <w:tcW w:w="2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5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7,955</w:t>
            </w:r>
          </w:p>
        </w:tc>
      </w:tr>
      <w:tr>
        <w:trPr>
          <w:trHeight w:val="161"/>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Funded status at December 31</w:t>
            </w:r>
          </w:p>
        </w:tc>
        <w:tc>
          <w:tcPr>
            <w:tcW w:w="152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(8,135)</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(7,955)</w:t>
            </w:r>
          </w:p>
        </w:tc>
      </w:tr>
      <w:tr>
        <w:trPr>
          <w:trHeight w:val="286"/>
        </w:trPr>
        <w:tc>
          <w:tcPr>
            <w:tcW w:w="570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Amounts recognized in the balance sheet consists of:</w:t>
            </w:r>
          </w:p>
        </w:tc>
        <w:tc>
          <w:tcPr>
            <w:tcW w:w="15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326"/>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4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2"/>
                <w:szCs w:val="12"/>
                <w:b w:val="1"/>
                <w:bCs w:val="1"/>
                <w:color w:val="auto"/>
                <w:w w:val="96"/>
              </w:rPr>
              <w:t>December 31, 2016</w:t>
            </w:r>
          </w:p>
        </w:tc>
      </w:tr>
      <w:tr>
        <w:trPr>
          <w:trHeight w:val="163"/>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520" w:type="dxa"/>
            <w:vAlign w:val="bottom"/>
            <w:shd w:val="clear" w:color="auto" w:fill="CCEEFF"/>
          </w:tcPr>
          <w:p>
            <w:pPr>
              <w:jc w:val="right"/>
              <w:ind w:right="1342"/>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2,907</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2,223</w:t>
            </w:r>
          </w:p>
        </w:tc>
      </w:tr>
      <w:tr>
        <w:trPr>
          <w:trHeight w:val="174"/>
        </w:trPr>
        <w:tc>
          <w:tcPr>
            <w:tcW w:w="5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Other liabilities - Non current</w:t>
            </w: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5,228</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5,732</w:t>
            </w:r>
          </w:p>
        </w:tc>
      </w:tr>
      <w:tr>
        <w:trPr>
          <w:trHeight w:val="144"/>
        </w:trPr>
        <w:tc>
          <w:tcPr>
            <w:tcW w:w="5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pension liability</w:t>
            </w:r>
          </w:p>
        </w:tc>
        <w:tc>
          <w:tcPr>
            <w:tcW w:w="36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ind w:right="1342"/>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8,135</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7,955</w:t>
            </w:r>
          </w:p>
        </w:tc>
      </w:tr>
      <w:tr>
        <w:trPr>
          <w:trHeight w:val="315"/>
        </w:trPr>
        <w:tc>
          <w:tcPr>
            <w:tcW w:w="81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components of the net periodic benefit cost and other amounts recognized in other comprehensive income are as follows:</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8"/>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00" w:type="dxa"/>
            <w:vAlign w:val="bottom"/>
            <w:tcBorders>
              <w:bottom w:val="single" w:sz="8" w:color="CCEEFF"/>
            </w:tcBorders>
            <w:gridSpan w:val="2"/>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December 31, 2016</w:t>
            </w:r>
          </w:p>
        </w:tc>
      </w:tr>
      <w:tr>
        <w:trPr>
          <w:trHeight w:val="174"/>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periodic benefit cost</w:t>
            </w:r>
          </w:p>
        </w:tc>
        <w:tc>
          <w:tcPr>
            <w:tcW w:w="1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4"/>
        </w:trPr>
        <w:tc>
          <w:tcPr>
            <w:tcW w:w="57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1520" w:type="dxa"/>
            <w:vAlign w:val="bottom"/>
          </w:tcPr>
          <w:p>
            <w:pPr>
              <w:jc w:val="right"/>
              <w:ind w:right="104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r>
      <w:tr>
        <w:trPr>
          <w:trHeight w:val="174"/>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prior service costs</w:t>
            </w:r>
          </w:p>
        </w:tc>
        <w:tc>
          <w:tcPr>
            <w:tcW w:w="15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57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2"/>
                <w:szCs w:val="12"/>
                <w:color w:val="auto"/>
              </w:rPr>
              <w:t>Amortization of net actuarial gain</w:t>
            </w:r>
          </w:p>
        </w:tc>
        <w:tc>
          <w:tcPr>
            <w:tcW w:w="1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127</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63"/>
        </w:trPr>
        <w:tc>
          <w:tcPr>
            <w:tcW w:w="5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periodic benefit cost</w:t>
            </w:r>
          </w:p>
        </w:tc>
        <w:tc>
          <w:tcPr>
            <w:tcW w:w="1520" w:type="dxa"/>
            <w:vAlign w:val="bottom"/>
            <w:tcBorders>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307</w:t>
            </w:r>
          </w:p>
        </w:tc>
        <w:tc>
          <w:tcPr>
            <w:tcW w:w="2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w:t>
            </w:r>
          </w:p>
        </w:tc>
      </w:tr>
      <w:tr>
        <w:trPr>
          <w:trHeight w:val="155"/>
        </w:trPr>
        <w:tc>
          <w:tcPr>
            <w:tcW w:w="57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Items recognized in other comprehensive income</w:t>
            </w: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74"/>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52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57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Amortization of prior service cost</w:t>
            </w:r>
          </w:p>
        </w:tc>
        <w:tc>
          <w:tcPr>
            <w:tcW w:w="1520" w:type="dxa"/>
            <w:vAlign w:val="bottom"/>
          </w:tcPr>
          <w:p>
            <w:pPr>
              <w:spacing w:after="0"/>
              <w:rPr>
                <w:sz w:val="15"/>
                <w:szCs w:val="15"/>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5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net loss</w:t>
            </w:r>
          </w:p>
        </w:tc>
        <w:tc>
          <w:tcPr>
            <w:tcW w:w="15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44"/>
        </w:trPr>
        <w:tc>
          <w:tcPr>
            <w:tcW w:w="57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Total recognized in other comprehensive income</w:t>
            </w:r>
          </w:p>
        </w:tc>
        <w:tc>
          <w:tcPr>
            <w:tcW w:w="1520" w:type="dxa"/>
            <w:vAlign w:val="bottom"/>
          </w:tcPr>
          <w:p>
            <w:pPr>
              <w:jc w:val="right"/>
              <w:ind w:right="10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(127)</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72"/>
        </w:trPr>
        <w:tc>
          <w:tcPr>
            <w:tcW w:w="57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recognized in net periodic benefit cost and other comprehensive income</w:t>
            </w:r>
          </w:p>
        </w:tc>
        <w:tc>
          <w:tcPr>
            <w:tcW w:w="1520" w:type="dxa"/>
            <w:vAlign w:val="bottom"/>
            <w:tcBorders>
              <w:top w:val="single" w:sz="8" w:color="auto"/>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180</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180</w:t>
            </w:r>
          </w:p>
        </w:tc>
      </w:tr>
      <w:tr>
        <w:trPr>
          <w:trHeight w:val="308"/>
        </w:trPr>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Items not yet recognized as a component of net periodic pension cost consist of the following:</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2"/>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40" w:type="dxa"/>
            <w:vAlign w:val="bottom"/>
            <w:tcBorders>
              <w:bottom w:val="single" w:sz="8" w:color="CCEEFF"/>
            </w:tcBorders>
            <w:gridSpan w:val="2"/>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December 31, 2017</w:t>
            </w:r>
          </w:p>
        </w:tc>
        <w:tc>
          <w:tcPr>
            <w:tcW w:w="32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2"/>
                <w:szCs w:val="12"/>
                <w:b w:val="1"/>
                <w:bCs w:val="1"/>
                <w:color w:val="auto"/>
                <w:w w:val="96"/>
              </w:rPr>
              <w:t>December 31, 2016</w:t>
            </w:r>
          </w:p>
        </w:tc>
      </w:tr>
      <w:tr>
        <w:trPr>
          <w:trHeight w:val="141"/>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Unamortized actuarial loss</w:t>
            </w:r>
          </w:p>
        </w:tc>
        <w:tc>
          <w:tcPr>
            <w:tcW w:w="36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ind w:right="1342"/>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2,719</w:t>
            </w:r>
          </w:p>
        </w:tc>
      </w:tr>
      <w:tr>
        <w:trPr>
          <w:trHeight w:val="134"/>
        </w:trPr>
        <w:tc>
          <w:tcPr>
            <w:tcW w:w="534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Accumulated other comprehensive loss</w:t>
            </w: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134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2,592</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5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2,719</w:t>
            </w:r>
          </w:p>
        </w:tc>
      </w:tr>
    </w:tbl>
    <w:p>
      <w:pPr>
        <w:spacing w:after="0" w:line="159"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4"/>
          <w:szCs w:val="14"/>
          <w:color w:val="auto"/>
        </w:rPr>
        <w:t>The estimated unamortized actuarial loss for the defined benefit pension plan that will be amortized from accumulated other comprehensive income into net periodic benefit cost over the next fiscal year will be $207,000 (gross of any tax effects).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4" w:right="7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The following table presents estimated future benefit payments for the next five years and thereafter as of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22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Estimated Future</w:t>
            </w:r>
          </w:p>
        </w:tc>
        <w:tc>
          <w:tcPr>
            <w:tcW w:w="0" w:type="dxa"/>
            <w:vAlign w:val="bottom"/>
          </w:tcPr>
          <w:p>
            <w:pPr>
              <w:spacing w:after="0"/>
              <w:rPr>
                <w:sz w:val="1"/>
                <w:szCs w:val="1"/>
                <w:color w:val="auto"/>
              </w:rPr>
            </w:pPr>
          </w:p>
        </w:tc>
      </w:tr>
      <w:tr>
        <w:trPr>
          <w:trHeight w:val="140"/>
        </w:trPr>
        <w:tc>
          <w:tcPr>
            <w:tcW w:w="2960" w:type="dxa"/>
            <w:vAlign w:val="bottom"/>
            <w:gridSpan w:val="2"/>
            <w:vMerge w:val="continue"/>
          </w:tcPr>
          <w:p>
            <w:pPr>
              <w:spacing w:after="0"/>
              <w:rPr>
                <w:sz w:val="12"/>
                <w:szCs w:val="12"/>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Pension Payments</w:t>
            </w:r>
          </w:p>
        </w:tc>
        <w:tc>
          <w:tcPr>
            <w:tcW w:w="0" w:type="dxa"/>
            <w:vAlign w:val="bottom"/>
          </w:tcPr>
          <w:p>
            <w:pPr>
              <w:spacing w:after="0"/>
              <w:rPr>
                <w:sz w:val="1"/>
                <w:szCs w:val="1"/>
                <w:color w:val="auto"/>
              </w:rPr>
            </w:pPr>
          </w:p>
        </w:tc>
      </w:tr>
      <w:tr>
        <w:trPr>
          <w:trHeight w:val="174"/>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2018</w:t>
            </w: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2,907</w:t>
            </w:r>
          </w:p>
        </w:tc>
        <w:tc>
          <w:tcPr>
            <w:tcW w:w="0" w:type="dxa"/>
            <w:vAlign w:val="bottom"/>
          </w:tcPr>
          <w:p>
            <w:pPr>
              <w:spacing w:after="0"/>
              <w:rPr>
                <w:sz w:val="1"/>
                <w:szCs w:val="1"/>
                <w:color w:val="auto"/>
              </w:rPr>
            </w:pPr>
          </w:p>
        </w:tc>
      </w:tr>
      <w:tr>
        <w:trPr>
          <w:trHeight w:val="152"/>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2019</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2020</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52"/>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52"/>
        </w:trPr>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2,492</w:t>
            </w:r>
          </w:p>
        </w:tc>
        <w:tc>
          <w:tcPr>
            <w:tcW w:w="0" w:type="dxa"/>
            <w:vAlign w:val="bottom"/>
          </w:tcPr>
          <w:p>
            <w:pPr>
              <w:spacing w:after="0"/>
              <w:rPr>
                <w:sz w:val="1"/>
                <w:szCs w:val="1"/>
                <w:color w:val="auto"/>
              </w:rPr>
            </w:pPr>
          </w:p>
        </w:tc>
      </w:tr>
      <w:tr>
        <w:trPr>
          <w:trHeight w:val="112"/>
        </w:trPr>
        <w:tc>
          <w:tcPr>
            <w:tcW w:w="2960" w:type="dxa"/>
            <w:vAlign w:val="bottom"/>
            <w:tcBorders>
              <w:bottom w:val="single" w:sz="8" w:color="CCEEFF"/>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pension payments</w:t>
            </w:r>
          </w:p>
        </w:tc>
        <w:tc>
          <w:tcPr>
            <w:tcW w:w="640" w:type="dxa"/>
            <w:vAlign w:val="bottom"/>
            <w:tcBorders>
              <w:bottom w:val="single" w:sz="8" w:color="auto"/>
            </w:tcBorders>
            <w:shd w:val="clear" w:color="auto" w:fill="CCEEFF"/>
          </w:tcPr>
          <w:p>
            <w:pPr>
              <w:jc w:val="right"/>
              <w:ind w:right="242"/>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8,135</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Make-Good Provision</w:t>
      </w:r>
    </w:p>
    <w:p>
      <w:pPr>
        <w:spacing w:after="0" w:line="3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and ending carrying amounts of the lease make-good provision is presented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204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r>
      <w:tr>
        <w:trPr>
          <w:trHeight w:val="222"/>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4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December 31, 2017</w:t>
            </w:r>
          </w:p>
        </w:tc>
        <w:tc>
          <w:tcPr>
            <w:tcW w:w="4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December 31, 2016</w:t>
            </w:r>
          </w:p>
        </w:tc>
      </w:tr>
      <w:tr>
        <w:trPr>
          <w:trHeight w:val="144"/>
        </w:trPr>
        <w:tc>
          <w:tcPr>
            <w:tcW w:w="570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Lease make-good provision, at January 1</w:t>
            </w:r>
          </w:p>
        </w:tc>
        <w:tc>
          <w:tcPr>
            <w:tcW w:w="44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5,146</w:t>
            </w:r>
          </w:p>
        </w:tc>
        <w:tc>
          <w:tcPr>
            <w:tcW w:w="4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5,228</w:t>
            </w:r>
          </w:p>
        </w:tc>
      </w:tr>
      <w:tr>
        <w:trPr>
          <w:trHeight w:val="163"/>
        </w:trPr>
        <w:tc>
          <w:tcPr>
            <w:tcW w:w="5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Liabilities incurred during the year</w:t>
            </w:r>
          </w:p>
        </w:tc>
        <w:tc>
          <w:tcPr>
            <w:tcW w:w="440" w:type="dxa"/>
            <w:vAlign w:val="bottom"/>
          </w:tcPr>
          <w:p>
            <w:pPr>
              <w:spacing w:after="0"/>
              <w:rPr>
                <w:sz w:val="14"/>
                <w:szCs w:val="14"/>
                <w:color w:val="auto"/>
              </w:rPr>
            </w:pPr>
          </w:p>
        </w:tc>
        <w:tc>
          <w:tcPr>
            <w:tcW w:w="1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3"/>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 settled during the year</w:t>
            </w:r>
          </w:p>
        </w:tc>
        <w:tc>
          <w:tcPr>
            <w:tcW w:w="44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163"/>
        </w:trPr>
        <w:tc>
          <w:tcPr>
            <w:tcW w:w="5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Accretion expense</w:t>
            </w:r>
          </w:p>
        </w:tc>
        <w:tc>
          <w:tcPr>
            <w:tcW w:w="4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r>
      <w:tr>
        <w:trPr>
          <w:trHeight w:val="163"/>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changes in foreign currency</w:t>
            </w:r>
          </w:p>
        </w:tc>
        <w:tc>
          <w:tcPr>
            <w:tcW w:w="4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4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5"/>
        </w:trPr>
        <w:tc>
          <w:tcPr>
            <w:tcW w:w="5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Lease make-good provision, at December 31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5,648</w:t>
            </w:r>
          </w:p>
        </w:tc>
        <w:tc>
          <w:tcPr>
            <w:tcW w:w="40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5,146</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12 - COMMITMENTS AND CONTINGENCIES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table identifies our known commitments and contingencies as of December 31, 2017:</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3"/>
                <w:szCs w:val="13"/>
                <w:b w:val="1"/>
                <w:bCs w:val="1"/>
                <w:color w:val="auto"/>
              </w:rPr>
              <w:t>Categories</w:t>
            </w:r>
          </w:p>
        </w:tc>
        <w:tc>
          <w:tcPr>
            <w:tcW w:w="510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3"/>
                <w:szCs w:val="13"/>
                <w:b w:val="1"/>
                <w:bCs w:val="1"/>
                <w:color w:val="auto"/>
              </w:rPr>
              <w:t>Nature; Company Policy on Recognition and/or Disclosure</w:t>
            </w:r>
            <w:r>
              <w:rPr>
                <w:rFonts w:ascii="Times New Roman" w:cs="Times New Roman" w:eastAsia="Times New Roman" w:hAnsi="Times New Roman"/>
                <w:sz w:val="14"/>
                <w:szCs w:val="14"/>
                <w:color w:val="auto"/>
                <w:vertAlign w:val="superscript"/>
              </w:rPr>
              <w:t>(2)</w:t>
            </w:r>
          </w:p>
        </w:tc>
        <w:tc>
          <w:tcPr>
            <w:tcW w:w="25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3"/>
                <w:szCs w:val="13"/>
                <w:b w:val="1"/>
                <w:bCs w:val="1"/>
                <w:color w:val="auto"/>
              </w:rPr>
              <w:t>Discussion Reference</w:t>
            </w:r>
          </w:p>
        </w:tc>
      </w:tr>
      <w:tr>
        <w:trPr>
          <w:trHeight w:val="16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COMMITMENTS</w:t>
            </w:r>
          </w:p>
        </w:tc>
        <w:tc>
          <w:tcPr>
            <w:tcW w:w="51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r>
      <w:tr>
        <w:trPr>
          <w:trHeight w:val="152"/>
        </w:trPr>
        <w:tc>
          <w:tcPr>
            <w:tcW w:w="2500" w:type="dxa"/>
            <w:vAlign w:val="bottom"/>
          </w:tcPr>
          <w:p>
            <w:pPr>
              <w:ind w:left="240"/>
              <w:spacing w:after="0" w:line="152" w:lineRule="exact"/>
              <w:rPr>
                <w:sz w:val="20"/>
                <w:szCs w:val="20"/>
                <w:color w:val="auto"/>
              </w:rPr>
            </w:pPr>
            <w:r>
              <w:rPr>
                <w:rFonts w:ascii="Times New Roman" w:cs="Times New Roman" w:eastAsia="Times New Roman" w:hAnsi="Times New Roman"/>
                <w:sz w:val="13"/>
                <w:szCs w:val="13"/>
                <w:color w:val="auto"/>
              </w:rPr>
              <w:t>Lease commitments</w:t>
            </w:r>
            <w:r>
              <w:rPr>
                <w:rFonts w:ascii="Times New Roman" w:cs="Times New Roman" w:eastAsia="Times New Roman" w:hAnsi="Times New Roman"/>
                <w:sz w:val="14"/>
                <w:szCs w:val="14"/>
                <w:color w:val="auto"/>
                <w:vertAlign w:val="superscript"/>
              </w:rPr>
              <w:t>(1)</w:t>
            </w:r>
          </w:p>
        </w:tc>
        <w:tc>
          <w:tcPr>
            <w:tcW w:w="51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Off-balance sheet disclosures relating to future minimum lease payments, mostly</w:t>
            </w:r>
          </w:p>
        </w:tc>
        <w:tc>
          <w:tcPr>
            <w:tcW w:w="2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i w:val="1"/>
                <w:iCs w:val="1"/>
                <w:color w:val="auto"/>
              </w:rPr>
              <w:t>Note 17 - Leases</w:t>
            </w:r>
          </w:p>
        </w:tc>
      </w:tr>
      <w:tr>
        <w:trPr>
          <w:trHeight w:val="171"/>
        </w:trPr>
        <w:tc>
          <w:tcPr>
            <w:tcW w:w="2500" w:type="dxa"/>
            <w:vAlign w:val="bottom"/>
          </w:tcPr>
          <w:p>
            <w:pPr>
              <w:spacing w:after="0"/>
              <w:rPr>
                <w:sz w:val="14"/>
                <w:szCs w:val="14"/>
                <w:color w:val="auto"/>
              </w:rPr>
            </w:pPr>
          </w:p>
        </w:tc>
        <w:tc>
          <w:tcPr>
            <w:tcW w:w="51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related to our operating cinemas on leased-facility model.</w:t>
            </w:r>
          </w:p>
        </w:tc>
        <w:tc>
          <w:tcPr>
            <w:tcW w:w="2560" w:type="dxa"/>
            <w:vAlign w:val="bottom"/>
          </w:tcPr>
          <w:p>
            <w:pPr>
              <w:spacing w:after="0"/>
              <w:rPr>
                <w:sz w:val="14"/>
                <w:szCs w:val="14"/>
                <w:color w:val="auto"/>
              </w:rPr>
            </w:pPr>
          </w:p>
        </w:tc>
      </w:tr>
      <w:tr>
        <w:trPr>
          <w:trHeight w:val="17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CONTINGENCIES</w:t>
            </w:r>
          </w:p>
        </w:tc>
        <w:tc>
          <w:tcPr>
            <w:tcW w:w="51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0160"/>
          </w:cols>
          <w:pgMar w:left="1000" w:top="298" w:right="739" w:bottom="1440" w:gutter="0" w:footer="0" w:header="0"/>
        </w:sectPr>
      </w:pPr>
    </w:p>
    <w:p>
      <w:pPr>
        <w:ind w:left="240" w:firstLine="6"/>
        <w:spacing w:after="0" w:line="258" w:lineRule="auto"/>
        <w:rPr>
          <w:sz w:val="20"/>
          <w:szCs w:val="20"/>
          <w:color w:val="auto"/>
        </w:rPr>
      </w:pPr>
      <w:r>
        <w:rPr>
          <w:rFonts w:ascii="Times New Roman" w:cs="Times New Roman" w:eastAsia="Times New Roman" w:hAnsi="Times New Roman"/>
          <w:sz w:val="13"/>
          <w:szCs w:val="13"/>
          <w:color w:val="auto"/>
        </w:rPr>
        <w:t>Insurance gain contingencies and derivative loss contingencies on demolition costs relating to recent earthquake incident</w:t>
      </w:r>
    </w:p>
    <w:p>
      <w:pPr>
        <w:spacing w:after="0" w:line="1" w:lineRule="exact"/>
        <w:rPr>
          <w:sz w:val="20"/>
          <w:szCs w:val="20"/>
          <w:color w:val="auto"/>
        </w:rPr>
      </w:pPr>
    </w:p>
    <w:p>
      <w:pPr>
        <w:ind w:left="240" w:right="380" w:firstLine="6"/>
        <w:spacing w:after="0" w:line="282" w:lineRule="auto"/>
        <w:rPr>
          <w:sz w:val="20"/>
          <w:szCs w:val="20"/>
          <w:color w:val="auto"/>
        </w:rPr>
      </w:pPr>
      <w:r>
        <w:rPr>
          <w:rFonts w:ascii="Times New Roman" w:cs="Times New Roman" w:eastAsia="Times New Roman" w:hAnsi="Times New Roman"/>
          <w:sz w:val="13"/>
          <w:szCs w:val="13"/>
          <w:color w:val="auto"/>
        </w:rPr>
        <w:t>Other Litigation matters, notably Derivative Litigation involving James J. Cotter Jr.</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3"/>
          <w:szCs w:val="13"/>
          <w:color w:val="auto"/>
        </w:rPr>
        <w:t>Gain contingencies relating to an insurance claim is recognized once collectability is probable; related loss contingencies is recognized when there is probable likelihood of incurrence and amount is reasonably estimable.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Similar policies for gain and loss contingencies as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-90805</wp:posOffset>
            </wp:positionV>
            <wp:extent cx="6447155" cy="2203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47155" cy="220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65" w:lineRule="auto"/>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i w:val="1"/>
          <w:iCs w:val="1"/>
          <w:color w:val="auto"/>
        </w:rPr>
        <w:t>Note 19 – Insurance Recoveries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on Impairment and Related Losses Recoverable due to Earthquake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Refer below for further discussion.</w:t>
      </w:r>
    </w:p>
    <w:p>
      <w:pPr>
        <w:spacing w:after="0" w:line="244" w:lineRule="exact"/>
        <w:rPr>
          <w:sz w:val="20"/>
          <w:szCs w:val="20"/>
          <w:color w:val="auto"/>
        </w:rPr>
      </w:pPr>
    </w:p>
    <w:p>
      <w:pPr>
        <w:sectPr>
          <w:pgSz w:w="11900" w:h="16838" w:orient="portrait"/>
          <w:cols w:equalWidth="0" w:num="3">
            <w:col w:w="2920" w:space="260"/>
            <w:col w:w="4400" w:space="240"/>
            <w:col w:w="2340"/>
          </w:cols>
          <w:pgMar w:left="1000" w:top="298" w:right="739" w:bottom="1440" w:gutter="0" w:footer="0" w:header="0"/>
          <w:type w:val="continuous"/>
        </w:sectPr>
      </w:pPr>
    </w:p>
    <w:p>
      <w:pPr>
        <w:ind w:left="100" w:hanging="92"/>
        <w:spacing w:after="0"/>
        <w:tabs>
          <w:tab w:leader="none" w:pos="100" w:val="left"/>
        </w:tabs>
        <w:numPr>
          <w:ilvl w:val="0"/>
          <w:numId w:val="92"/>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10"/>
          <w:szCs w:val="10"/>
          <w:color w:val="auto"/>
        </w:rPr>
        <w:t>Starting January 1, 2019, lease commitments relating to our operating cinema leases will be brought forward to our Consolidated Balance Sheet, as required by the new lease accounting model.</w:t>
      </w:r>
    </w:p>
    <w:p>
      <w:pPr>
        <w:spacing w:after="0" w:line="16" w:lineRule="exact"/>
        <w:rPr>
          <w:rFonts w:ascii="Times New Roman" w:cs="Times New Roman" w:eastAsia="Times New Roman" w:hAnsi="Times New Roman"/>
          <w:sz w:val="10"/>
          <w:szCs w:val="10"/>
          <w:color w:val="auto"/>
          <w:vertAlign w:val="superscript"/>
        </w:rPr>
      </w:pPr>
    </w:p>
    <w:p>
      <w:pPr>
        <w:ind w:left="100" w:hanging="92"/>
        <w:spacing w:after="0"/>
        <w:tabs>
          <w:tab w:leader="none" w:pos="100" w:val="left"/>
        </w:tabs>
        <w:numPr>
          <w:ilvl w:val="0"/>
          <w:numId w:val="92"/>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10"/>
          <w:szCs w:val="10"/>
          <w:color w:val="auto"/>
        </w:rPr>
        <w:t xml:space="preserve">Consistent with our accounting policy for loss and gain contingencies discussed in </w:t>
      </w:r>
      <w:r>
        <w:rPr>
          <w:rFonts w:ascii="Times New Roman" w:cs="Times New Roman" w:eastAsia="Times New Roman" w:hAnsi="Times New Roman"/>
          <w:sz w:val="10"/>
          <w:szCs w:val="10"/>
          <w:i w:val="1"/>
          <w:iCs w:val="1"/>
          <w:color w:val="auto"/>
        </w:rPr>
        <w:t>Note 2 – Summary of Significant Accounting Policies</w:t>
      </w:r>
      <w:r>
        <w:rPr>
          <w:rFonts w:ascii="Times New Roman" w:cs="Times New Roman" w:eastAsia="Times New Roman" w:hAnsi="Times New Roman"/>
          <w:sz w:val="10"/>
          <w:szCs w:val="10"/>
          <w:color w:val="auto"/>
        </w:rPr>
        <w:t xml:space="preserve"> and further discussed in more details below.</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color w:val="auto"/>
        </w:rPr>
        <w:t>Litigation Matters</w:t>
      </w:r>
    </w:p>
    <w:p>
      <w:pPr>
        <w:spacing w:after="0" w:line="3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4"/>
          <w:szCs w:val="14"/>
          <w:color w:val="auto"/>
        </w:rPr>
        <w:t>We are currently involved in certain legal proceedings and, as required, have accrued estimates of probable and estimable losses for the resolution of these claims, including legal costs.</w:t>
      </w:r>
    </w:p>
    <w:p>
      <w:pPr>
        <w:spacing w:after="0" w:line="251" w:lineRule="exact"/>
        <w:rPr>
          <w:sz w:val="20"/>
          <w:szCs w:val="20"/>
          <w:color w:val="auto"/>
        </w:rPr>
      </w:pPr>
    </w:p>
    <w:p>
      <w:pPr>
        <w:ind w:left="200" w:right="20" w:hanging="192"/>
        <w:spacing w:after="0" w:line="261" w:lineRule="auto"/>
        <w:tabs>
          <w:tab w:leader="none" w:pos="2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Where we are the </w:t>
      </w:r>
      <w:r>
        <w:rPr>
          <w:rFonts w:ascii="Times New Roman" w:cs="Times New Roman" w:eastAsia="Times New Roman" w:hAnsi="Times New Roman"/>
          <w:sz w:val="14"/>
          <w:szCs w:val="14"/>
          <w:i w:val="1"/>
          <w:iCs w:val="1"/>
          <w:u w:val="single" w:color="auto"/>
          <w:color w:val="auto"/>
        </w:rPr>
        <w:t>plaintiffs</w:t>
      </w:r>
      <w:r>
        <w:rPr>
          <w:rFonts w:ascii="Times New Roman" w:cs="Times New Roman" w:eastAsia="Times New Roman" w:hAnsi="Times New Roman"/>
          <w:sz w:val="14"/>
          <w:szCs w:val="14"/>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 w:lineRule="exact"/>
        <w:rPr>
          <w:rFonts w:ascii="Times New Roman" w:cs="Times New Roman" w:eastAsia="Times New Roman" w:hAnsi="Times New Roman"/>
          <w:sz w:val="14"/>
          <w:szCs w:val="14"/>
          <w:color w:val="auto"/>
        </w:rPr>
      </w:pPr>
    </w:p>
    <w:p>
      <w:pPr>
        <w:ind w:left="200" w:hanging="192"/>
        <w:spacing w:after="0" w:line="263" w:lineRule="auto"/>
        <w:tabs>
          <w:tab w:leader="none" w:pos="2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Where we are the </w:t>
      </w:r>
      <w:r>
        <w:rPr>
          <w:rFonts w:ascii="Times New Roman" w:cs="Times New Roman" w:eastAsia="Times New Roman" w:hAnsi="Times New Roman"/>
          <w:sz w:val="14"/>
          <w:szCs w:val="14"/>
          <w:i w:val="1"/>
          <w:iCs w:val="1"/>
          <w:u w:val="single" w:color="auto"/>
          <w:color w:val="auto"/>
        </w:rPr>
        <w:t>defendants</w:t>
      </w:r>
      <w:r>
        <w:rPr>
          <w:rFonts w:ascii="Times New Roman" w:cs="Times New Roman" w:eastAsia="Times New Roman" w:hAnsi="Times New Roman"/>
          <w:sz w:val="14"/>
          <w:szCs w:val="14"/>
          <w:color w:val="auto"/>
        </w:rPr>
        <w:t>,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time-to-time, we are involved with claims and lawsuits arising in the ordinary course of our business that may include contractual obligations, insurance claims, tax claims, employment matters, and anti-trust issues, among other matters.</w:t>
      </w:r>
    </w:p>
    <w:p>
      <w:pPr>
        <w:spacing w:after="0" w:line="11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All of these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Environmental and Asbestos Claims on Reading Legacy Operations</w:t>
      </w:r>
    </w:p>
    <w:p>
      <w:pPr>
        <w:spacing w:after="0" w:line="3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time-to-time, been named in and may in the future be named in various actions brought under applicable environmental laws. Also, we are in the real estate development business and may encounter from time-to-time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1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From time-to-time, there are claims brought against us relating to the exposure of former employees of our railroad operations to asbestos and coal dust. These are generally covered by an insurance settlement reached in September 1990 with our insurance providers. However, this insurance settlement does not cover litigation by people who were not our employees and who may claim second-hand exposure to asbestos, coal dust and/or other chemicals or elements now recognized as potentially causing cancer in humans. Our known exposure to these types of claims, asserted or probable of being asserted, is not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Tax Audit/Litigation</w:t>
      </w:r>
    </w:p>
    <w:p>
      <w:pPr>
        <w:spacing w:after="0" w:line="3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 xml:space="preserve">The Internal Revenue Service (the “IRS”) examined the tax return of Craig Corporation (“CRG”) for its tax year ended June 30, 1997. CRG was a stand-alone entity in the year of audit but is now a wholly-owned subsidiary of the Company. In Tax Court, CRG and the IRS agreed to compromise the claims made by the IRS against CRG, and the court order was entered on January 6, 2011. As of December 31, 2017, the remaining federal tax obligation was $2.8 million. For additional information, see </w:t>
      </w:r>
      <w:r>
        <w:rPr>
          <w:rFonts w:ascii="Times New Roman" w:cs="Times New Roman" w:eastAsia="Times New Roman" w:hAnsi="Times New Roman"/>
          <w:sz w:val="14"/>
          <w:szCs w:val="14"/>
          <w:i w:val="1"/>
          <w:iCs w:val="1"/>
          <w:color w:val="auto"/>
        </w:rPr>
        <w:t>Note 9</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Cotter Jr. Related Litigation Matters (including legal costs coverage)</w:t>
      </w:r>
    </w:p>
    <w:p>
      <w:pPr>
        <w:spacing w:after="0" w:line="3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The following table provides a list of legal matters and current status relating to James J. Cotter, Jr’s (“Cotter, Jr.”) employment termination, Mr. Cotter, Jr.’s subsequent derivative action brought against the Company and all of our Directors alleging, among other things, that such termination violated the fiduciary duties of such Directors, and Mr. Cotter, Jr.’s efforts to cause a change of control of the Company, with detailed discussions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447155" cy="1168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47155" cy="116840"/>
                    </a:xfrm>
                    <a:prstGeom prst="rect">
                      <a:avLst/>
                    </a:prstGeom>
                    <a:noFill/>
                  </pic:spPr>
                </pic:pic>
              </a:graphicData>
            </a:graphic>
          </wp:anchor>
        </w:drawing>
      </w:r>
    </w:p>
    <w:p>
      <w:pPr>
        <w:spacing w:after="0" w:line="317" w:lineRule="exact"/>
        <w:rPr>
          <w:sz w:val="20"/>
          <w:szCs w:val="20"/>
          <w:color w:val="auto"/>
        </w:rPr>
      </w:pPr>
    </w:p>
    <w:p>
      <w:pPr>
        <w:ind w:left="1100"/>
        <w:spacing w:after="0"/>
        <w:tabs>
          <w:tab w:leader="none" w:pos="3100" w:val="left"/>
          <w:tab w:leader="none" w:pos="4460" w:val="left"/>
          <w:tab w:leader="none" w:pos="7460" w:val="left"/>
        </w:tabs>
        <w:rPr>
          <w:sz w:val="20"/>
          <w:szCs w:val="20"/>
          <w:color w:val="auto"/>
        </w:rPr>
      </w:pPr>
      <w:r>
        <w:rPr>
          <w:rFonts w:ascii="Times New Roman" w:cs="Times New Roman" w:eastAsia="Times New Roman" w:hAnsi="Times New Roman"/>
          <w:sz w:val="13"/>
          <w:szCs w:val="13"/>
          <w:b w:val="1"/>
          <w:bCs w:val="1"/>
          <w:color w:val="auto"/>
        </w:rPr>
        <w:t>Description</w:t>
      </w:r>
      <w:r>
        <w:rPr>
          <w:sz w:val="20"/>
          <w:szCs w:val="20"/>
          <w:color w:val="auto"/>
        </w:rPr>
        <w:tab/>
      </w:r>
      <w:r>
        <w:rPr>
          <w:rFonts w:ascii="Times New Roman" w:cs="Times New Roman" w:eastAsia="Times New Roman" w:hAnsi="Times New Roman"/>
          <w:sz w:val="13"/>
          <w:szCs w:val="13"/>
          <w:b w:val="1"/>
          <w:bCs w:val="1"/>
          <w:color w:val="auto"/>
        </w:rPr>
        <w:t>Plaintiff</w:t>
      </w:r>
      <w:r>
        <w:rPr>
          <w:sz w:val="20"/>
          <w:szCs w:val="20"/>
          <w:color w:val="auto"/>
        </w:rPr>
        <w:tab/>
      </w:r>
      <w:r>
        <w:rPr>
          <w:rFonts w:ascii="Times New Roman" w:cs="Times New Roman" w:eastAsia="Times New Roman" w:hAnsi="Times New Roman"/>
          <w:sz w:val="13"/>
          <w:szCs w:val="13"/>
          <w:b w:val="1"/>
          <w:bCs w:val="1"/>
          <w:color w:val="auto"/>
        </w:rPr>
        <w:t>Filed with</w:t>
      </w:r>
      <w:r>
        <w:rPr>
          <w:sz w:val="20"/>
          <w:szCs w:val="20"/>
          <w:color w:val="auto"/>
        </w:rPr>
        <w:tab/>
      </w:r>
      <w:r>
        <w:rPr>
          <w:rFonts w:ascii="Times New Roman" w:cs="Times New Roman" w:eastAsia="Times New Roman" w:hAnsi="Times New Roman"/>
          <w:sz w:val="13"/>
          <w:szCs w:val="13"/>
          <w:b w:val="1"/>
          <w:bCs w:val="1"/>
          <w:color w:val="auto"/>
        </w:rPr>
        <w:t>Current Status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James J. Cotter, Jr. Legal Cases (collectively “Cotter, Jr. Derivative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644715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47155" cy="6985"/>
                    </a:xfrm>
                    <a:prstGeom prst="rect">
                      <a:avLst/>
                    </a:prstGeom>
                    <a:noFill/>
                  </pic:spPr>
                </pic:pic>
              </a:graphicData>
            </a:graphic>
          </wp:anchor>
        </w:drawing>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52"/>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Cotter, Jr. Derivative Litigation against all</w:t>
            </w:r>
          </w:p>
        </w:tc>
        <w:tc>
          <w:tcPr>
            <w:tcW w:w="1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Cotter, Jr.</w:t>
            </w: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Nevada District Court</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Claims against Directors Judy Codding, William Gould, Edward L. Kane, Douglas</w:t>
            </w:r>
          </w:p>
        </w:tc>
      </w:tr>
      <w:tr>
        <w:trPr>
          <w:trHeight w:val="163"/>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Directors on matters other than the handling by</w:t>
            </w:r>
          </w:p>
        </w:tc>
        <w:tc>
          <w:tcPr>
            <w:tcW w:w="10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McEachern and Michael Wrotniak were dismissed on December 29, 2017; court</w:t>
            </w:r>
          </w:p>
        </w:tc>
      </w:tr>
      <w:tr>
        <w:trPr>
          <w:trHeight w:val="163"/>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the Directors of the Patton Vision Unsolicited</w:t>
            </w:r>
          </w:p>
        </w:tc>
        <w:tc>
          <w:tcPr>
            <w:tcW w:w="10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trial for the remaining claim (Cotter vs. Cotter) was postponed at Cotter, Jr.’s</w:t>
            </w:r>
          </w:p>
        </w:tc>
      </w:tr>
      <w:tr>
        <w:trPr>
          <w:trHeight w:val="163"/>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Indication of Interest</w:t>
            </w:r>
          </w:p>
        </w:tc>
        <w:tc>
          <w:tcPr>
            <w:tcW w:w="10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request. No new trial date has been set, and it is anticipated that various summary</w:t>
            </w:r>
          </w:p>
        </w:tc>
      </w:tr>
      <w:tr>
        <w:trPr>
          <w:trHeight w:val="163"/>
        </w:trPr>
        <w:tc>
          <w:tcPr>
            <w:tcW w:w="2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judgment motions being brought by the Company and the Defendant Directors will</w:t>
            </w:r>
          </w:p>
        </w:tc>
      </w:tr>
      <w:tr>
        <w:trPr>
          <w:trHeight w:val="173"/>
        </w:trPr>
        <w:tc>
          <w:tcPr>
            <w:tcW w:w="28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be heard before the case is tried.</w:t>
            </w:r>
          </w:p>
        </w:tc>
      </w:tr>
      <w:tr>
        <w:trPr>
          <w:trHeight w:val="152"/>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Cotter, Jr. Derivative Litigation against all</w:t>
            </w:r>
          </w:p>
        </w:tc>
        <w:tc>
          <w:tcPr>
            <w:tcW w:w="1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Cotter, Jr.</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Nevada District Court</w:t>
            </w:r>
          </w:p>
        </w:tc>
        <w:tc>
          <w:tcPr>
            <w:tcW w:w="4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Dismissed as to all Directors on December 29, 2017.</w:t>
            </w:r>
          </w:p>
        </w:tc>
      </w:tr>
      <w:tr>
        <w:trPr>
          <w:trHeight w:val="16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Directors re handling by the Directors of</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6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unsolicited indication of interest by Patton</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71"/>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Vision, LLC.</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55"/>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Direct Case against the Company seeking</w:t>
            </w:r>
          </w:p>
        </w:tc>
        <w:tc>
          <w:tcPr>
            <w:tcW w:w="1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Cotter, Jr.</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Nevada District Court</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Summary judgment entered in favor of the Company on October 3, 2016.</w:t>
            </w:r>
          </w:p>
        </w:tc>
      </w:tr>
      <w:tr>
        <w:trPr>
          <w:trHeight w:val="163"/>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reimbursement and advancement of attorney’s</w:t>
            </w:r>
          </w:p>
        </w:tc>
        <w:tc>
          <w:tcPr>
            <w:tcW w:w="10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r>
      <w:tr>
        <w:trPr>
          <w:trHeight w:val="163"/>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fees incurred with respect to the Employment</w:t>
            </w:r>
          </w:p>
        </w:tc>
        <w:tc>
          <w:tcPr>
            <w:tcW w:w="10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r>
      <w:tr>
        <w:trPr>
          <w:trHeight w:val="173"/>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Arbitration</w:t>
            </w:r>
          </w:p>
        </w:tc>
        <w:tc>
          <w:tcPr>
            <w:tcW w:w="10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15"/>
                <w:szCs w:val="15"/>
                <w:color w:val="auto"/>
              </w:rPr>
            </w:pPr>
          </w:p>
        </w:tc>
      </w:tr>
      <w:tr>
        <w:trPr>
          <w:trHeight w:val="152"/>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Employment Arbitration</w:t>
            </w:r>
          </w:p>
        </w:tc>
        <w:tc>
          <w:tcPr>
            <w:tcW w:w="1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Cotter, Jr.</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American Arbitration</w:t>
            </w:r>
          </w:p>
        </w:tc>
        <w:tc>
          <w:tcPr>
            <w:tcW w:w="4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 Discovery Phase: hearing anticipated in October, 2018.</w:t>
            </w:r>
          </w:p>
        </w:tc>
      </w:tr>
      <w:tr>
        <w:trPr>
          <w:trHeight w:val="171"/>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Association</w:t>
            </w:r>
          </w:p>
        </w:tc>
        <w:tc>
          <w:tcPr>
            <w:tcW w:w="4640" w:type="dxa"/>
            <w:vAlign w:val="bottom"/>
          </w:tcPr>
          <w:p>
            <w:pPr>
              <w:spacing w:after="0"/>
              <w:rPr>
                <w:sz w:val="14"/>
                <w:szCs w:val="14"/>
                <w:color w:val="auto"/>
              </w:rPr>
            </w:pPr>
          </w:p>
        </w:tc>
      </w:tr>
      <w:tr>
        <w:trPr>
          <w:trHeight w:val="155"/>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T2 Partners Derivative Complaint</w:t>
            </w:r>
          </w:p>
        </w:tc>
        <w:tc>
          <w:tcPr>
            <w:tcW w:w="10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T2 Partners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Nevada District Court</w:t>
            </w: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Settled on October 6, 2016, without the payment of any monetary consideration or</w:t>
            </w:r>
          </w:p>
        </w:tc>
      </w:tr>
      <w:tr>
        <w:trPr>
          <w:trHeight w:val="175"/>
        </w:trPr>
        <w:tc>
          <w:tcPr>
            <w:tcW w:w="28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Management</w:t>
            </w:r>
          </w:p>
        </w:tc>
        <w:tc>
          <w:tcPr>
            <w:tcW w:w="1580" w:type="dxa"/>
            <w:vAlign w:val="bottom"/>
            <w:tcBorders>
              <w:bottom w:val="single" w:sz="8" w:color="auto"/>
            </w:tcBorders>
            <w:shd w:val="clear" w:color="auto" w:fill="CCEEFF"/>
          </w:tcPr>
          <w:p>
            <w:pPr>
              <w:spacing w:after="0"/>
              <w:rPr>
                <w:sz w:val="15"/>
                <w:szCs w:val="15"/>
                <w:color w:val="auto"/>
              </w:rPr>
            </w:pPr>
          </w:p>
        </w:tc>
        <w:tc>
          <w:tcPr>
            <w:tcW w:w="46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any reimbursement of attorneys fees.</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James J. Cotter, Jr., Litigation Matters.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u w:val="single" w:color="auto"/>
          <w:color w:val="auto"/>
        </w:rPr>
        <w:t>The James J. Cotter, Jr. Derivative Litigation</w:t>
      </w:r>
      <w:r>
        <w:rPr>
          <w:rFonts w:ascii="Times New Roman" w:cs="Times New Roman" w:eastAsia="Times New Roman" w:hAnsi="Times New Roman"/>
          <w:sz w:val="14"/>
          <w:szCs w:val="14"/>
          <w:color w:val="auto"/>
        </w:rPr>
        <w:t>: On June 12, 2015, the Board of Directors terminated James J. Cotter, Jr. as the President and Chief Executive Officer of our Company. That same day, Mr. Cotter, Jr. filed a lawsuit, styled as both an individual and a derivative action, and titled “</w:t>
      </w:r>
      <w:r>
        <w:rPr>
          <w:rFonts w:ascii="Times New Roman" w:cs="Times New Roman" w:eastAsia="Times New Roman" w:hAnsi="Times New Roman"/>
          <w:sz w:val="14"/>
          <w:szCs w:val="14"/>
          <w:i w:val="1"/>
          <w:iCs w:val="1"/>
          <w:color w:val="auto"/>
        </w:rPr>
        <w:t>James J. Cotter, Jr., individually and derivatively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behalf of Reading International, Inc. vs. Margaret Cotter, et al.” </w:t>
      </w:r>
      <w:r>
        <w:rPr>
          <w:rFonts w:ascii="Times New Roman" w:cs="Times New Roman" w:eastAsia="Times New Roman" w:hAnsi="Times New Roman"/>
          <w:sz w:val="14"/>
          <w:szCs w:val="14"/>
          <w:color w:val="auto"/>
        </w:rPr>
        <w:t>Case No,: A-15-719860-V, Dept. XI, against our Company and each of our then sitting Directors (Ellen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Cotter, Margaret Cotter, Guy Adams, William Gould, Edward Kane, Douglas McEachern, and Tim Storey) in the Eighth Judicial District Court of the State of Nevada for Clark County (the “Nevada District Court”). Since that date, our Company has been engaged in ongoing litigation with Mr. Cotter, Jr. with respect to his claims against our Directors. Mr. Cotter, Jr. has over this period of time twice amended his complaint, removing his individual claims and withdrawing his claims against Tim Storey (but reserving the right to reinstitute such claims), adding claims relating to actions taken by our Board since the filing of his original complaint and adding as defendants two of our directors who were not on our Board at the time of his termination: Judy Codding and Michael Wrotniak. Mr. Cotter, Jr.’s lawsuit, as amended from time to time, is referred to herein as the “Cotter Jr. Derivative Action” and his complaint, as amended from time to time, is referred to herein as the “Cotter Jr. Derivative Complaint.” The defendant directors named in the Cotter Jr. Derivative Complaint, from time to time, are referred to herein as the “Defendant Directors.”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Cotter Jr. Derivative Complaint alleges among other things, that the Defendant Directors breached their fiduciary duties to the Company by terminating Mr. Cotter, Jr. as President and Chief Executive Officer, continuing to make use of the Executive Committee that has been in place for more than the past ten years (but which no longer includes Mr. Cotter, Jr. as a member), making allegedly potentially misleading statements in our Company’s press releases and filings with the SEC, paying certain compensation to Ellen Cotter, allowing the Cotter Estate to make use of Class A Stock to pay for the exercise of certain long outstanding stock options to acquire 100,000 shares of Class B Stock (the “Cotter Estate Stock Options”) held of record by the Cotter Estate and determined by the Nevada District Court to be assets of the Cotter Estate, and allowing Ellen Cotter and Margaret Cotter to vote the 100,000 shares of Class B Stock issued upon the exercise of such options, appointing Ellen Cotter as President and Chief Executive Officer, appointing Margaret Cotter as Executive Vice President-Real Estate Management and Development-NYC, and the way in which the Board handled an unsolicited indication of interest made by a third party to acquire all of the stock of our Company. In the lawsuit, Mr. Cotter, Jr. seeks reinstatement as President and Chief Executive Officer, a declaration that Ellen Cotter and Margaret Cotter may not vote the above referenced 100,000 shares of Class B Stock, and alleges as damages fluctuations in the price for our Company’s shares after the announcement of his termination as President and Chief Executive Officer and certain unspecified damages to our Company’s reputation.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313" w:right="739" w:bottom="1440" w:gutter="0" w:footer="0" w:header="0"/>
        </w:sectPr>
      </w:pPr>
    </w:p>
    <w:bookmarkStart w:id="94" w:name="page95"/>
    <w:bookmarkEnd w:id="94"/>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29, 2017, the Nevada District Court entered its final order memorializing its determination on December 11, 2017 that Mr. Cotter, Jr., had failed to raise any genuine issue of material fact relating to the disinterestedness and/or independence of Directors Codding, Gould, Kane, McEachern and Wrotniak (the “Dismissed Directors”), and dismissing with prejudice all claims against them. Mr. Cotter, Jr., has appealed this final order to the Nevada Supreme Court. In that same final order, the Nevada District Court also memorialized its dismissal of all claims based upon what the Defendant’ Directors action in regard to what Mr. Cotter, Jr., characterize as an “offer” by Patton Vision, LLC (“Patton Vision”), to purchase all of the outstanding stock of our Company. The Nevada District Court ruled that Mr. Cotter, Jr., had failed “to show damages relating to an unenforceable, unsolicited, nonbinding offer.” Mr. Cotter, Jr., has appealed to the Nevada Supreme Court the dismissal with prejudice of the Dismissed Directors. The Defendant Directors have taken advantage of the appeal by Mr. Cotter, Jr., to appeal certain other ruling by the Nevada District Court pertaining to other motions for summary judgement brought by the Defendant Directors.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Also on December 29, 2017, the Board of Directors, by votes of 5 to 1 with 3 directors abstaining, voted to ratify the decision made by the Board of Directors on June 12, 2017, to terminate Mr. Cotter, Jr., as our Company’s President and Chief Executive Officer and to ratify the decision made by the Board’s Compensation and Stock Options Committee on September 21, 2015, to permit the Estate of James J. Cotter, Sr., to use shares of Class A Common Stock to exercise the Cotter Estate Stock Options. Voting in favor of the ratification motions were directors Codding, Gould, Kane, McEachern and Wrotniak. Voting against ratification was Mr. Cotter, Jr. Abstaining were directors Guy Adams, Ellen Cotter and Margaret Cotter.</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trial of the remaining issues in the case against the remaining defendants in that case, which was scheduled to begin on January 8, 2018, has been continued by the Nevada District Court at the request of Mr. Cotter, Jr. Mr. Cotter, Jr.’s request for a continuance was brought before the Nevada District Court on Monday, January 8, 2018, and came as a surprise to our Company and the Defendant Directors since Plaintiff counsel had advised the Nevada District Court as late as the afternoon of Friday, January 5, 2018, that Mr. Cotter, Jr. was prepared to begin jury selection that following Monday. Mr. Cotter, Jr.’s motion request for a continuance was based on an asserted medical condition (the nature of which has not been disclosed to our Company or the Defendant Directors). No new trial date has been set.</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the meantime, the Nevada District Court has granted the Defendant Directors and the Company leave to file renewed motions for summary judgment arising out of the Nevada District Court’s dismissal of the Dismissed Directors, including a motion based on the fact that Mr. Cotter, Jr.’s claims regarding his termination and the exercise of the Cotter Estate Stock Options have since been ratified by the Dismissed Directors. The Nevada District Court has granted limited discovery regarding the summary judgment motion based upon ratification. The Company expects that these renewed motions for summary judgment will be filed in April 2018, and the next status conference with the Nevada District Court has been set for April 6, 2018.</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u w:val="single" w:color="auto"/>
          <w:color w:val="auto"/>
        </w:rPr>
        <w:t>The James J. Cotter, Jr., Employment Arbitration</w:t>
      </w:r>
      <w:r>
        <w:rPr>
          <w:rFonts w:ascii="Times New Roman" w:cs="Times New Roman" w:eastAsia="Times New Roman" w:hAnsi="Times New Roman"/>
          <w:sz w:val="14"/>
          <w:szCs w:val="14"/>
          <w:color w:val="auto"/>
        </w:rPr>
        <w:t>: In addition, our Company is in arbitration with Mr. Cotter, Jr. (Reading International, Inc. v. James J. Cotter, AAA Case No. 01-15-0004-2384, filed July 2015) (the “Cotter Jr. Employment Arbitration”) seeking declaratory relief and defending claims asserted by Mr. Cotter, Jr. On January 20, 2017, Mr. Cotter Jr. filed a First Amended Counter-Complaint which includes claims of breach of contract, contractual indemnification, retaliation, wrongful termination in violation of California Labor Code § 1102.5, wrongful discharge, and violations of California Code of Procedure § 1060 based on allegations of unlawful and unfair conduct. Mr. Cotter, Jr. seeks compensatory damages estimated by his counsel at more than $1.2 million, plus unquantified special and punitive damages, penalties, interest and attorney’s fees. On April 9, 2017, the Arbitrator granted without leave to amend the Company’s motion to dismiss Mr. Cotter, Jr.’s claims for retaliation, violation of labor code §1102.5 and wrongful discharge in violation of public policy. The Cotter Jr. Employment Arbitration is in the discovery phase.</w:t>
      </w:r>
    </w:p>
    <w:p>
      <w:pPr>
        <w:spacing w:after="0" w:line="1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u w:val="single" w:color="auto"/>
          <w:color w:val="auto"/>
        </w:rPr>
        <w:t>The James J. Cotter, Jr., Fee Reimbursement Litigation</w:t>
      </w:r>
      <w:r>
        <w:rPr>
          <w:rFonts w:ascii="Times New Roman" w:cs="Times New Roman" w:eastAsia="Times New Roman" w:hAnsi="Times New Roman"/>
          <w:sz w:val="14"/>
          <w:szCs w:val="14"/>
          <w:color w:val="auto"/>
        </w:rPr>
        <w:t>: Mr. Cotter, Jr. also brought a direct action in the Nevada District Court (</w:t>
      </w:r>
      <w:r>
        <w:rPr>
          <w:rFonts w:ascii="Times New Roman" w:cs="Times New Roman" w:eastAsia="Times New Roman" w:hAnsi="Times New Roman"/>
          <w:sz w:val="14"/>
          <w:szCs w:val="14"/>
          <w:i w:val="1"/>
          <w:iCs w:val="1"/>
          <w:color w:val="auto"/>
        </w:rPr>
        <w:t>James J. Cotter, Jr. v. Reading International,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 a Nevada corporation; Does 1-100 and Roe Entities, 1-100, inclusive, Case No. A-16-735305-B</w:t>
      </w:r>
      <w:r>
        <w:rPr>
          <w:rFonts w:ascii="Times New Roman" w:cs="Times New Roman" w:eastAsia="Times New Roman" w:hAnsi="Times New Roman"/>
          <w:sz w:val="14"/>
          <w:szCs w:val="14"/>
          <w:color w:val="auto"/>
        </w:rPr>
        <w:t>) seeking advancement of attorney’s fees incurred in the Cotter Jr.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Employment Arbitration. Summary judgment was entered against Mr. Cotter, Jr. with respect to that direct action on October 3, 2016.</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95" w:name="page96"/>
    <w:bookmarkEnd w:id="95"/>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The T2 Derivative Litigation</w:t>
      </w:r>
      <w:r>
        <w:rPr>
          <w:rFonts w:ascii="Times New Roman" w:cs="Times New Roman" w:eastAsia="Times New Roman" w:hAnsi="Times New Roman"/>
          <w:sz w:val="14"/>
          <w:szCs w:val="14"/>
          <w:color w:val="auto"/>
        </w:rPr>
        <w:t>: For a period of approximately 12 months, between August 6, 2015 and August 4, 2016, our Company and our directors other than Mr. Cotter, Jr. were subject to a derivative lawsuit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Pacific Capital Management, LLC, a Delaware limited liability company (the “T2 Plaintiffs”), derivatively on behalf of Reading International, Inc. vs. Margaret Cotter, Ellen Cotter, Guy Adams, Edward Kane, Douglas McEachern, Timothy Storey, William Gould and Does 1 through 100, inclusive, as defendants, and, Reading International, Inc., a Nevada corporation, as Nominal Defendant. That complaint was subsequently amended (as amended the “T2 Derivative Complaint”) to add as defendants Directors Judy Codding and Michael Wrotniak (collectively with the directors initially named the “T2 Defendant Directors”) and S. Craig Tompkins, our Company’s legal counsel (collectively with the T2 Defendant Directors, the “T2 Defendants”). The T2 Derivative Action was settled pursuant to a Settlement Agreement between the parties dated August 4, 2016, which as modified was approved by the Nevada District Court on October 6, 2016. The District Court’s Order provided for the dismissal with prejudice of all claims contained in the T2 Plaintiffs’ First Amended Complaint and provide that each side would be responsible for its own attorneys’ fees.</w:t>
      </w:r>
    </w:p>
    <w:p>
      <w:pPr>
        <w:spacing w:after="0" w:line="3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the joint press release issued by our Company and the T2 Plaintiffs on July 13, 2016, representatives of the T2 Plaintiffs stated as follows: </w:t>
      </w:r>
      <w:r>
        <w:rPr>
          <w:rFonts w:ascii="Times New Roman" w:cs="Times New Roman" w:eastAsia="Times New Roman" w:hAnsi="Times New Roman"/>
          <w:sz w:val="14"/>
          <w:szCs w:val="14"/>
          <w:i w:val="1"/>
          <w:iCs w:val="1"/>
          <w:color w:val="auto"/>
        </w:rPr>
        <w:t>"We are pleased with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conclusions reached by our investigations as Plaintiff Stockholders and now firmly believe that the Reading Board of Directors has and will continue to protect stockholder interests and will continue to work to maximize shareholder value over the long-term. We appreciate the Company's willingness to engage in open dialogue and are excited about the Company's prospects. Our questions about the termination of James Cotter, Jr., and various transactions between Reading and members of the Cotter family-or entities they control-have been definitively addressed and put to rest. We are impressed by measures the Reading Board has made over the past year to further strengthen corporate governance. We fully support the Reading Board and management team and their strategy to create stockholder value.”</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T2 Plaintiffs alleged in their T2 Derivative Complaint various violations of fiduciary duty, abuse of control, gross mismanagement and corporate waste by the T2 Defendant Directors. More specifically the T2 Derivative Complaint sought the reinstatement of James J. Cotter, Jr. as President and Chief Executive Officer, an order setting aside the election results from the 2015 Annual Meeting of Stockholders, based on an allegation that Ellen Cotter and Margaret Cotter were not entitled to vote the shares of Class B Common Stock held by the Cotter Estate and the Cotter Trust, and certain monetary damages, as well as equitable injunctive relief, attorney fees and costs of suit. In May 2016, the T2 Plaintiffs unsuccessfully sought a preliminary injunction (1) enjoining the Inspector of Elections from counting at our 2016 Annual Meeting of Stockholders any proxies purporting to vote either the 327,808 Class B shares held of record by the Cotter Estate or the 696,080 Class B shares held of record by the Cotter Trust, and (2) enjoining Ellen Cotter, Margaret Cotter and James J. Cotter, Jr. from voting the above referenced shares at the 2016 Annual Meeting of Stockholders. This request for preliminary injunctive relief was denied by the Nevada District Court after a hearing on May 26, 2016.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The Cotter Trust Litigation</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Up until his death on September 13, 2014, James J. Cotter, Sr., the father of Ellen Cotter, James J. Cotter, Jr. and Margaret Cotter, was our controlling stockholder, having the sole power to vote approximately 66.9% of the outstanding voting stock of the Company. Under applicable Nevada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Since the death of Mr. Cotter, Sr., disputes have arisen among Ellen Cotter, James J. Cotter, Jr. and Margaret Cotter concerning the voting control and disposition of those shares. At the present time, Mr. Cotter, Jr., is seeking the in the Superior Court of the State of California, County of Los Angeles (the “California Superior Court”), in the case captioned </w:t>
      </w:r>
      <w:r>
        <w:rPr>
          <w:rFonts w:ascii="Times New Roman" w:cs="Times New Roman" w:eastAsia="Times New Roman" w:hAnsi="Times New Roman"/>
          <w:sz w:val="14"/>
          <w:szCs w:val="14"/>
          <w:i w:val="1"/>
          <w:iCs w:val="1"/>
          <w:color w:val="auto"/>
        </w:rPr>
        <w:t>In re James J. Cotter Living Trust dated August 1, 2000</w:t>
      </w:r>
      <w:r>
        <w:rPr>
          <w:rFonts w:ascii="Times New Roman" w:cs="Times New Roman" w:eastAsia="Times New Roman" w:hAnsi="Times New Roman"/>
          <w:sz w:val="14"/>
          <w:szCs w:val="14"/>
          <w:color w:val="auto"/>
        </w:rPr>
        <w:t xml:space="preserve"> (Case No. BP159755) (the “Trust Case”) the appointment of a trustee ad litem to market and potentially sell a controlling interest in our Company. In light of our Board’s determination that it would be in the best interests of our Company and our stockholders generally to continue to pursue our Company’s business plan, and not to sell the Company at this time, the potential disruption to the achievement of that business plan and to the business and affairs of our Company generally if there were to be a change of control transaction at this time, the commitment of Ellen Cotter and Margaret Cotter to the pursuit and fulfilment of that business plan, our Company has made filings in the California Superior Court opposing such an appointment of a trustee ad litem.</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96" w:name="page97"/>
    <w:bookmarkEnd w:id="96"/>
    <w:p>
      <w:pPr>
        <w:jc w:val="both"/>
        <w:spacing w:after="0" w:line="265" w:lineRule="auto"/>
        <w:rPr>
          <w:sz w:val="20"/>
          <w:szCs w:val="20"/>
          <w:color w:val="auto"/>
        </w:rPr>
      </w:pPr>
      <w:r>
        <w:rPr>
          <w:rFonts w:ascii="Times New Roman" w:cs="Times New Roman" w:eastAsia="Times New Roman" w:hAnsi="Times New Roman"/>
          <w:sz w:val="14"/>
          <w:szCs w:val="14"/>
          <w:color w:val="auto"/>
        </w:rPr>
        <w:t>As of December 31, 2017, according to the books of the Company, the Living Trust established by Declaration of Trust dated June 5, 2013, by James J. Cotter, Sr. (the “Cotter Trust”), held of record 696,080 shares of our Class B Stock constituting approximately 41.4% of the voting power of our outstanding capital stock. According to the books of the Company, the Cotter Estate as of that date held of record an additional 427,808 shares of Cass B Stock, constituting approximately 25.5% of the voting power of our outstanding capital stock. We are advised, based upon public filings made by one or more of Ellen Cotter, Margaret Cotter and James J. Cotter, Jr. (the “Cotter Filings”) that the Cass B Stock currently held of record by the Cotter Estate will eventually pour over into the Cotter Trust. We are further advised from the Cotter Filings that the Cotter Trust also provides for the establishment of a voting trust (the “Cotter Voting Trust”) which will eventually hold the Cass B Stock currently held by the Cotter Estate and the Cotter Trust. At the present time, however, such Cass B Stock is held of record by the Cotter Trust and the Cotter Estate, respectively.</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December 22, 2014, the District Court of Clark County, Nevada, (the “Nevada District Court”) appointed Ellen Cotter and Margaret Cotter as co-executors of the Cotter Estate. While no final ruling has been issued, the California Superior Court has, through the issuance of a Statement of Determination, in effect determined (subject to appeal) that Ellen Cotter and Margaret Cotter are the Co-Trustees of the Cotter Trust and that Margaret Cotter is the sole Trustee of the Voting Trust. Accordingly, the Company believes that Ellen Cotter and Margaret Cotter as the Co-Trustees of the Cotter Trust have voting control over the shares held by the Cotter Trust and as the Co-Executors of the Cotter Estate have voting control over the shares held by the Cotter Estate (including the 100,000 shares of Cass B Stock acquired by the Cotter Estate through the exercise of the Cotter Estate Stock Options) and which collectively represent 66.9% of our Company’s Cass B Stock. Taking into account Ellen Cotter and Margaret Cotter’s personal holdings of voting stock Ellen Cotter and Margaret Cotter have the power to vote Cass B Stock representing 71.9% of our Company’s outstanding voting power. However, the California Superior Court’s ruling is subject to appeal, and no assurances can be given that Mr. Cotter, Jr., will not appeal the determination of the California Superior Court as to voting control over the Cass B Stock held by the Cotter Trust and/or the Voting Trust.</w:t>
      </w:r>
    </w:p>
    <w:p>
      <w:pPr>
        <w:spacing w:after="0" w:line="14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We understand from public filings made by Ellen Cotter and Margaret Cotter and public filings made by James J. Cotter, that James J. Cotter, Jr. is the first alternate trustee of the Voting Trust, in the event that Margaret Cotter is unable or unwilling to serve as trustee.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February 8, 2017, James Cotter, Jr. filed in the Trust Case an Ex Parte Petition for Appointment of a trustee ad litem and of a guardian ad litem for the benefit of Cotter, Sr.’s, minor grandchildren (two of whom are the children of Margaret Cotter and three of whom are the children of James Cotter, Jr., and who are referred to herein as the “Cotter Grandchildren”). Mr. Cotter, Jr., seeks the appointment of a trustee ad litem, to evaluate the non-binding indication of interest sent by Patton Vision, to the Trustees of the Cotter Trust to acquire the RDI shares held by the Cotter Trust at $18.50 per share (referred to in Mr. Cotter, Jr’s pleadings as the “Offer”) and to take reasonable steps to act on the “Offer” in the trustee’s sole discretion. Specifically, Mr. Cotter Jr. sought an order “granting the trustee ad litem with full power, authority, and protections under the Cotter Trust and California trust law, as any other named trustee would have, to evaluate the Offer, conduct due diligence, negotiate with Patton Vision or any other potential offerors, and take all actions necessary or appropriate to consummate the sale of the Cotter Trust’s RDI shares, including but not limited to:</w:t>
      </w:r>
    </w:p>
    <w:p>
      <w:pPr>
        <w:spacing w:after="0" w:line="144" w:lineRule="exact"/>
        <w:rPr>
          <w:sz w:val="20"/>
          <w:szCs w:val="20"/>
          <w:color w:val="auto"/>
        </w:rPr>
      </w:pPr>
    </w:p>
    <w:p>
      <w:pPr>
        <w:ind w:left="200" w:hanging="192"/>
        <w:spacing w:after="0"/>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communicate solely with Patton Vision regarding their Offer to purchase the Cotter Trust’s RDI shares;</w:t>
      </w:r>
    </w:p>
    <w:p>
      <w:pPr>
        <w:spacing w:after="0" w:line="27"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solely and exclusively all offers for the purchase of the Cotter Trust’s RDI shares;</w:t>
      </w:r>
    </w:p>
    <w:p>
      <w:pPr>
        <w:spacing w:after="0" w:line="12"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purchase and sale agreements with respect to the Cotter Trust’s RDI shares;</w:t>
      </w:r>
    </w:p>
    <w:p>
      <w:pPr>
        <w:spacing w:after="0" w:line="12" w:lineRule="exact"/>
        <w:rPr>
          <w:rFonts w:ascii="Times New Roman" w:cs="Times New Roman" w:eastAsia="Times New Roman" w:hAnsi="Times New Roman"/>
          <w:sz w:val="14"/>
          <w:szCs w:val="14"/>
          <w:color w:val="auto"/>
        </w:rPr>
      </w:pPr>
    </w:p>
    <w:p>
      <w:pPr>
        <w:ind w:left="200" w:hanging="192"/>
        <w:spacing w:after="0" w:line="258" w:lineRule="auto"/>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all actions necessary to carry out the terms, conditions, and obligations of any purchase and sale agreement with respect to the Cotter Trust’s RDI shares, including negotiating any modifications thereto;</w:t>
      </w:r>
    </w:p>
    <w:p>
      <w:pPr>
        <w:ind w:left="200" w:hanging="192"/>
        <w:spacing w:after="0"/>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all proceeds of sale from the Cotter Trust’s RDI shares;</w:t>
      </w:r>
    </w:p>
    <w:p>
      <w:pPr>
        <w:spacing w:after="0" w:line="12" w:lineRule="exact"/>
        <w:rPr>
          <w:rFonts w:ascii="Times New Roman" w:cs="Times New Roman" w:eastAsia="Times New Roman" w:hAnsi="Times New Roman"/>
          <w:sz w:val="14"/>
          <w:szCs w:val="14"/>
          <w:color w:val="auto"/>
        </w:rPr>
      </w:pPr>
    </w:p>
    <w:p>
      <w:pPr>
        <w:ind w:left="200" w:hanging="192"/>
        <w:spacing w:after="0" w:line="258" w:lineRule="auto"/>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to the co-trustees of the Cotter Trust, namely Margaret Cotter, Ellen Cotter, and James J. Cotter, Jr., net proceeds of the sale of the Cotter Trust’s RDI shares to be invested, managed and distributed in accordance with the terms of the Cotter Trust;</w:t>
      </w:r>
    </w:p>
    <w:p>
      <w:pPr>
        <w:ind w:left="200" w:hanging="192"/>
        <w:spacing w:after="0" w:line="258" w:lineRule="auto"/>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investment advisors, tax advisors, accountants, attorneys , or any other advisors the trustee ad litem deems necessary and reasonable, in his or her sole discretion, to carry out his powers; and,</w:t>
      </w:r>
    </w:p>
    <w:p>
      <w:pPr>
        <w:ind w:left="200" w:hanging="192"/>
        <w:spacing w:after="0"/>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temporarily suspending James J. Cotter, Jr., Margaret and Ellen’s powers with respect to all of the foregoing matters until further order of this Court.”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97" w:name="page98"/>
    <w:bookmarkEnd w:id="97"/>
    <w:p>
      <w:pPr>
        <w:jc w:val="both"/>
        <w:spacing w:after="0" w:line="265" w:lineRule="auto"/>
        <w:rPr>
          <w:sz w:val="20"/>
          <w:szCs w:val="20"/>
          <w:color w:val="auto"/>
        </w:rPr>
      </w:pPr>
      <w:r>
        <w:rPr>
          <w:rFonts w:ascii="Times New Roman" w:cs="Times New Roman" w:eastAsia="Times New Roman" w:hAnsi="Times New Roman"/>
          <w:sz w:val="14"/>
          <w:szCs w:val="14"/>
          <w:color w:val="auto"/>
        </w:rPr>
        <w:t>On February 14, 2018, the California Superior Court issued its Statement of Decision announcing its determination to appoint a temporary trustee ad litem (the “TTAL”) “with the narrow and specific authority to obtain offers to purchase the RDI stock in the voting trust, but not to exercise any other powers without court approval, specifically the sale of the company or any other powers possessed by the trustees.” No TTAL has been appointed. The California Superior Court has directed the parties to either agree upon a TTAL, or in the alternative to submit to the court three acceptable names. No time line is specified in the Statement of Decision for the appointment of a TTAL or for the execution of such person’s charge to “obtain offers to purchase RDI stock in the voting trust.” In so far as we are aware, based upon public filings and our internal records, at the present time the voting trust does not own any shares of RDI stock. The shares which are anticipated to flow into the voting trust are, insofar as our Company is aware, currently owned by the Cotter Estate and the Cotter Trust.</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California Superior Court, in the Trust Case, has jurisdiction over the Cotter Trust, which as described in more detail above, currently owns 41.4% of our Class B Stock, and, at such time as the Cotter Estate is probated, may receive up to an additional 25.5% of our Class B Stock, has jurisdiction over a potentially controlling block of our voting power. Should the California Superior Court order the sale of the Trusts’ Class B Stock and such sale be completed, then there may be a change of control of our Company, depending on, among other things, who the ultimate purchaser(s) of such shares might be, the number of shares of Class B Stock distributed by the Cotter Estate to the Cotter Trust, and whether the California Superior Court orders a sale of all or only some portion to the Class B Stock held by the Cotter Trust.</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Costs of Litigation/Arbitration</w:t>
      </w:r>
      <w:r>
        <w:rPr>
          <w:rFonts w:ascii="Times New Roman" w:cs="Times New Roman" w:eastAsia="Times New Roman" w:hAnsi="Times New Roman"/>
          <w:sz w:val="14"/>
          <w:szCs w:val="14"/>
          <w:color w:val="auto"/>
        </w:rPr>
        <w:t>: Our Company is and was legally obligated to cover the costs and expenses incurred by our Defendant Directors in defending the Cotter Jr. Derivative Action and the T2 Derivative Action. Furthermore, although in a derivative action the stockholder plaintiff seeks only damages or other relief for the benefit of our Company, and not for the stockholder plaintiff’s individual benefit and, accordingly, although we are, at least in theory, only a nominal defendant, as a practical matter our Company has a direct interest in defending against Mr. Cotter’s claims and opposing the remedies he is seeking. Mr. Cotter, Jr. is, among other things, (a) seeking an order that our Board’s termination of Mr. Cotter, Jr. was ineffective and demanding, as a remedy, that he be reinstated as the President and Chief Executive Officer of our Company, (b) seeking an order limiting the use of our Board’s Executive Committee, and (c) asserting that our Company made has materially misleading statements in certain press releases and filings with the SEC. Accordingly, our Company is also incurring, on its own account, significant cost and expense defending the decision to terminate Mr. Cotter, Jr. as President and Chief Executive Officer, its board committee structure, and the adequacy of those press releases and filings, in addition to its costs incurred in responding to discovery demands and satisfying indemnity obligations to the Defendant Directors. Likewise, in connection with the T2 Derivative Action, our Company incurred substantial costs defending claims related to the defense of claims relating to the termination of Mr. Cotter, Jr., opposing his reinstatement, and defending the conduct of its annual meetings. Cost incurred in the Cotter Jr. Employment Arbitration and in the defense of the Cotter Jr. Attorney’s fees case were direct costs of our Company.</w:t>
      </w:r>
    </w:p>
    <w:p>
      <w:pPr>
        <w:spacing w:after="0" w:line="1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Directors and Officer’s Insurance Policy, in the amount of $10 million, being used to cover a portion of the costs of defending the Cotter Jr. Derivative Action, has been exhausted. We are now covering the defense costs of the Defendant Directors, in addition to our own costs incurred in connection with the Cotter Jr. Derivative Action. In 2017, these out-of-pocket costs totaled approximately $4.0 million. We believe that approximately $1.7 million of this amount was spent in the months of November and December, in anticipation that the case would in fact go to trial on or about January 8, 2018, and accordingly will have only marginal salvage value.</w:t>
      </w:r>
    </w:p>
    <w:p>
      <w:pPr>
        <w:spacing w:after="0" w:line="1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We have also incurred legal expense representing the interests of our Company in the Cotter Trust Litigation, opposing Mr. Cotter, Jr.’s Ex Parte Motion to seek a guardian ad litem to market stock potentially representing a controlling interest in our Company without the involvement of our Board of Directors and without any safeguards to protect the interests of non-controlling stockholders.</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Special Independent Committee. On August 7, 2017, our Board appointed a Special Independent Committee to, among other things, review, consider, deliberate, investigate, analyze, explore, evaluate, monitor and exercise general oversight of any and all activities of the Company directly or indirectly involving, responding to or relating to the Cotter Jr. Derivative Action, the Cotter Jr. Employment Arbitration, the Cotter Trust Litigation, and any other litigation or arbitration matters involving any one or more of Ellen Cotter, Margaret Cotter, James J. Cotter, Jr., the Cotter Estate and/or the Cotter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152717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27175" cy="698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STOMP Arbitration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98" w:name="page99"/>
    <w:bookmarkEnd w:id="98"/>
    <w:p>
      <w:pPr>
        <w:jc w:val="both"/>
        <w:spacing w:after="0" w:line="268" w:lineRule="auto"/>
        <w:rPr>
          <w:sz w:val="20"/>
          <w:szCs w:val="20"/>
          <w:color w:val="auto"/>
        </w:rPr>
      </w:pPr>
      <w:r>
        <w:rPr>
          <w:rFonts w:ascii="Times New Roman" w:cs="Times New Roman" w:eastAsia="Times New Roman" w:hAnsi="Times New Roman"/>
          <w:sz w:val="14"/>
          <w:szCs w:val="14"/>
          <w:color w:val="auto"/>
        </w:rPr>
        <w:t>In April 2015, Liberty Theatres, LLC (“Liberty”), a wholly owned subsidiary of the Company, commenced an American Arbitration Association arbitration proceeding against The Stomp Company Limited Partnership (“Stomp”), the producer of the show STOMP, in response to Stomp’s purported termination of their license agreement with Liberty relating to such show. STOMP has been playing at our Orpheum Theatre in New York City for 23 years and still continues to play to date. Liberty sought specific performance, injunctive and declaratory relief and damages. Stomp counterclaimed for unspecified damages, alleging that Liberty has interfered with the Stomp’s endeavors to move the show to another Off-Broadway theater. Stomp based its purported termination of the license agreement upon the alleged deficient condition of the Orpheum Theater.</w:t>
      </w:r>
    </w:p>
    <w:p>
      <w:pPr>
        <w:spacing w:after="0" w:line="2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December 18, 2015, the Arbitrator issued his Partial Final Award of Arbitration, providing for, among other things (i) the issuance of a permanent injunction prohibiting Stomp from “transferring or taking actions to market, promote, or otherwise facilitate any transfer of, STOMP to another theatre in New York City having fewer than 500 seats without Liberty’s prior written consent”, (ii) the Stomp’s Notice of Termination purportedly terminating the parties’ license agreement was invalid, null and void and the License Agreement remains in full force and effect, and (iii) the award to Liberty of its reasonable attorneys’ fees in an amount to be determined by the Arbitrator.</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explaining his decision to award Liberty its reasonable attorneys’ fees, the Arbitrator stated as follows: “Liberty is entitled to such an award [of attorneys’ fees] not only because it is the prevailing party in this proceeding, but because [the Producer] unfairly disparaged the Orpheum and caused Liberty to incur attorneys’ fees in order to address and resolve [the Producer’s] groundless and frivolous allegations with respect to the Orpheum’s condition, Liberty’s performance under the License Agreement, and Stomp’s reasons for seeking to transfer STOMP to a larger theatre.”</w:t>
      </w:r>
    </w:p>
    <w:p>
      <w:pPr>
        <w:spacing w:after="0" w:line="1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April 2016, we received a Final Award in our arbitration with Stomp. The Final Award awards us $2.3 million in attorney’s fees and costs. In September 2016, the parties agreed on the payment terms of the Final Award (“Payment Agreement”), on a basis that is intended to allow recovery by Liberty of the entire Final Award (plus interest at 4%), while at the same time allowing the show to continue playing at our Orpheum Theater. The total of $2.3 million plus interest has now been paid in full, final payment being received on March 5, 2018. STOMP continues to play at our Orpheum Theater.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13 – NON-CONTROLLING INTERESTS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2017, the non-controlling interests in our consolidated subsidiaries are comprised of the following:</w:t>
      </w:r>
    </w:p>
    <w:p>
      <w:pPr>
        <w:spacing w:after="0" w:line="164" w:lineRule="exact"/>
        <w:rPr>
          <w:sz w:val="20"/>
          <w:szCs w:val="20"/>
          <w:color w:val="auto"/>
        </w:rPr>
      </w:pPr>
    </w:p>
    <w:p>
      <w:pPr>
        <w:ind w:left="520" w:hanging="252"/>
        <w:spacing w:after="0"/>
        <w:tabs>
          <w:tab w:leader="none" w:pos="5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Australia Country Cinemas Pty Ltd. -- 25% non-controlling interest owned by Panorama Cinemas for the 21st Century Pty Ltd.;</w:t>
      </w:r>
    </w:p>
    <w:p>
      <w:pPr>
        <w:spacing w:after="0" w:line="27" w:lineRule="exact"/>
        <w:rPr>
          <w:rFonts w:ascii="Times New Roman" w:cs="Times New Roman" w:eastAsia="Times New Roman" w:hAnsi="Times New Roman"/>
          <w:sz w:val="14"/>
          <w:szCs w:val="14"/>
          <w:color w:val="auto"/>
        </w:rPr>
      </w:pPr>
    </w:p>
    <w:p>
      <w:pPr>
        <w:ind w:left="520" w:right="120" w:hanging="252"/>
        <w:spacing w:after="0" w:line="258" w:lineRule="auto"/>
        <w:tabs>
          <w:tab w:leader="none" w:pos="5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Shadow View Land and Farming, LLC -- 50% non-controlling membership interest owned by either the estate of Mr. James J. Cotter, Sr. (the “Cotter Estate”) or the James J. Cotter Sr. Living Trust (the “Cotter Trust”); and,</w:t>
      </w:r>
    </w:p>
    <w:p>
      <w:pPr>
        <w:ind w:left="520" w:right="220" w:hanging="252"/>
        <w:spacing w:after="0" w:line="277" w:lineRule="auto"/>
        <w:tabs>
          <w:tab w:leader="none" w:pos="5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Sutton Hill Properties, LLC -- 25% non-controlling interest owned by Sutton Hill Capital, LLC (which in turn is 50% owned by the Cotter Estate and/or the Cotter Trust).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non-controlling interest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w w:val="98"/>
              </w:rPr>
              <w:t>December 31, 2017</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w w:val="98"/>
              </w:rPr>
              <w:t>December 31, 2016</w:t>
            </w:r>
          </w:p>
        </w:tc>
        <w:tc>
          <w:tcPr>
            <w:tcW w:w="340" w:type="dxa"/>
            <w:vAlign w:val="bottom"/>
          </w:tcPr>
          <w:p>
            <w:pPr>
              <w:spacing w:after="0"/>
              <w:rPr>
                <w:sz w:val="15"/>
                <w:szCs w:val="15"/>
                <w:color w:val="auto"/>
              </w:rPr>
            </w:pPr>
          </w:p>
        </w:tc>
      </w:tr>
      <w:tr>
        <w:trPr>
          <w:trHeight w:val="163"/>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Australian Country Cinemas, Pty Ltd</w:t>
            </w:r>
          </w:p>
        </w:tc>
        <w:tc>
          <w:tcPr>
            <w:tcW w:w="44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4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63"/>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Shadow View Land and Farming, LLC</w:t>
            </w:r>
          </w:p>
        </w:tc>
        <w:tc>
          <w:tcPr>
            <w:tcW w:w="14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1,980</w:t>
            </w:r>
          </w:p>
        </w:tc>
      </w:tr>
      <w:tr>
        <w:trPr>
          <w:trHeight w:val="163"/>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Sutton Hill Properties, LLC</w:t>
            </w:r>
          </w:p>
        </w:tc>
        <w:tc>
          <w:tcPr>
            <w:tcW w:w="14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w:t>
            </w:r>
          </w:p>
        </w:tc>
        <w:tc>
          <w:tcPr>
            <w:tcW w:w="4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2,174</w:t>
            </w:r>
          </w:p>
        </w:tc>
      </w:tr>
      <w:tr>
        <w:trPr>
          <w:trHeight w:val="155"/>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Non-controlling interests in consolidated subsidiaries</w:t>
            </w:r>
          </w:p>
        </w:tc>
        <w:tc>
          <w:tcPr>
            <w:tcW w:w="1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4,331</w:t>
            </w:r>
          </w:p>
        </w:tc>
        <w:tc>
          <w:tcPr>
            <w:tcW w:w="400" w:type="dxa"/>
            <w:vAlign w:val="bottom"/>
          </w:tcPr>
          <w:p>
            <w:pPr>
              <w:spacing w:after="0"/>
              <w:rPr>
                <w:sz w:val="13"/>
                <w:szCs w:val="13"/>
                <w:color w:val="auto"/>
              </w:rPr>
            </w:pPr>
          </w:p>
        </w:tc>
        <w:tc>
          <w:tcPr>
            <w:tcW w:w="1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4,418</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income/(loss) attributable to non-controlling interests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80" w:type="dxa"/>
            <w:vAlign w:val="bottom"/>
          </w:tcPr>
          <w:p>
            <w:pPr>
              <w:spacing w:after="0"/>
              <w:rPr>
                <w:sz w:val="15"/>
                <w:szCs w:val="15"/>
                <w:color w:val="auto"/>
              </w:rPr>
            </w:pP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2017</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2016</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163"/>
        </w:trPr>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Australian Country Cinemas, Pty Ltd</w:t>
            </w:r>
          </w:p>
        </w:tc>
        <w:tc>
          <w:tcPr>
            <w:tcW w:w="3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3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3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63"/>
        </w:trPr>
        <w:tc>
          <w:tcPr>
            <w:tcW w:w="5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Shadow View Land and Farming, LLC</w:t>
            </w: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(58)</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63"/>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Sutton Hill Properties, LLC</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(68)</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55"/>
        </w:trPr>
        <w:tc>
          <w:tcPr>
            <w:tcW w:w="5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income (loss) attributable to non-controlling interests in consolidated subsidiaries</w:t>
            </w:r>
          </w:p>
        </w:tc>
        <w:tc>
          <w:tcPr>
            <w:tcW w:w="4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3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34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Shadow View Land and Farming, LLC</w:t>
      </w:r>
    </w:p>
    <w:p>
      <w:pPr>
        <w:spacing w:after="0" w:line="3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This land is held in Shadow View Land and Farming, LLC, in which the Cotter Estate or the Cotter Trust now owns a 50% interest. We are the managing member of Shadow View Land and Farming, LLC. We consolidate the Cotter Estate’s and/or the Cotter Trust’s interest in the property and its expenses with that of our interest and show their interest as a non-controlling interest.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14 – SHARE-BASED COMPENSATION AND SHARE REPURCHASE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2010 Stock Incentive Plan</w:t>
      </w:r>
    </w:p>
    <w:p>
      <w:pPr>
        <w:spacing w:after="0" w:line="3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4"/>
          <w:szCs w:val="14"/>
          <w:color w:val="auto"/>
        </w:rPr>
        <w:t>The Company may grant stock options and other share-based payment awards of our Class A Stock to eligible employees, directors, and consultants under the 2010 Stock Incentive Plan (the “2010 Plan”), which originally allows for an aggregate total number of 1,250,000 shares of Class A Nonvoting Common Stock authorized for issuance under the 2010 Plan. As of September 30, 2017, there were 302,540 shares authorized for issuance under the 2010 Plan and available for future grants or awards.</w:t>
      </w:r>
    </w:p>
    <w:p>
      <w:pPr>
        <w:spacing w:after="0" w:line="10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During the Company’s 2017 Annual Stockholders’ Meeting held on November 7, 2017, the Company's stockholders, upon recommendation of the Board of Directors, approved an amendment to the Company's 2010 Plan to increase the number of shares of common stock issuable under such plan by an additional 947,460 shares. The effect of the increase is to restore the amount of shares of Class A Common Stock available under the 2010 Stock Incentive Plan from the 302,540 shares available as of September 30, 2017, back up to its original reserve of 1,250,000 shares. There were no new grants during the 4</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quarter of 2017. Accordingly, as of December 31, 2017, we had 1,250,000 shares remaining for future issuances.</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Since the adoption of the 2010 Plan, the Company has granted awards primarily in the form of stock options or stock grants. In the first quarter of 2016, the Company started to award restricted stock units (“RSUs”) to directors and certain members of management. Stock options are generally granted at exercise prices equal to the grant-date market prices and typically expire no later than five years from the grant date. In contrast to a stock option where the grantee buys the Company’s share at an exercise price determined on grant date, an RSU entitles the grantee to receive one share for every RSU based on a vesting plan. At the discretion of our Compensation and Stock Options Committee, the vesting period of stock options and RSUs ranges from zero to four years. At the time the options are exercised or RSUs vest, at the discretion of management, we will issue treasury shares or make a new issuance of shares to the option or RSU holder.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Stock Options</w:t>
      </w:r>
    </w:p>
    <w:p>
      <w:pPr>
        <w:spacing w:after="0" w:line="28"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We estimate the grant-date fair value of our stock options using the Black-Scholes option-valuation model, which takes into account assumptions such as the dividend yield, the risk-free interest rate, the expected stock price volatility, and the expected life of the options. We expense the estimated grant-date fair values of options over the vesting period on a straight-line basis. Based on our historical experience and the relative market price to strike price of the options, we have not hereto estimated any forfeitures of vested or unvested options.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assumptions used in the option-valuation model for the years 2017, 2016 and 2015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2017</w:t>
            </w: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2016</w:t>
            </w: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16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 exercise price</w:t>
            </w:r>
          </w:p>
        </w:tc>
        <w:tc>
          <w:tcPr>
            <w:tcW w:w="13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r>
      <w:tr>
        <w:trPr>
          <w:trHeight w:val="163"/>
        </w:trPr>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1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16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dividend yield</w:t>
            </w:r>
          </w:p>
        </w:tc>
        <w:tc>
          <w:tcPr>
            <w:tcW w:w="13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Expected option life in years</w:t>
            </w:r>
          </w:p>
        </w:tc>
        <w:tc>
          <w:tcPr>
            <w:tcW w:w="1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r>
      <w:tr>
        <w:trPr>
          <w:trHeight w:val="16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1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25.01%</w:t>
            </w: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31.86%</w:t>
            </w:r>
          </w:p>
        </w:tc>
      </w:tr>
      <w:tr>
        <w:trPr>
          <w:trHeight w:val="168"/>
        </w:trPr>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fair value</w:t>
            </w:r>
          </w:p>
        </w:tc>
        <w:tc>
          <w:tcPr>
            <w:tcW w:w="1340" w:type="dxa"/>
            <w:vAlign w:val="bottom"/>
          </w:tcPr>
          <w:p>
            <w:pPr>
              <w:jc w:val="right"/>
              <w:ind w:right="87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400" w:type="dxa"/>
            <w:vAlign w:val="bottom"/>
          </w:tcPr>
          <w:p>
            <w:pPr>
              <w:spacing w:after="0"/>
              <w:rPr>
                <w:sz w:val="14"/>
                <w:szCs w:val="14"/>
                <w:color w:val="auto"/>
              </w:rPr>
            </w:pPr>
          </w:p>
        </w:tc>
        <w:tc>
          <w:tcPr>
            <w:tcW w:w="132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400" w:type="dxa"/>
            <w:vAlign w:val="bottom"/>
          </w:tcPr>
          <w:p>
            <w:pPr>
              <w:spacing w:after="0"/>
              <w:rPr>
                <w:sz w:val="14"/>
                <w:szCs w:val="14"/>
                <w:color w:val="auto"/>
              </w:rPr>
            </w:pPr>
          </w:p>
        </w:tc>
        <w:tc>
          <w:tcPr>
            <w:tcW w:w="5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r>
    </w:tbl>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We recorded compensation expense of $310,000, $284,000, and $282,000 for 2017, 2016, and 2015, respectively. At December 31, 2017, the total unrecognized estimated compensation cost related to non-vested stock options was $878,000 which is expected to be recognized over a weighted average vesting period of 1.91 years. Cash and other consideration received from option exercises during 2017, 2016, and 2015 totaled $574,000, $146,000 and $3.0 million respectively.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The following is a summary of the status of RDI’s outstanding stock options for the three years ended December 31, 2017:</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Outstanding Stock Options</w:t>
            </w:r>
          </w:p>
        </w:tc>
        <w:tc>
          <w:tcPr>
            <w:tcW w:w="1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Remaining Years of</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Aggregate Intrinsic</w:t>
            </w:r>
          </w:p>
        </w:tc>
        <w:tc>
          <w:tcPr>
            <w:tcW w:w="0" w:type="dxa"/>
            <w:vAlign w:val="bottom"/>
          </w:tcPr>
          <w:p>
            <w:pPr>
              <w:spacing w:after="0"/>
              <w:rPr>
                <w:sz w:val="1"/>
                <w:szCs w:val="1"/>
                <w:color w:val="auto"/>
              </w:rPr>
            </w:pPr>
          </w:p>
        </w:tc>
      </w:tr>
      <w:tr>
        <w:trPr>
          <w:trHeight w:val="177"/>
        </w:trPr>
        <w:tc>
          <w:tcPr>
            <w:tcW w:w="2640" w:type="dxa"/>
            <w:vAlign w:val="bottom"/>
          </w:tcPr>
          <w:p>
            <w:pPr>
              <w:spacing w:after="0"/>
              <w:rPr>
                <w:sz w:val="15"/>
                <w:szCs w:val="15"/>
                <w:color w:val="auto"/>
              </w:rPr>
            </w:pPr>
          </w:p>
        </w:tc>
        <w:tc>
          <w:tcPr>
            <w:tcW w:w="234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180" w:type="dxa"/>
            <w:vAlign w:val="bottom"/>
          </w:tcPr>
          <w:p>
            <w:pPr>
              <w:spacing w:after="0"/>
              <w:rPr>
                <w:sz w:val="15"/>
                <w:szCs w:val="15"/>
                <w:color w:val="auto"/>
              </w:rPr>
            </w:pPr>
          </w:p>
        </w:tc>
        <w:tc>
          <w:tcPr>
            <w:tcW w:w="20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Weighted Average Exercise Price</w:t>
            </w:r>
          </w:p>
        </w:tc>
        <w:tc>
          <w:tcPr>
            <w:tcW w:w="1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Contractual Life</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Class A&amp;B</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Class A&amp;B</w:t>
            </w: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Outstanding - January 1, 2015</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w w:val="99"/>
              </w:rPr>
              <w:t>568,250</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185,100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4,197,000</w:t>
            </w:r>
          </w:p>
        </w:tc>
        <w:tc>
          <w:tcPr>
            <w:tcW w:w="0" w:type="dxa"/>
            <w:vAlign w:val="bottom"/>
          </w:tcPr>
          <w:p>
            <w:pPr>
              <w:spacing w:after="0"/>
              <w:rPr>
                <w:sz w:val="1"/>
                <w:szCs w:val="1"/>
                <w:color w:val="auto"/>
              </w:rPr>
            </w:pPr>
          </w:p>
        </w:tc>
      </w:tr>
      <w:tr>
        <w:trPr>
          <w:trHeight w:val="163"/>
        </w:trPr>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Granted</w:t>
            </w:r>
          </w:p>
        </w:tc>
        <w:tc>
          <w:tcPr>
            <w:tcW w:w="1080" w:type="dxa"/>
            <w:vAlign w:val="bottom"/>
          </w:tcPr>
          <w:p>
            <w:pPr>
              <w:ind w:left="640"/>
              <w:spacing w:after="0"/>
              <w:rPr>
                <w:sz w:val="20"/>
                <w:szCs w:val="20"/>
                <w:color w:val="auto"/>
              </w:rPr>
            </w:pPr>
            <w:r>
              <w:rPr>
                <w:rFonts w:ascii="Times New Roman" w:cs="Times New Roman" w:eastAsia="Times New Roman" w:hAnsi="Times New Roman"/>
                <w:sz w:val="13"/>
                <w:szCs w:val="13"/>
                <w:color w:val="auto"/>
                <w:w w:val="99"/>
              </w:rPr>
              <w:t>112,000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Exercised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(185,685)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(185,100)</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9.90</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327,170</w:t>
            </w:r>
          </w:p>
        </w:tc>
        <w:tc>
          <w:tcPr>
            <w:tcW w:w="0" w:type="dxa"/>
            <w:vAlign w:val="bottom"/>
          </w:tcPr>
          <w:p>
            <w:pPr>
              <w:spacing w:after="0"/>
              <w:rPr>
                <w:sz w:val="1"/>
                <w:szCs w:val="1"/>
                <w:color w:val="auto"/>
              </w:rPr>
            </w:pPr>
          </w:p>
        </w:tc>
      </w:tr>
      <w:tr>
        <w:trPr>
          <w:trHeight w:val="163"/>
        </w:trPr>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Expired</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(8,000)</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Outstanding - December 31, 2015</w:t>
            </w: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2,188,011</w:t>
            </w:r>
          </w:p>
        </w:tc>
        <w:tc>
          <w:tcPr>
            <w:tcW w:w="0" w:type="dxa"/>
            <w:vAlign w:val="bottom"/>
          </w:tcPr>
          <w:p>
            <w:pPr>
              <w:spacing w:after="0" w:line="20" w:lineRule="exact"/>
              <w:rPr>
                <w:sz w:val="1"/>
                <w:szCs w:val="1"/>
                <w:color w:val="auto"/>
              </w:rPr>
            </w:pPr>
          </w:p>
        </w:tc>
      </w:tr>
      <w:tr>
        <w:trPr>
          <w:trHeight w:val="164"/>
        </w:trPr>
        <w:tc>
          <w:tcPr>
            <w:tcW w:w="2640" w:type="dxa"/>
            <w:vAlign w:val="bottom"/>
            <w:vMerge w:val="continue"/>
            <w:shd w:val="clear" w:color="auto" w:fill="CCEEFF"/>
          </w:tcPr>
          <w:p>
            <w:pPr>
              <w:spacing w:after="0"/>
              <w:rPr>
                <w:sz w:val="14"/>
                <w:szCs w:val="14"/>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w w:val="99"/>
              </w:rPr>
              <w:t>486,565</w:t>
            </w: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Granted</w:t>
            </w:r>
          </w:p>
        </w:tc>
        <w:tc>
          <w:tcPr>
            <w:tcW w:w="1080" w:type="dxa"/>
            <w:vAlign w:val="bottom"/>
          </w:tcPr>
          <w:p>
            <w:pPr>
              <w:ind w:left="640"/>
              <w:spacing w:after="0"/>
              <w:rPr>
                <w:sz w:val="20"/>
                <w:szCs w:val="20"/>
                <w:color w:val="auto"/>
              </w:rPr>
            </w:pPr>
            <w:r>
              <w:rPr>
                <w:rFonts w:ascii="Times New Roman" w:cs="Times New Roman" w:eastAsia="Times New Roman" w:hAnsi="Times New Roman"/>
                <w:sz w:val="13"/>
                <w:szCs w:val="13"/>
                <w:color w:val="auto"/>
                <w:w w:val="99"/>
              </w:rPr>
              <w:t>169,327</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Exercised</w:t>
            </w:r>
          </w:p>
        </w:tc>
        <w:tc>
          <w:tcPr>
            <w:tcW w:w="1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(46,815)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220,002</w:t>
            </w:r>
          </w:p>
        </w:tc>
        <w:tc>
          <w:tcPr>
            <w:tcW w:w="0" w:type="dxa"/>
            <w:vAlign w:val="bottom"/>
          </w:tcPr>
          <w:p>
            <w:pPr>
              <w:spacing w:after="0"/>
              <w:rPr>
                <w:sz w:val="1"/>
                <w:szCs w:val="1"/>
                <w:color w:val="auto"/>
              </w:rPr>
            </w:pPr>
          </w:p>
        </w:tc>
      </w:tr>
      <w:tr>
        <w:trPr>
          <w:trHeight w:val="163"/>
        </w:trPr>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Expired</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(74,000)</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Outstanding - December 31, 2016</w:t>
            </w:r>
          </w:p>
        </w:tc>
        <w:tc>
          <w:tcPr>
            <w:tcW w:w="10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w w:val="99"/>
              </w:rPr>
              <w:t>535,077</w:t>
            </w:r>
          </w:p>
        </w:tc>
        <w:tc>
          <w:tcPr>
            <w:tcW w:w="1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3,615,191</w:t>
            </w:r>
          </w:p>
        </w:tc>
        <w:tc>
          <w:tcPr>
            <w:tcW w:w="0" w:type="dxa"/>
            <w:vAlign w:val="bottom"/>
          </w:tcPr>
          <w:p>
            <w:pPr>
              <w:spacing w:after="0"/>
              <w:rPr>
                <w:sz w:val="1"/>
                <w:szCs w:val="1"/>
                <w:color w:val="auto"/>
              </w:rPr>
            </w:pPr>
          </w:p>
        </w:tc>
      </w:tr>
      <w:tr>
        <w:trPr>
          <w:trHeight w:val="163"/>
        </w:trPr>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Granted</w:t>
            </w:r>
          </w:p>
        </w:tc>
        <w:tc>
          <w:tcPr>
            <w:tcW w:w="1080" w:type="dxa"/>
            <w:vAlign w:val="bottom"/>
          </w:tcPr>
          <w:p>
            <w:pPr>
              <w:ind w:left="640"/>
              <w:spacing w:after="0"/>
              <w:rPr>
                <w:sz w:val="20"/>
                <w:szCs w:val="20"/>
                <w:color w:val="auto"/>
              </w:rPr>
            </w:pPr>
            <w:r>
              <w:rPr>
                <w:rFonts w:ascii="Times New Roman" w:cs="Times New Roman" w:eastAsia="Times New Roman" w:hAnsi="Times New Roman"/>
                <w:sz w:val="13"/>
                <w:szCs w:val="13"/>
                <w:color w:val="auto"/>
                <w:w w:val="99"/>
              </w:rPr>
              <w:t>169,762</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Exercised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(177,750)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702,840</w:t>
            </w:r>
          </w:p>
        </w:tc>
        <w:tc>
          <w:tcPr>
            <w:tcW w:w="0" w:type="dxa"/>
            <w:vAlign w:val="bottom"/>
          </w:tcPr>
          <w:p>
            <w:pPr>
              <w:spacing w:after="0"/>
              <w:rPr>
                <w:sz w:val="1"/>
                <w:szCs w:val="1"/>
                <w:color w:val="auto"/>
              </w:rPr>
            </w:pPr>
          </w:p>
        </w:tc>
      </w:tr>
      <w:tr>
        <w:trPr>
          <w:trHeight w:val="163"/>
        </w:trPr>
        <w:tc>
          <w:tcPr>
            <w:tcW w:w="2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Expired</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(2,500)</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Outstanding - December 31, 2017</w:t>
            </w:r>
          </w:p>
        </w:tc>
        <w:tc>
          <w:tcPr>
            <w:tcW w:w="10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w w:val="99"/>
              </w:rPr>
              <w:t>524,589</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w:t>
            </w:r>
          </w:p>
        </w:tc>
        <w:tc>
          <w:tcPr>
            <w:tcW w:w="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3,054,325</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status of RDI’s vested and unvested stock options as of December 31, 2017, 2016 and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Vested and Unvested Stock Options</w:t>
            </w:r>
          </w:p>
        </w:tc>
        <w:tc>
          <w:tcPr>
            <w:tcW w:w="1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50"/>
        </w:trPr>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3"/>
        </w:trPr>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Remaining Years of</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Aggregate Intrinsic</w:t>
            </w:r>
          </w:p>
        </w:tc>
      </w:tr>
      <w:tr>
        <w:trPr>
          <w:trHeight w:val="177"/>
        </w:trPr>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Weighted Average Exercise Price</w:t>
            </w:r>
          </w:p>
        </w:tc>
        <w:tc>
          <w:tcPr>
            <w:tcW w:w="18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 Life</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201"/>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34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Class A&amp;B</w:t>
            </w:r>
          </w:p>
        </w:tc>
        <w:tc>
          <w:tcPr>
            <w:tcW w:w="260" w:type="dxa"/>
            <w:vAlign w:val="bottom"/>
          </w:tcPr>
          <w:p>
            <w:pPr>
              <w:spacing w:after="0"/>
              <w:rPr>
                <w:sz w:val="17"/>
                <w:szCs w:val="17"/>
                <w:color w:val="auto"/>
              </w:rPr>
            </w:pPr>
          </w:p>
        </w:tc>
        <w:tc>
          <w:tcPr>
            <w:tcW w:w="104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Class A&amp;B</w:t>
            </w:r>
          </w:p>
        </w:tc>
      </w:tr>
      <w:tr>
        <w:trPr>
          <w:trHeight w:val="133"/>
        </w:trPr>
        <w:tc>
          <w:tcPr>
            <w:tcW w:w="380" w:type="dxa"/>
            <w:vAlign w:val="bottom"/>
            <w:tcBorders>
              <w:bottom w:val="single" w:sz="8" w:color="auto"/>
            </w:tcBorders>
          </w:tcPr>
          <w:p>
            <w:pPr>
              <w:spacing w:after="0" w:line="126"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780" w:type="dxa"/>
            <w:vAlign w:val="bottom"/>
            <w:gridSpan w:val="2"/>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180"/>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2017</w:t>
            </w: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186,832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2,202,772</w:t>
            </w:r>
          </w:p>
        </w:tc>
      </w:tr>
      <w:tr>
        <w:trPr>
          <w:trHeight w:val="163"/>
        </w:trPr>
        <w:tc>
          <w:tcPr>
            <w:tcW w:w="2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 2016</w:t>
            </w:r>
          </w:p>
        </w:tc>
        <w:tc>
          <w:tcPr>
            <w:tcW w:w="11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296,500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34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2,584,500</w:t>
            </w:r>
          </w:p>
        </w:tc>
      </w:tr>
      <w:tr>
        <w:trPr>
          <w:trHeight w:val="163"/>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2015</w:t>
            </w: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256,065</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1,401,321</w:t>
            </w:r>
          </w:p>
        </w:tc>
      </w:tr>
      <w:tr>
        <w:trPr>
          <w:trHeight w:val="130"/>
        </w:trPr>
        <w:tc>
          <w:tcPr>
            <w:tcW w:w="2160" w:type="dxa"/>
            <w:vAlign w:val="bottom"/>
            <w:gridSpan w:val="3"/>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Unvested</w:t>
            </w: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6"/>
        </w:trPr>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9"/>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2017</w:t>
            </w: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337,757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851,552</w:t>
            </w:r>
          </w:p>
        </w:tc>
      </w:tr>
      <w:tr>
        <w:trPr>
          <w:trHeight w:val="163"/>
        </w:trPr>
        <w:tc>
          <w:tcPr>
            <w:tcW w:w="2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 2016</w:t>
            </w:r>
          </w:p>
        </w:tc>
        <w:tc>
          <w:tcPr>
            <w:tcW w:w="11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238,577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34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1,030,691</w:t>
            </w:r>
          </w:p>
        </w:tc>
      </w:tr>
      <w:tr>
        <w:trPr>
          <w:trHeight w:val="163"/>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2015</w:t>
            </w: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230,500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786,690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Termination of Previous President’s Unvested Stock Options</w:t>
      </w:r>
    </w:p>
    <w:p>
      <w:pPr>
        <w:spacing w:after="0" w:line="3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Mr. James Cotter, Jr. has asserted in past communications with the Company that options to acquire 50,000 shares of Class A Stock, issued to him in connection with his retention as the President of our Company, survived his termination as President. On August 3, 2016, our Compensation and Stock Options Committee met, reviewed the issue and determined that such 50,000 options had in fact terminated with the termination of Mr. Cotter, Jr.’s employment as President. Accordingly, these options are not, and have not been outstanding since the effective date of Mr. Cotter, Jr’s termination. This was recorded as a forfeiture during the quarter ended September 30, 2016.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Restricted Stock Units</w:t>
      </w:r>
    </w:p>
    <w:p>
      <w:pPr>
        <w:spacing w:after="0" w:line="18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We estimate the grant-date fair values of our RSUs using the Company’s stock price at grant-date and record such fair values as compensation expense over the vesting period on a straight-line basis. During 2017 and 2016, RSU awards were granted to both our directors and certain members of management. These RSU awards vest 25% at the end of each year for 4 years (in the case of members of management) and vest 100% at the end of one year (in the case of directors). During the years ended December 31, 2017 and December 31, 2016, we recognized compensation expense of $668,000 and $396,000 respectively. The total unrecognized compensation expense related to these unvested RSUs was $852,000 as of December 31, 2017.</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color w:val="auto"/>
        </w:rPr>
        <w:t>Below is a table that shows the restricted stock units that have been issued and vested during the years ending December 31, 2017 along with the dollar value of these awards: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Number of options</w:t>
            </w: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 value of options</w:t>
            </w:r>
          </w:p>
        </w:tc>
        <w:tc>
          <w:tcPr>
            <w:tcW w:w="1520" w:type="dxa"/>
            <w:vAlign w:val="bottom"/>
          </w:tcPr>
          <w:p>
            <w:pPr>
              <w:spacing w:after="0"/>
              <w:rPr>
                <w:sz w:val="13"/>
                <w:szCs w:val="13"/>
                <w:color w:val="auto"/>
              </w:rPr>
            </w:pPr>
          </w:p>
        </w:tc>
      </w:tr>
      <w:tr>
        <w:trPr>
          <w:trHeight w:val="205"/>
        </w:trPr>
        <w:tc>
          <w:tcPr>
            <w:tcW w:w="184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Granted</w:t>
            </w:r>
          </w:p>
        </w:tc>
        <w:tc>
          <w:tcPr>
            <w:tcW w:w="700" w:type="dxa"/>
            <w:vAlign w:val="bottom"/>
          </w:tcPr>
          <w:p>
            <w:pPr>
              <w:spacing w:after="0"/>
              <w:rPr>
                <w:sz w:val="17"/>
                <w:szCs w:val="17"/>
                <w:color w:val="auto"/>
              </w:rPr>
            </w:pPr>
          </w:p>
        </w:tc>
        <w:tc>
          <w:tcPr>
            <w:tcW w:w="1400" w:type="dxa"/>
            <w:vAlign w:val="bottom"/>
          </w:tcPr>
          <w:p>
            <w:pPr>
              <w:jc w:val="right"/>
              <w:ind w:right="982"/>
              <w:spacing w:after="0"/>
              <w:rPr>
                <w:sz w:val="20"/>
                <w:szCs w:val="20"/>
                <w:color w:val="auto"/>
              </w:rPr>
            </w:pPr>
            <w:r>
              <w:rPr>
                <w:rFonts w:ascii="Times New Roman" w:cs="Times New Roman" w:eastAsia="Times New Roman" w:hAnsi="Times New Roman"/>
                <w:sz w:val="12"/>
                <w:szCs w:val="12"/>
                <w:b w:val="1"/>
                <w:bCs w:val="1"/>
                <w:color w:val="auto"/>
                <w:w w:val="87"/>
              </w:rPr>
              <w:t>Vesting</w:t>
            </w:r>
          </w:p>
        </w:tc>
        <w:tc>
          <w:tcPr>
            <w:tcW w:w="1420" w:type="dxa"/>
            <w:vAlign w:val="bottom"/>
          </w:tcPr>
          <w:p>
            <w:pPr>
              <w:jc w:val="right"/>
              <w:ind w:right="882"/>
              <w:spacing w:after="0"/>
              <w:rPr>
                <w:sz w:val="20"/>
                <w:szCs w:val="20"/>
                <w:color w:val="auto"/>
              </w:rPr>
            </w:pPr>
            <w:r>
              <w:rPr>
                <w:rFonts w:ascii="Times New Roman" w:cs="Times New Roman" w:eastAsia="Times New Roman" w:hAnsi="Times New Roman"/>
                <w:sz w:val="12"/>
                <w:szCs w:val="12"/>
                <w:b w:val="1"/>
                <w:bCs w:val="1"/>
                <w:color w:val="auto"/>
                <w:w w:val="97"/>
              </w:rPr>
              <w:t>Unvested</w:t>
            </w:r>
          </w:p>
        </w:tc>
        <w:tc>
          <w:tcPr>
            <w:tcW w:w="1880" w:type="dxa"/>
            <w:vAlign w:val="bottom"/>
            <w:gridSpan w:val="2"/>
          </w:tcPr>
          <w:p>
            <w:pPr>
              <w:jc w:val="right"/>
              <w:ind w:right="1022"/>
              <w:spacing w:after="0"/>
              <w:rPr>
                <w:sz w:val="20"/>
                <w:szCs w:val="20"/>
                <w:color w:val="auto"/>
              </w:rPr>
            </w:pPr>
            <w:r>
              <w:rPr>
                <w:rFonts w:ascii="Times New Roman" w:cs="Times New Roman" w:eastAsia="Times New Roman" w:hAnsi="Times New Roman"/>
                <w:sz w:val="12"/>
                <w:szCs w:val="12"/>
                <w:b w:val="1"/>
                <w:bCs w:val="1"/>
                <w:color w:val="auto"/>
              </w:rPr>
              <w:t>Granted</w:t>
            </w:r>
          </w:p>
        </w:tc>
        <w:tc>
          <w:tcPr>
            <w:tcW w:w="1400" w:type="dxa"/>
            <w:vAlign w:val="bottom"/>
          </w:tcPr>
          <w:p>
            <w:pPr>
              <w:jc w:val="right"/>
              <w:ind w:right="962"/>
              <w:spacing w:after="0"/>
              <w:rPr>
                <w:sz w:val="20"/>
                <w:szCs w:val="20"/>
                <w:color w:val="auto"/>
              </w:rPr>
            </w:pPr>
            <w:r>
              <w:rPr>
                <w:rFonts w:ascii="Times New Roman" w:cs="Times New Roman" w:eastAsia="Times New Roman" w:hAnsi="Times New Roman"/>
                <w:sz w:val="12"/>
                <w:szCs w:val="12"/>
                <w:b w:val="1"/>
                <w:bCs w:val="1"/>
                <w:color w:val="auto"/>
                <w:w w:val="92"/>
              </w:rPr>
              <w:t>Vesting</w:t>
            </w:r>
          </w:p>
        </w:tc>
        <w:tc>
          <w:tcPr>
            <w:tcW w:w="1520" w:type="dxa"/>
            <w:vAlign w:val="bottom"/>
          </w:tcPr>
          <w:p>
            <w:pPr>
              <w:jc w:val="right"/>
              <w:ind w:right="1002"/>
              <w:spacing w:after="0"/>
              <w:rPr>
                <w:sz w:val="20"/>
                <w:szCs w:val="20"/>
                <w:color w:val="auto"/>
              </w:rPr>
            </w:pPr>
            <w:r>
              <w:rPr>
                <w:rFonts w:ascii="Times New Roman" w:cs="Times New Roman" w:eastAsia="Times New Roman" w:hAnsi="Times New Roman"/>
                <w:sz w:val="12"/>
                <w:szCs w:val="12"/>
                <w:b w:val="1"/>
                <w:bCs w:val="1"/>
                <w:color w:val="auto"/>
                <w:w w:val="92"/>
              </w:rPr>
              <w:t>Unvested</w:t>
            </w:r>
          </w:p>
        </w:tc>
      </w:tr>
      <w:tr>
        <w:trPr>
          <w:trHeight w:val="217"/>
        </w:trPr>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68,153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38,062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30,091</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815,160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454,966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360,193</w:t>
            </w:r>
          </w:p>
        </w:tc>
      </w:tr>
      <w:tr>
        <w:trPr>
          <w:trHeight w:val="217"/>
        </w:trPr>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70,538</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69,589</w:t>
            </w:r>
          </w:p>
        </w:tc>
        <w:tc>
          <w:tcPr>
            <w:tcW w:w="3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1,124,348</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14,880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1,109,467</w:t>
            </w:r>
          </w:p>
        </w:tc>
      </w:tr>
      <w:tr>
        <w:trPr>
          <w:trHeight w:val="197"/>
        </w:trPr>
        <w:tc>
          <w:tcPr>
            <w:tcW w:w="18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138,691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39,011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99,680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1,939,507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469,846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1,469,661</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2017 Stock Repurchase Plan</w:t>
      </w:r>
    </w:p>
    <w:p>
      <w:pPr>
        <w:spacing w:after="0" w:line="3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color w:val="auto"/>
        </w:rPr>
        <w:t>On March 2, 2017, the Company's Board of Directors authorized management, at its discretion, to spend up to an aggregate of $25.0 million to acquire shares of the Company’s common stock. As of December 31, 2017, we have spent $6.5 million at an average share price of $15.92, leaving $18.5 million available to repurchase under this plan.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2014 Stock Repurchase Plan</w:t>
      </w:r>
    </w:p>
    <w:p>
      <w:pPr>
        <w:spacing w:after="0" w:line="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May 16, 2014, the Company's Board of Directors authorized management, at its discretion, to spend up to an aggregate of $10.0 million to acquire shares of the Company’s common stock. This approved stock repurchase plan supersedes and effectively cancels the program that was approved by the Board of Directors on May 14, 2004, which allowed management to purchase up to 350,000 shares of the Company’s common stock. As of December 31, 2016, we have fully spent the $10.0 million budget at an average price of $11.74.</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15 – ACCUMULATED OTHER COMPREHENSIVE INCOME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each component of accumulated other comprehensive income attributable to RDI:</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Unrealized Gain (Losses) on</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left="195"/>
              <w:spacing w:after="0"/>
              <w:rPr>
                <w:sz w:val="20"/>
                <w:szCs w:val="20"/>
                <w:color w:val="auto"/>
              </w:rPr>
            </w:pPr>
            <w:r>
              <w:rPr>
                <w:rFonts w:ascii="Times New Roman" w:cs="Times New Roman" w:eastAsia="Times New Roman" w:hAnsi="Times New Roman"/>
                <w:sz w:val="13"/>
                <w:szCs w:val="13"/>
                <w:b w:val="1"/>
                <w:bCs w:val="1"/>
                <w:color w:val="auto"/>
                <w:w w:val="98"/>
              </w:rPr>
              <w:t>Available-for-Sale</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Accrued Pension</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7"/>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Foreign Currency Items</w:t>
            </w:r>
            <w:r>
              <w:rPr>
                <w:rFonts w:ascii="Times New Roman" w:cs="Times New Roman" w:eastAsia="Times New Roman" w:hAnsi="Times New Roman"/>
                <w:sz w:val="14"/>
                <w:szCs w:val="14"/>
                <w:b w:val="1"/>
                <w:bCs w:val="1"/>
                <w:color w:val="auto"/>
                <w:vertAlign w:val="superscript"/>
              </w:rPr>
              <w:t>(1)</w:t>
            </w:r>
          </w:p>
        </w:tc>
        <w:tc>
          <w:tcPr>
            <w:tcW w:w="1380" w:type="dxa"/>
            <w:vAlign w:val="bottom"/>
          </w:tcPr>
          <w:p>
            <w:pPr>
              <w:jc w:val="center"/>
              <w:ind w:left="175"/>
              <w:spacing w:after="0"/>
              <w:rPr>
                <w:sz w:val="20"/>
                <w:szCs w:val="20"/>
                <w:color w:val="auto"/>
              </w:rPr>
            </w:pPr>
            <w:r>
              <w:rPr>
                <w:rFonts w:ascii="Times New Roman" w:cs="Times New Roman" w:eastAsia="Times New Roman" w:hAnsi="Times New Roman"/>
                <w:sz w:val="13"/>
                <w:szCs w:val="13"/>
                <w:b w:val="1"/>
                <w:bCs w:val="1"/>
                <w:color w:val="auto"/>
                <w:w w:val="98"/>
              </w:rPr>
              <w:t>Investments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Service Costs</w:t>
            </w:r>
            <w:r>
              <w:rPr>
                <w:rFonts w:ascii="Times New Roman" w:cs="Times New Roman" w:eastAsia="Times New Roman" w:hAnsi="Times New Roman"/>
                <w:sz w:val="14"/>
                <w:szCs w:val="14"/>
                <w:b w:val="1"/>
                <w:bCs w:val="1"/>
                <w:color w:val="auto"/>
                <w:vertAlign w:val="superscript"/>
              </w:rPr>
              <w:t>(2)</w:t>
            </w:r>
          </w:p>
        </w:tc>
        <w:tc>
          <w:tcPr>
            <w:tcW w:w="480" w:type="dxa"/>
            <w:vAlign w:val="bottom"/>
          </w:tcPr>
          <w:p>
            <w:pPr>
              <w:spacing w:after="0"/>
              <w:rPr>
                <w:sz w:val="15"/>
                <w:szCs w:val="15"/>
                <w:color w:val="auto"/>
              </w:rPr>
            </w:pPr>
          </w:p>
        </w:tc>
        <w:tc>
          <w:tcPr>
            <w:tcW w:w="1120" w:type="dxa"/>
            <w:vAlign w:val="bottom"/>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January 1, 2017</w:t>
            </w: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14,784</w:t>
            </w:r>
          </w:p>
        </w:tc>
        <w:tc>
          <w:tcPr>
            <w:tcW w:w="3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3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(2,719)</w:t>
            </w:r>
          </w:p>
        </w:tc>
        <w:tc>
          <w:tcPr>
            <w:tcW w:w="3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12,075</w:t>
            </w:r>
          </w:p>
        </w:tc>
      </w:tr>
      <w:tr>
        <w:trPr>
          <w:trHeight w:val="279"/>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current-period other comprehensive income</w:t>
            </w: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8,791</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8,916</w:t>
            </w:r>
          </w:p>
        </w:tc>
      </w:tr>
      <w:tr>
        <w:trPr>
          <w:trHeight w:val="158"/>
        </w:trPr>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2017</w:t>
            </w:r>
          </w:p>
        </w:tc>
        <w:tc>
          <w:tcPr>
            <w:tcW w:w="7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23,575</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(2,592)</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20,991</w:t>
            </w:r>
          </w:p>
        </w:tc>
      </w:tr>
    </w:tbl>
    <w:p>
      <w:pPr>
        <w:spacing w:after="0" w:line="101" w:lineRule="exact"/>
        <w:rPr>
          <w:sz w:val="20"/>
          <w:szCs w:val="20"/>
          <w:color w:val="auto"/>
        </w:rPr>
      </w:pPr>
    </w:p>
    <w:p>
      <w:pPr>
        <w:ind w:left="520" w:hanging="252"/>
        <w:spacing w:after="0"/>
        <w:tabs>
          <w:tab w:leader="none" w:pos="520" w:val="left"/>
        </w:tabs>
        <w:numPr>
          <w:ilvl w:val="0"/>
          <w:numId w:val="9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Net of income tax expense of $659,152.</w:t>
      </w:r>
    </w:p>
    <w:p>
      <w:pPr>
        <w:spacing w:after="0" w:line="1" w:lineRule="exact"/>
        <w:rPr>
          <w:rFonts w:ascii="Times New Roman" w:cs="Times New Roman" w:eastAsia="Times New Roman" w:hAnsi="Times New Roman"/>
          <w:sz w:val="20"/>
          <w:szCs w:val="20"/>
          <w:color w:val="auto"/>
          <w:vertAlign w:val="superscript"/>
        </w:rPr>
      </w:pPr>
    </w:p>
    <w:p>
      <w:pPr>
        <w:ind w:left="520" w:hanging="252"/>
        <w:spacing w:after="0" w:line="186" w:lineRule="auto"/>
        <w:tabs>
          <w:tab w:leader="none" w:pos="520" w:val="left"/>
        </w:tabs>
        <w:numPr>
          <w:ilvl w:val="0"/>
          <w:numId w:val="9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Net of income tax expense of $79,572.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16 – FAIR VALUE MEASUREMENTS</w:t>
      </w:r>
    </w:p>
    <w:p>
      <w:pPr>
        <w:spacing w:after="0" w:line="18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spacing w:after="0" w:line="105" w:lineRule="exact"/>
        <w:rPr>
          <w:sz w:val="20"/>
          <w:szCs w:val="20"/>
          <w:color w:val="auto"/>
        </w:rPr>
      </w:pPr>
    </w:p>
    <w:p>
      <w:pPr>
        <w:jc w:val="both"/>
        <w:ind w:left="200" w:right="220" w:hanging="192"/>
        <w:spacing w:after="0" w:line="280" w:lineRule="auto"/>
        <w:tabs>
          <w:tab w:leader="none" w:pos="2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Quoted (unadjusted) prices in active markets that are accessible at the measurement date for identical, unrestricted assets or liabilities. This consist primarily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investments in marketable securities which are our investments associated with the ownership of marketable securities in U.S. and New Zealand. These investments are valued based on observable market quotes on the last trading date of the reporting period.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102" w:name="page103"/>
    <w:bookmarkEnd w:id="102"/>
    <w:p>
      <w:pPr>
        <w:ind w:left="200" w:hanging="192"/>
        <w:spacing w:after="0" w:line="269" w:lineRule="auto"/>
        <w:tabs>
          <w:tab w:leader="none" w:pos="2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Quoted prices in active markets for similar assets and liabilities, or inputs that are observable, either directly or indirectly, for substantially the full term of the asset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2017 and 2016, we concluded that the credit valuation adjustments were not significant to the overall valuation of our derivatives.</w:t>
      </w:r>
    </w:p>
    <w:p>
      <w:pPr>
        <w:spacing w:after="0" w:line="52" w:lineRule="exact"/>
        <w:rPr>
          <w:rFonts w:ascii="Times New Roman" w:cs="Times New Roman" w:eastAsia="Times New Roman" w:hAnsi="Times New Roman"/>
          <w:sz w:val="14"/>
          <w:szCs w:val="14"/>
          <w:color w:val="auto"/>
        </w:rPr>
      </w:pPr>
    </w:p>
    <w:p>
      <w:pPr>
        <w:ind w:left="200" w:right="440" w:hanging="192"/>
        <w:spacing w:after="0" w:line="303" w:lineRule="auto"/>
        <w:tabs>
          <w:tab w:leader="none" w:pos="2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Unobservable inputs that are supported by little or no market activity may require significant judgment in order to determine the fair value of the assets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liabilities. This category includes:</w:t>
      </w:r>
    </w:p>
    <w:p>
      <w:pPr>
        <w:spacing w:after="0" w:line="27" w:lineRule="exact"/>
        <w:rPr>
          <w:rFonts w:ascii="Times New Roman" w:cs="Times New Roman" w:eastAsia="Times New Roman" w:hAnsi="Times New Roman"/>
          <w:sz w:val="14"/>
          <w:szCs w:val="14"/>
          <w:color w:val="auto"/>
        </w:rPr>
      </w:pPr>
    </w:p>
    <w:p>
      <w:pPr>
        <w:jc w:val="both"/>
        <w:ind w:left="380" w:right="120" w:hanging="188"/>
        <w:spacing w:after="0" w:line="273" w:lineRule="auto"/>
        <w:tabs>
          <w:tab w:leader="none" w:pos="3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Debt </w:t>
      </w:r>
      <w:r>
        <w:rPr>
          <w:rFonts w:ascii="Times New Roman" w:cs="Times New Roman" w:eastAsia="Times New Roman" w:hAnsi="Times New Roman"/>
          <w:sz w:val="14"/>
          <w:szCs w:val="14"/>
          <w:color w:val="auto"/>
        </w:rPr>
        <w:t>– includes secured and unsecured notes payable, trust preferred securities and other debt instruments. The borrowings are valued based on discounted cash flow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48" w:lineRule="exact"/>
        <w:rPr>
          <w:rFonts w:ascii="Times New Roman" w:cs="Times New Roman" w:eastAsia="Times New Roman" w:hAnsi="Times New Roman"/>
          <w:sz w:val="14"/>
          <w:szCs w:val="14"/>
          <w:color w:val="auto"/>
        </w:rPr>
      </w:pPr>
    </w:p>
    <w:p>
      <w:pPr>
        <w:ind w:left="380" w:hanging="188"/>
        <w:spacing w:after="0" w:line="280" w:lineRule="auto"/>
        <w:tabs>
          <w:tab w:leader="none" w:pos="3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Goodwill, Other Intangibles and Other Long-lived Assets </w:t>
      </w:r>
      <w:r>
        <w:rPr>
          <w:rFonts w:ascii="Times New Roman" w:cs="Times New Roman" w:eastAsia="Times New Roman" w:hAnsi="Times New Roman"/>
          <w:sz w:val="14"/>
          <w:szCs w:val="14"/>
          <w:color w:val="auto"/>
        </w:rPr>
        <w:t>- refer to the “</w:t>
      </w:r>
      <w:r>
        <w:rPr>
          <w:rFonts w:ascii="Times New Roman" w:cs="Times New Roman" w:eastAsia="Times New Roman" w:hAnsi="Times New Roman"/>
          <w:sz w:val="14"/>
          <w:szCs w:val="14"/>
          <w:i w:val="1"/>
          <w:iCs w:val="1"/>
          <w:color w:val="auto"/>
        </w:rPr>
        <w:t xml:space="preserve">Impairment of Long-Lived Assets” section in Note 2 – Summary of Significant Accounting Policies </w:t>
      </w:r>
      <w:r>
        <w:rPr>
          <w:rFonts w:ascii="Times New Roman" w:cs="Times New Roman" w:eastAsia="Times New Roman" w:hAnsi="Times New Roman"/>
          <w:sz w:val="14"/>
          <w:szCs w:val="14"/>
          <w:color w:val="auto"/>
        </w:rPr>
        <w:t>for a description of valuation methodology used for fair value measurements of goodwill, intangible assets and long-lived assets. Given this category represents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several lines in our Consolidated Balance Sheet and since the recorded values agree to fair values, we did not include this in the subsequent tables presented.</w:t>
      </w:r>
    </w:p>
    <w:p>
      <w:pPr>
        <w:spacing w:after="0" w:line="10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4"/>
          <w:szCs w:val="14"/>
          <w:color w:val="auto"/>
        </w:rPr>
        <w:t>Also, our Level 1 financial instruments include cash and cash equivalents, receivables, and accounts payable and accrued liabilities. The carrying values of these financial instruments approximate the fair values due to their short maturities. There have been no changes in the methodologies used at December 31, 2017 and 2016. Additionally, there were no transfers of assets and liabilities between Levels 1, 2, or 3 during the three years ended December 31, 2017.</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Recurring Fair Value Measurements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2017 and 2016, we do not have material financial assets and liabilities carried and measured at fair value on a recurring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Nonrecurring Fair Value Measurements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information about financial assets and liabilities not carried at fair value on a nonrecurring basis in our 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w w:val="99"/>
              </w:rPr>
              <w:t>Fair Value Measurements at December 31, 2017</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4"/>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2"/>
              </w:rPr>
              <w:t>Value</w:t>
            </w:r>
            <w:r>
              <w:rPr>
                <w:rFonts w:ascii="Times New Roman" w:cs="Times New Roman" w:eastAsia="Times New Roman" w:hAnsi="Times New Roman"/>
                <w:sz w:val="14"/>
                <w:szCs w:val="14"/>
                <w:b w:val="1"/>
                <w:bCs w:val="1"/>
                <w:color w:val="auto"/>
                <w:w w:val="92"/>
                <w:vertAlign w:val="superscript"/>
              </w:rPr>
              <w:t>(1)</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20" w:type="dxa"/>
            <w:vAlign w:val="bottom"/>
          </w:tcPr>
          <w:p>
            <w:pPr>
              <w:spacing w:after="0"/>
              <w:rPr>
                <w:sz w:val="14"/>
                <w:szCs w:val="14"/>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2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52"/>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Notes payable</w:t>
            </w: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Debt - current and long-term</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106,588</w:t>
            </w:r>
          </w:p>
        </w:tc>
        <w:tc>
          <w:tcPr>
            <w:tcW w:w="220" w:type="dxa"/>
            <w:vAlign w:val="bottom"/>
          </w:tcPr>
          <w:p>
            <w:pPr>
              <w:spacing w:after="0"/>
              <w:rPr>
                <w:sz w:val="13"/>
                <w:szCs w:val="13"/>
                <w:color w:val="auto"/>
              </w:rPr>
            </w:pPr>
          </w:p>
        </w:tc>
        <w:tc>
          <w:tcPr>
            <w:tcW w:w="800" w:type="dxa"/>
            <w:vAlign w:val="bottom"/>
          </w:tcPr>
          <w:p>
            <w:pPr>
              <w:jc w:val="right"/>
              <w:ind w:right="515"/>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595"/>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106,894</w:t>
            </w:r>
          </w:p>
        </w:tc>
        <w:tc>
          <w:tcPr>
            <w:tcW w:w="220" w:type="dxa"/>
            <w:vAlign w:val="bottom"/>
          </w:tcPr>
          <w:p>
            <w:pPr>
              <w:spacing w:after="0"/>
              <w:rPr>
                <w:sz w:val="13"/>
                <w:szCs w:val="13"/>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106,894</w:t>
            </w:r>
          </w:p>
        </w:tc>
      </w:tr>
      <w:tr>
        <w:trPr>
          <w:trHeight w:val="171"/>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portion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Subordinated debt</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16,088</w:t>
            </w:r>
          </w:p>
        </w:tc>
      </w:tr>
      <w:tr>
        <w:trPr>
          <w:trHeight w:val="155"/>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134,501</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122,982</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122,982</w:t>
            </w:r>
          </w:p>
        </w:tc>
      </w:tr>
      <w:tr>
        <w:trPr>
          <w:trHeight w:val="360"/>
        </w:trPr>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w w:val="99"/>
              </w:rPr>
              <w:t>Fair Value Measurements at December 31, 2016</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4"/>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2"/>
              </w:rPr>
              <w:t>Value</w:t>
            </w:r>
            <w:r>
              <w:rPr>
                <w:rFonts w:ascii="Times New Roman" w:cs="Times New Roman" w:eastAsia="Times New Roman" w:hAnsi="Times New Roman"/>
                <w:sz w:val="14"/>
                <w:szCs w:val="14"/>
                <w:b w:val="1"/>
                <w:bCs w:val="1"/>
                <w:color w:val="auto"/>
                <w:w w:val="92"/>
                <w:vertAlign w:val="superscript"/>
              </w:rPr>
              <w:t>(1)</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20" w:type="dxa"/>
            <w:vAlign w:val="bottom"/>
          </w:tcPr>
          <w:p>
            <w:pPr>
              <w:spacing w:after="0"/>
              <w:rPr>
                <w:sz w:val="14"/>
                <w:szCs w:val="14"/>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2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52"/>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Notes payable</w:t>
            </w: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Debt - current and long-term</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120,622</w:t>
            </w:r>
          </w:p>
        </w:tc>
        <w:tc>
          <w:tcPr>
            <w:tcW w:w="220" w:type="dxa"/>
            <w:vAlign w:val="bottom"/>
          </w:tcPr>
          <w:p>
            <w:pPr>
              <w:spacing w:after="0"/>
              <w:rPr>
                <w:sz w:val="13"/>
                <w:szCs w:val="13"/>
                <w:color w:val="auto"/>
              </w:rPr>
            </w:pPr>
          </w:p>
        </w:tc>
        <w:tc>
          <w:tcPr>
            <w:tcW w:w="800" w:type="dxa"/>
            <w:vAlign w:val="bottom"/>
          </w:tcPr>
          <w:p>
            <w:pPr>
              <w:jc w:val="right"/>
              <w:ind w:right="515"/>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595"/>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121,204</w:t>
            </w:r>
          </w:p>
        </w:tc>
        <w:tc>
          <w:tcPr>
            <w:tcW w:w="220" w:type="dxa"/>
            <w:vAlign w:val="bottom"/>
          </w:tcPr>
          <w:p>
            <w:pPr>
              <w:spacing w:after="0"/>
              <w:rPr>
                <w:sz w:val="13"/>
                <w:szCs w:val="13"/>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121,204</w:t>
            </w:r>
          </w:p>
        </w:tc>
      </w:tr>
      <w:tr>
        <w:trPr>
          <w:trHeight w:val="171"/>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portion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Subordinated debt</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15,247</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15,247</w:t>
            </w:r>
          </w:p>
        </w:tc>
      </w:tr>
      <w:tr>
        <w:trPr>
          <w:trHeight w:val="155"/>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148,535</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136,451</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136,451</w:t>
            </w:r>
          </w:p>
        </w:tc>
      </w:tr>
    </w:tbl>
    <w:p>
      <w:pPr>
        <w:spacing w:after="0" w:line="78" w:lineRule="exact"/>
        <w:rPr>
          <w:sz w:val="20"/>
          <w:szCs w:val="20"/>
          <w:color w:val="auto"/>
        </w:rPr>
      </w:pPr>
    </w:p>
    <w:p>
      <w:pPr>
        <w:ind w:left="100" w:hanging="92"/>
        <w:spacing w:after="0"/>
        <w:tabs>
          <w:tab w:leader="none" w:pos="100" w:val="left"/>
        </w:tabs>
        <w:numPr>
          <w:ilvl w:val="0"/>
          <w:numId w:val="99"/>
        </w:numPr>
        <w:rPr>
          <w:rFonts w:ascii="Times New Roman" w:cs="Times New Roman" w:eastAsia="Times New Roman" w:hAnsi="Times New Roman"/>
          <w:sz w:val="10"/>
          <w:szCs w:val="10"/>
          <w:i w:val="1"/>
          <w:iCs w:val="1"/>
          <w:color w:val="auto"/>
          <w:vertAlign w:val="superscript"/>
        </w:rPr>
      </w:pPr>
      <w:r>
        <w:rPr>
          <w:rFonts w:ascii="Times New Roman" w:cs="Times New Roman" w:eastAsia="Times New Roman" w:hAnsi="Times New Roman"/>
          <w:sz w:val="10"/>
          <w:szCs w:val="10"/>
          <w:i w:val="1"/>
          <w:iCs w:val="1"/>
          <w:color w:val="auto"/>
        </w:rPr>
        <w:t>These balances are presented gross of deferred financing costs.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17 – LEASES</w:t>
      </w:r>
    </w:p>
    <w:p>
      <w:pPr>
        <w:spacing w:after="0" w:line="156"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4"/>
          <w:szCs w:val="14"/>
          <w:color w:val="auto"/>
        </w:rPr>
        <w:t>Our leasing business consists of various arrangements, where we act either (i) as the lessor (for our owned properties rented to third parties), or (ii) as the lessee (mostly our cinema locations on leased-facility model). Below are the rental commitments for these various lease arrangements: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As Lessor – Future Rental Commitments from our Tenants</w:t>
      </w:r>
    </w:p>
    <w:p>
      <w:pPr>
        <w:spacing w:after="0" w:line="3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Real estate revenue amounted to $16.3 million, $13.6 million, and $15.0 million, for the fiscal years ended December 31, 2017, 2016, and 2015, respectively. Also, there were no material contingent rentals recognized for the three years then ended December 31, 2017. As of December 31, 2017, the minimum future rentals on our real estate properties currently leased to third parties under non-cancellable operating lease arrangements for the next five years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Future Minimum Rentals</w:t>
            </w:r>
          </w:p>
        </w:tc>
      </w:tr>
      <w:tr>
        <w:trPr>
          <w:trHeight w:val="174"/>
        </w:trPr>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2018</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9,583</w:t>
            </w:r>
          </w:p>
        </w:tc>
      </w:tr>
      <w:tr>
        <w:trPr>
          <w:trHeight w:val="163"/>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2019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8,692</w:t>
            </w:r>
          </w:p>
        </w:tc>
      </w:tr>
      <w:tr>
        <w:trPr>
          <w:trHeight w:val="163"/>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7,200</w:t>
            </w:r>
          </w:p>
        </w:tc>
      </w:tr>
      <w:tr>
        <w:trPr>
          <w:trHeight w:val="163"/>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6,599</w:t>
            </w:r>
          </w:p>
        </w:tc>
      </w:tr>
      <w:tr>
        <w:trPr>
          <w:trHeight w:val="163"/>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5,807</w:t>
            </w:r>
          </w:p>
        </w:tc>
      </w:tr>
      <w:tr>
        <w:trPr>
          <w:trHeight w:val="163"/>
        </w:trPr>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7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16,986</w:t>
            </w:r>
          </w:p>
        </w:tc>
      </w:tr>
      <w:tr>
        <w:trPr>
          <w:trHeight w:val="155"/>
        </w:trPr>
        <w:tc>
          <w:tcPr>
            <w:tcW w:w="2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54,867</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As Lessee – Future Lease Commitments to our Landlords</w:t>
      </w:r>
    </w:p>
    <w:p>
      <w:pPr>
        <w:spacing w:after="0" w:line="3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The Company has entered into various leases for our cinema exhibition segment. We also lease office space and equipment under non-cancelable operating leases. As of December 31, 2017, the remaining terms of these leases, inclusive of renewal options, range from 1 to 35 years. All of our leases are accounted for as operating leases and we do not have any capital leases as of December 31, 2017.</w:t>
      </w:r>
    </w:p>
    <w:p>
      <w:pPr>
        <w:spacing w:after="0" w:line="14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4"/>
          <w:szCs w:val="14"/>
          <w:color w:val="auto"/>
        </w:rPr>
        <w:t>We determine the annual base rent expense of our cinemas by amortizing total minimum lease obligations on a straight-line basis over the lease terms. Certain of our cinema leases provide for both base and in addition contingent rentals based upon a specified percentage of cinema revenue with a guaranteed minimum. Substantially all of our leases require the payment of property taxes, insurance, and other costs applicable to the property. The base rent and contingent rental expenses are summarized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2017</w:t>
            </w: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2016</w:t>
            </w:r>
          </w:p>
        </w:tc>
        <w:tc>
          <w:tcPr>
            <w:tcW w:w="2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2015</w:t>
            </w:r>
          </w:p>
        </w:tc>
      </w:tr>
      <w:tr>
        <w:trPr>
          <w:trHeight w:val="174"/>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Base rent expense</w:t>
            </w:r>
          </w:p>
        </w:tc>
        <w:tc>
          <w:tcPr>
            <w:tcW w:w="5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31,630</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30,565</w:t>
            </w:r>
          </w:p>
        </w:tc>
      </w:tr>
      <w:tr>
        <w:trPr>
          <w:trHeight w:val="163"/>
        </w:trPr>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Contingent rental expense</w:t>
            </w:r>
          </w:p>
        </w:tc>
        <w:tc>
          <w:tcPr>
            <w:tcW w:w="5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w:t>
            </w:r>
          </w:p>
        </w:tc>
        <w:tc>
          <w:tcPr>
            <w:tcW w:w="2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1,848</w:t>
            </w:r>
          </w:p>
        </w:tc>
      </w:tr>
      <w:tr>
        <w:trPr>
          <w:trHeight w:val="155"/>
        </w:trPr>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cinema rent expense</w:t>
            </w:r>
          </w:p>
        </w:tc>
        <w:tc>
          <w:tcPr>
            <w:tcW w:w="5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34,135</w:t>
            </w:r>
          </w:p>
        </w:tc>
        <w:tc>
          <w:tcPr>
            <w:tcW w:w="2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31,308</w:t>
            </w:r>
          </w:p>
        </w:tc>
        <w:tc>
          <w:tcPr>
            <w:tcW w:w="2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32,413</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minimum lease payments by year and, in the aggregate, under non-cancelable operating leases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Minimum Lease Payments at December 31, 2017</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Ground Lease</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Premises Lease</w:t>
            </w:r>
          </w:p>
        </w:tc>
        <w:tc>
          <w:tcPr>
            <w:tcW w:w="1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Equipment Lease</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2018</w:t>
            </w: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3,629</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27,980</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31,609</w:t>
            </w:r>
          </w:p>
        </w:tc>
      </w:tr>
      <w:tr>
        <w:trPr>
          <w:trHeight w:val="163"/>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2019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27,837</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31,554</w:t>
            </w:r>
          </w:p>
        </w:tc>
      </w:tr>
      <w:tr>
        <w:trPr>
          <w:trHeight w:val="16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2020</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23,883</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26,675</w:t>
            </w:r>
          </w:p>
        </w:tc>
      </w:tr>
      <w:tr>
        <w:trPr>
          <w:trHeight w:val="163"/>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2021</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23,677</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26,407</w:t>
            </w:r>
          </w:p>
        </w:tc>
      </w:tr>
      <w:tr>
        <w:trPr>
          <w:trHeight w:val="16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2022</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7,840</w:t>
            </w:r>
          </w:p>
        </w:tc>
      </w:tr>
      <w:tr>
        <w:trPr>
          <w:trHeight w:val="163"/>
        </w:trPr>
        <w:tc>
          <w:tcPr>
            <w:tcW w:w="3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185,910</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206,733</w:t>
            </w:r>
          </w:p>
        </w:tc>
      </w:tr>
      <w:tr>
        <w:trPr>
          <w:trHeight w:val="155"/>
        </w:trPr>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36,462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294,356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330,818</w:t>
            </w:r>
          </w:p>
        </w:tc>
      </w:tr>
    </w:tbl>
    <w:p>
      <w:pPr>
        <w:spacing w:after="0" w:line="159" w:lineRule="exact"/>
        <w:rPr>
          <w:sz w:val="20"/>
          <w:szCs w:val="20"/>
          <w:color w:val="auto"/>
        </w:rPr>
      </w:pPr>
    </w:p>
    <w:p>
      <w:pPr>
        <w:jc w:val="both"/>
        <w:ind w:right="240"/>
        <w:spacing w:after="0" w:line="279" w:lineRule="auto"/>
        <w:rPr>
          <w:sz w:val="20"/>
          <w:szCs w:val="20"/>
          <w:color w:val="auto"/>
        </w:rPr>
      </w:pPr>
      <w:r>
        <w:rPr>
          <w:rFonts w:ascii="Times New Roman" w:cs="Times New Roman" w:eastAsia="Times New Roman" w:hAnsi="Times New Roman"/>
          <w:sz w:val="14"/>
          <w:szCs w:val="14"/>
          <w:color w:val="auto"/>
        </w:rPr>
        <w:t xml:space="preserve">We expect the amount of minimum lease payments will fluctuate depending on the foreign currency exchange rates of the Australian dollar to the U.S. dollar and the New Zealand dollar to the U.S. dollar, mainly because a significant portion of our cinema exhibition business is conducted in Australia and New Zealand. See </w:t>
      </w:r>
      <w:r>
        <w:rPr>
          <w:rFonts w:ascii="Times New Roman" w:cs="Times New Roman" w:eastAsia="Times New Roman" w:hAnsi="Times New Roman"/>
          <w:sz w:val="14"/>
          <w:szCs w:val="14"/>
          <w:i w:val="1"/>
          <w:iCs w:val="1"/>
          <w:color w:val="auto"/>
        </w:rPr>
        <w:t>Note 18</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Parties </w:t>
      </w:r>
      <w:r>
        <w:rPr>
          <w:rFonts w:ascii="Times New Roman" w:cs="Times New Roman" w:eastAsia="Times New Roman" w:hAnsi="Times New Roman"/>
          <w:sz w:val="14"/>
          <w:szCs w:val="14"/>
          <w:color w:val="auto"/>
        </w:rPr>
        <w:t>for the amount of leases associated with any related party leases.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Debt Guarantee</w:t>
      </w:r>
    </w:p>
    <w:p>
      <w:pPr>
        <w:spacing w:after="0" w:line="3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 xml:space="preserve">As of December 31, 2017 we no longer have any guarantee in place relating to our unconsolidated joint ventures. The total estimated debt of unconsolidated joint ventures and entities, consisting solely of Rialto Distribution (see </w:t>
      </w:r>
      <w:r>
        <w:rPr>
          <w:rFonts w:ascii="Times New Roman" w:cs="Times New Roman" w:eastAsia="Times New Roman" w:hAnsi="Times New Roman"/>
          <w:sz w:val="14"/>
          <w:szCs w:val="14"/>
          <w:i w:val="1"/>
          <w:iCs w:val="1"/>
          <w:color w:val="auto"/>
        </w:rPr>
        <w:t>Note 6 – Investments in Unconsolidated Joint Ventures</w:t>
      </w:r>
      <w:r>
        <w:rPr>
          <w:rFonts w:ascii="Times New Roman" w:cs="Times New Roman" w:eastAsia="Times New Roman" w:hAnsi="Times New Roman"/>
          <w:sz w:val="14"/>
          <w:szCs w:val="14"/>
          <w:color w:val="auto"/>
        </w:rPr>
        <w:t>), was $1.0 million (NZ$1.5 million) as of December 31, 2016. Our share of the unconsolidated debt, based on our ownership percentage, was NZ$500,000 as of December 31, 2016. This debt was guaranteed by one of our subsidiaries to the extent of our ownership percentage up until the point that this was transferred to one of our business partners. Based on the financial position of Rialto Distribution and in consideration of this debt guarantee, we accrued $348,000 (NZ$500,000) as of December 31, 2016, recorded as part of Accounts payable and accrued liabilities.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4" w:right="7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18 – RELATED PARTIES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identifies our related parties as of December 31, 2017, in accordance with </w:t>
      </w:r>
      <w:r>
        <w:rPr>
          <w:rFonts w:ascii="Times New Roman" w:cs="Times New Roman" w:eastAsia="Times New Roman" w:hAnsi="Times New Roman"/>
          <w:sz w:val="14"/>
          <w:szCs w:val="14"/>
          <w:i w:val="1"/>
          <w:iCs w:val="1"/>
          <w:color w:val="auto"/>
        </w:rPr>
        <w:t>ASC 850, Related Party Transactions</w:t>
      </w:r>
      <w:r>
        <w:rPr>
          <w:rFonts w:ascii="Times New Roman" w:cs="Times New Roman" w:eastAsia="Times New Roman" w:hAnsi="Times New Roman"/>
          <w:sz w:val="14"/>
          <w:szCs w:val="14"/>
          <w:color w:val="auto"/>
        </w:rPr>
        <w: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3"/>
                <w:szCs w:val="13"/>
                <w:b w:val="1"/>
                <w:bCs w:val="1"/>
                <w:color w:val="auto"/>
              </w:rPr>
              <w:t>Categories</w:t>
            </w:r>
          </w:p>
        </w:tc>
        <w:tc>
          <w:tcPr>
            <w:tcW w:w="27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Related Parties</w:t>
            </w:r>
          </w:p>
        </w:tc>
        <w:tc>
          <w:tcPr>
            <w:tcW w:w="7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31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Discussion Notes</w:t>
            </w:r>
          </w:p>
        </w:tc>
      </w:tr>
      <w:tr>
        <w:trPr>
          <w:trHeight w:val="141"/>
        </w:trPr>
        <w:tc>
          <w:tcPr>
            <w:tcW w:w="2920" w:type="dxa"/>
            <w:vAlign w:val="bottom"/>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Principal Owners and immediate families</w:t>
            </w:r>
          </w:p>
        </w:tc>
        <w:tc>
          <w:tcPr>
            <w:tcW w:w="2780" w:type="dxa"/>
            <w:vAlign w:val="bottom"/>
            <w:shd w:val="clear" w:color="auto" w:fill="CCEEFF"/>
          </w:tcPr>
          <w:p>
            <w:pPr>
              <w:ind w:left="200"/>
              <w:spacing w:after="0" w:line="141" w:lineRule="exact"/>
              <w:rPr>
                <w:sz w:val="20"/>
                <w:szCs w:val="20"/>
                <w:color w:val="auto"/>
              </w:rPr>
            </w:pPr>
            <w:r>
              <w:rPr>
                <w:rFonts w:ascii="Times New Roman" w:cs="Times New Roman" w:eastAsia="Times New Roman" w:hAnsi="Times New Roman"/>
                <w:sz w:val="13"/>
                <w:szCs w:val="13"/>
                <w:color w:val="auto"/>
              </w:rPr>
              <w:t>Cotter Family’s Estate and Living Trust</w:t>
            </w:r>
          </w:p>
        </w:tc>
        <w:tc>
          <w:tcPr>
            <w:tcW w:w="4460" w:type="dxa"/>
            <w:vAlign w:val="bottom"/>
            <w:gridSpan w:val="3"/>
            <w:shd w:val="clear" w:color="auto" w:fill="CCEEFF"/>
          </w:tcPr>
          <w:p>
            <w:pPr>
              <w:ind w:left="300"/>
              <w:spacing w:after="0" w:line="141" w:lineRule="exact"/>
              <w:rPr>
                <w:sz w:val="20"/>
                <w:szCs w:val="20"/>
                <w:color w:val="auto"/>
              </w:rPr>
            </w:pPr>
            <w:r>
              <w:rPr>
                <w:rFonts w:ascii="Times New Roman" w:cs="Times New Roman" w:eastAsia="Times New Roman" w:hAnsi="Times New Roman"/>
                <w:sz w:val="13"/>
                <w:szCs w:val="13"/>
                <w:color w:val="auto"/>
              </w:rPr>
              <w:t xml:space="preserve">The Cotter Family is involved in certain litigation matters. Refer to </w:t>
            </w:r>
            <w:r>
              <w:rPr>
                <w:rFonts w:ascii="Times New Roman" w:cs="Times New Roman" w:eastAsia="Times New Roman" w:hAnsi="Times New Roman"/>
                <w:sz w:val="13"/>
                <w:szCs w:val="13"/>
                <w:i w:val="1"/>
                <w:iCs w:val="1"/>
                <w:color w:val="auto"/>
              </w:rPr>
              <w:t>Note 12</w:t>
            </w:r>
          </w:p>
        </w:tc>
      </w:tr>
      <w:tr>
        <w:trPr>
          <w:trHeight w:val="165"/>
        </w:trPr>
        <w:tc>
          <w:tcPr>
            <w:tcW w:w="2920" w:type="dxa"/>
            <w:vAlign w:val="bottom"/>
            <w:shd w:val="clear" w:color="auto" w:fill="CCEEFF"/>
          </w:tcPr>
          <w:p>
            <w:pPr>
              <w:spacing w:after="0"/>
              <w:rPr>
                <w:sz w:val="14"/>
                <w:szCs w:val="14"/>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(controlling family)</w:t>
            </w:r>
          </w:p>
        </w:tc>
        <w:tc>
          <w:tcPr>
            <w:tcW w:w="44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3"/>
                <w:szCs w:val="13"/>
                <w:i w:val="1"/>
                <w:iCs w:val="1"/>
                <w:color w:val="auto"/>
              </w:rPr>
              <w:t xml:space="preserve">– Commitments and Contingencies </w:t>
            </w:r>
            <w:r>
              <w:rPr>
                <w:rFonts w:ascii="Times New Roman" w:cs="Times New Roman" w:eastAsia="Times New Roman" w:hAnsi="Times New Roman"/>
                <w:sz w:val="13"/>
                <w:szCs w:val="13"/>
                <w:color w:val="auto"/>
              </w:rPr>
              <w:t>for further details.</w:t>
            </w:r>
          </w:p>
        </w:tc>
      </w:tr>
      <w:tr>
        <w:trPr>
          <w:trHeight w:val="173"/>
        </w:trPr>
        <w:tc>
          <w:tcPr>
            <w:tcW w:w="2920" w:type="dxa"/>
            <w:vAlign w:val="bottom"/>
            <w:shd w:val="clear" w:color="auto" w:fill="CCEEFF"/>
          </w:tcPr>
          <w:p>
            <w:pPr>
              <w:spacing w:after="0"/>
              <w:rPr>
                <w:sz w:val="15"/>
                <w:szCs w:val="15"/>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Mark Cuban (above 10% voting ownership)</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r>
      <w:tr>
        <w:trPr>
          <w:trHeight w:val="150"/>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Key Executive Officers and immediate families</w:t>
            </w:r>
          </w:p>
        </w:tc>
        <w:tc>
          <w:tcPr>
            <w:tcW w:w="2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Ellen M. Cotter</w:t>
            </w:r>
          </w:p>
        </w:tc>
        <w:tc>
          <w:tcPr>
            <w:tcW w:w="44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i w:val="1"/>
                <w:iCs w:val="1"/>
                <w:color w:val="auto"/>
              </w:rPr>
              <w:t>Part I, Item 1 – Our Business – Key Executive Officers of the</w:t>
            </w:r>
          </w:p>
        </w:tc>
      </w:tr>
      <w:tr>
        <w:trPr>
          <w:trHeight w:val="165"/>
        </w:trPr>
        <w:tc>
          <w:tcPr>
            <w:tcW w:w="2920" w:type="dxa"/>
            <w:vAlign w:val="bottom"/>
          </w:tcPr>
          <w:p>
            <w:pPr>
              <w:spacing w:after="0"/>
              <w:rPr>
                <w:sz w:val="14"/>
                <w:szCs w:val="14"/>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Margaret Cotter</w:t>
            </w:r>
          </w:p>
        </w:tc>
        <w:tc>
          <w:tcPr>
            <w:tcW w:w="4460" w:type="dxa"/>
            <w:vAlign w:val="bottom"/>
            <w:gridSpan w:val="3"/>
          </w:tcPr>
          <w:p>
            <w:pPr>
              <w:ind w:left="300"/>
              <w:spacing w:after="0"/>
              <w:rPr>
                <w:sz w:val="20"/>
                <w:szCs w:val="20"/>
                <w:color w:val="auto"/>
              </w:rPr>
            </w:pPr>
            <w:r>
              <w:rPr>
                <w:rFonts w:ascii="Times New Roman" w:cs="Times New Roman" w:eastAsia="Times New Roman" w:hAnsi="Times New Roman"/>
                <w:sz w:val="13"/>
                <w:szCs w:val="13"/>
                <w:i w:val="1"/>
                <w:iCs w:val="1"/>
                <w:color w:val="auto"/>
              </w:rPr>
              <w:t xml:space="preserve">Registrant </w:t>
            </w:r>
            <w:r>
              <w:rPr>
                <w:rFonts w:ascii="Times New Roman" w:cs="Times New Roman" w:eastAsia="Times New Roman" w:hAnsi="Times New Roman"/>
                <w:sz w:val="13"/>
                <w:szCs w:val="13"/>
                <w:color w:val="auto"/>
              </w:rPr>
              <w:t>for their profile.</w:t>
            </w:r>
          </w:p>
        </w:tc>
      </w:tr>
      <w:tr>
        <w:trPr>
          <w:trHeight w:val="163"/>
        </w:trPr>
        <w:tc>
          <w:tcPr>
            <w:tcW w:w="2920" w:type="dxa"/>
            <w:vAlign w:val="bottom"/>
          </w:tcPr>
          <w:p>
            <w:pPr>
              <w:spacing w:after="0"/>
              <w:rPr>
                <w:sz w:val="14"/>
                <w:szCs w:val="14"/>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Devasis Ghose</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Andrzej J. Matyczynski</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Robert F. Smerling</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Wayne D. Smith</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55"/>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Investments in Joint Ventures accounted for</w:t>
            </w: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Rialto Cinemas</w:t>
            </w:r>
          </w:p>
        </w:tc>
        <w:tc>
          <w:tcPr>
            <w:tcW w:w="44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i w:val="1"/>
                <w:iCs w:val="1"/>
                <w:color w:val="auto"/>
              </w:rPr>
              <w:t>Note 6 – Investment in Joint Ventures</w:t>
            </w:r>
          </w:p>
        </w:tc>
      </w:tr>
      <w:tr>
        <w:trPr>
          <w:trHeight w:val="173"/>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under equity method</w:t>
            </w: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Mt. Gravatt</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r>
      <w:tr>
        <w:trPr>
          <w:trHeight w:val="130"/>
        </w:trPr>
        <w:tc>
          <w:tcPr>
            <w:tcW w:w="29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auto"/>
              </w:rPr>
              <w:t>Other Affiliates</w:t>
            </w:r>
          </w:p>
        </w:tc>
        <w:tc>
          <w:tcPr>
            <w:tcW w:w="2780" w:type="dxa"/>
            <w:vAlign w:val="bottom"/>
          </w:tcPr>
          <w:p>
            <w:pPr>
              <w:ind w:left="200"/>
              <w:spacing w:after="0" w:line="130" w:lineRule="exact"/>
              <w:rPr>
                <w:sz w:val="20"/>
                <w:szCs w:val="20"/>
                <w:color w:val="auto"/>
              </w:rPr>
            </w:pPr>
            <w:r>
              <w:rPr>
                <w:rFonts w:ascii="Times New Roman" w:cs="Times New Roman" w:eastAsia="Times New Roman" w:hAnsi="Times New Roman"/>
                <w:sz w:val="13"/>
                <w:szCs w:val="13"/>
                <w:color w:val="auto"/>
              </w:rPr>
              <w:t>Entities under common control</w:t>
            </w:r>
          </w:p>
        </w:tc>
        <w:tc>
          <w:tcPr>
            <w:tcW w:w="4460" w:type="dxa"/>
            <w:vAlign w:val="bottom"/>
            <w:gridSpan w:val="3"/>
          </w:tcPr>
          <w:p>
            <w:pPr>
              <w:ind w:left="300"/>
              <w:spacing w:after="0" w:line="13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Refer to </w:t>
            </w:r>
            <w:hyperlink w:anchor="page169">
              <w:r>
                <w:rPr>
                  <w:rFonts w:ascii="Times New Roman" w:cs="Times New Roman" w:eastAsia="Times New Roman" w:hAnsi="Times New Roman"/>
                  <w:sz w:val="13"/>
                  <w:szCs w:val="13"/>
                  <w:b w:val="1"/>
                  <w:bCs w:val="1"/>
                  <w:color w:val="0000EE"/>
                </w:rPr>
                <w:t>Exhibit 21</w:t>
              </w:r>
              <w:r>
                <w:rPr>
                  <w:rFonts w:ascii="Times New Roman" w:cs="Times New Roman" w:eastAsia="Times New Roman" w:hAnsi="Times New Roman"/>
                  <w:sz w:val="13"/>
                  <w:szCs w:val="13"/>
                  <w:color w:val="auto"/>
                </w:rPr>
                <w:t xml:space="preserve"> </w:t>
              </w:r>
            </w:hyperlink>
            <w:r>
              <w:rPr>
                <w:rFonts w:ascii="Times New Roman" w:cs="Times New Roman" w:eastAsia="Times New Roman" w:hAnsi="Times New Roman"/>
                <w:sz w:val="13"/>
                <w:szCs w:val="13"/>
                <w:color w:val="auto"/>
              </w:rPr>
              <w:t>of this 2017 Form 10-K filing for the complete list of</w:t>
            </w:r>
          </w:p>
        </w:tc>
      </w:tr>
      <w:tr>
        <w:trPr>
          <w:trHeight w:val="20"/>
        </w:trPr>
        <w:tc>
          <w:tcPr>
            <w:tcW w:w="2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65"/>
        </w:trPr>
        <w:tc>
          <w:tcPr>
            <w:tcW w:w="2920" w:type="dxa"/>
            <w:vAlign w:val="bottom"/>
          </w:tcPr>
          <w:p>
            <w:pPr>
              <w:spacing w:after="0"/>
              <w:rPr>
                <w:sz w:val="14"/>
                <w:szCs w:val="14"/>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All subsidiaries of RDI</w:t>
            </w:r>
          </w:p>
        </w:tc>
        <w:tc>
          <w:tcPr>
            <w:tcW w:w="44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subsidiaries. Refer below for further discussions on certain key transactions</w:t>
            </w:r>
          </w:p>
        </w:tc>
      </w:tr>
      <w:tr>
        <w:trPr>
          <w:trHeight w:val="175"/>
        </w:trPr>
        <w:tc>
          <w:tcPr>
            <w:tcW w:w="29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color w:val="auto"/>
              </w:rPr>
              <w:t>with related parties, including those with minority interests.</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Sutton Hill Capital</w:t>
      </w:r>
    </w:p>
    <w:p>
      <w:pPr>
        <w:spacing w:after="0" w:line="3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or the Cotter Trust and a third party.</w:t>
      </w:r>
    </w:p>
    <w:p>
      <w:pPr>
        <w:spacing w:after="0" w:line="12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As previously reported, over the years, two of the cinemas subject to the master leasing agreement have been redeveloped and one (the Cinemas 1,2,3 discussed below) has been acquired. The Village East is the only cinema that remains subject to this master lease. We paid an annual rent of $590,000 for this cinema to SHC in each of 2017, 2016 and 2015. During this same period, we received management fees from the 86</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xml:space="preserve"> Street Cinema of $141,000, $150,000 and $151,000 during the years ended December 31, 2017, 2016 and 2015, respectively.</w:t>
      </w:r>
    </w:p>
    <w:p>
      <w:pPr>
        <w:spacing w:after="0" w:line="13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Since the acquisition by SHC of its 25% interest, SHP has covered its operating costs and debt service through cash flow from the Cinema 1,2,3, (ii) borrowings from third parties, and (iii) pro-rata contributions from the members. We receive an annual management fee equal to 5% of SHP’s gross income for managing the cinema and the property, amounting to $177,000 during 2015. This management fee was modified in 2015, as discussed below, retroactive to December 1, 2014.</w:t>
      </w:r>
    </w:p>
    <w:p>
      <w:pPr>
        <w:spacing w:after="0" w:line="3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On June 29, 2010, we agreed to extend our existing lease from SHC of the Village East Cinema by 10 years, with a new termination date of June 30, 2020. This amendment was reviewed and approved by our Audit and Conflicts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recorded the Village East Cinema building as a property asset of $4.7 million on our balance sheet based on the cost carry-over basis from an entity under common control with a corresponding capital lease liability of $5.9 million presented under other liabilities (see </w:t>
      </w:r>
      <w:r>
        <w:rPr>
          <w:rFonts w:ascii="Times New Roman" w:cs="Times New Roman" w:eastAsia="Times New Roman" w:hAnsi="Times New Roman"/>
          <w:sz w:val="14"/>
          <w:szCs w:val="14"/>
          <w:i w:val="1"/>
          <w:iCs w:val="1"/>
          <w:color w:val="auto"/>
        </w:rPr>
        <w:t>Note 11 – Pension and Other Liabilities</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6" w:right="739" w:bottom="1440" w:gutter="0" w:footer="0" w:header="0"/>
        </w:sectPr>
      </w:pPr>
    </w:p>
    <w:bookmarkStart w:id="105" w:name="page106"/>
    <w:bookmarkEnd w:id="105"/>
    <w:p>
      <w:pPr>
        <w:ind w:right="20"/>
        <w:spacing w:after="0" w:line="262" w:lineRule="auto"/>
        <w:rPr>
          <w:sz w:val="20"/>
          <w:szCs w:val="20"/>
          <w:color w:val="auto"/>
        </w:rPr>
      </w:pPr>
      <w:r>
        <w:rPr>
          <w:rFonts w:ascii="Times New Roman" w:cs="Times New Roman" w:eastAsia="Times New Roman" w:hAnsi="Times New Roman"/>
          <w:sz w:val="14"/>
          <w:szCs w:val="14"/>
          <w:color w:val="auto"/>
        </w:rPr>
        <w:t>In February 2015, we and SHP entered into an amendment to the management agreement dated as of June 27, 2007 between us and SHP. The amendment, which was retroactive to December 1, 2014, memorialized our undertaking to SHP with respect to $750,000 (the “Renovation Funding Amount”) of renovations to Cinemas 1,2,3 funded or to be funded by us. In consideration of our funding of the renovations, our annual management fee under the management agreement was increased commencing January 1, 2015 by an amount equivalent to 100% of any incremental positive cash flow of Cinemas 1,2,3 over the average annual positive cash flow of the Cinemas 1,2,3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2017, 2016 and 2015, we received no Improvements Fee. This amendment was approved by SHC and by the Audit and Conflicts Committee of our Board of Directors.</w:t>
      </w:r>
    </w:p>
    <w:p>
      <w:pPr>
        <w:spacing w:after="0" w:line="1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 xml:space="preserve">On August 31, 2016, we refinanced the debt of Cinemas 1, 2, 3, pursuant to a $20.0 million loan from Valley National Bank. Refer to </w:t>
      </w:r>
      <w:r>
        <w:rPr>
          <w:rFonts w:ascii="Times New Roman" w:cs="Times New Roman" w:eastAsia="Times New Roman" w:hAnsi="Times New Roman"/>
          <w:sz w:val="14"/>
          <w:szCs w:val="14"/>
          <w:i w:val="1"/>
          <w:iCs w:val="1"/>
          <w:color w:val="auto"/>
        </w:rPr>
        <w:t>Note 10 – Borrowings</w:t>
      </w:r>
      <w:r>
        <w:rPr>
          <w:rFonts w:ascii="Times New Roman" w:cs="Times New Roman" w:eastAsia="Times New Roman" w:hAnsi="Times New Roman"/>
          <w:sz w:val="14"/>
          <w:szCs w:val="14"/>
          <w:color w:val="auto"/>
        </w:rPr>
        <w:t xml:space="preserve"> for further details on this loan transaction. The proceeds from the loan were used to retire an existing $15.0 million first mortgage loan and the above referenced $2.9 million intercompany loan, with the remainder to be used for working capital and to cover cash flow shortfalls. Since the cash flow from the Cinemas 1, 2, 3 is not sufficient to service this loan, it is anticipated that the members of SHP (our Company and SHC) will ultimately need to make periodic contributions to the capital of SHP in order to avoid dilution of their respective interests in SHP. In 2016, our Company and SHC funded capital calls of $506,000 and $169,000, respectively. No contributions were called on in 2017.</w:t>
      </w:r>
    </w:p>
    <w:p>
      <w:pPr>
        <w:spacing w:after="0" w:line="14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and Conflicts Committee of our Board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OBI Management Agreement</w:t>
      </w:r>
    </w:p>
    <w:p>
      <w:pPr>
        <w:spacing w:after="0" w:line="3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Pursuant to a Theater Management Agreement (the “Management Agreement”), our live theater operations were, until March 2016, managed by Off-Broadway Investments, LLC (“OBI Management”), which is wholly owned by Ms. Margaret Cotter who is the daughter of the late Mr. James J. Cotter, Sr., the sister of Ellen Cotter and James Cotter, Jr., and a member of our Board of Directors. That Management Agreement was terminated effective March 10, 2016 in connection with the retention by our Company of Margaret Cotter as a full time employee.</w:t>
      </w:r>
    </w:p>
    <w:p>
      <w:pPr>
        <w:spacing w:after="0" w:line="11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The Theater Management Agreement generally provided for the payment of a combination of fixed and incentive fees for the management of our four live theaters that were operating during this time. Historically, these fees have equated to approximately 21% of the net cash flow generated by these properties. The fees to be paid to OBI for 2016 and 2015 were 79,000 and 589,000, respectively. We also reimbursed OBI for certain travel expenses, shared the cost of an administrative assistant and provided office space at our New York offices. The increase in the payment to OBI for 2015 was attributable to work done by Margaret Cotter, working through OBI, with respect to the development of our Union Square and Cinemas 1,2,3 properties.</w:t>
      </w:r>
    </w:p>
    <w:p>
      <w:pPr>
        <w:spacing w:after="0" w:line="117"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4"/>
          <w:szCs w:val="14"/>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 The Management Agreement renewed automatically each year unless either party gives at least six months’ prior notice of its determination to allow the Management Agreement to expire. In addition, we could terminate the Management Agreement at any time for cause.</w:t>
      </w:r>
    </w:p>
    <w:p>
      <w:pPr>
        <w:spacing w:after="0" w:line="10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Effective March 10, 2016, Margaret Cotter became a full time employee of the Company and the Management Agreement was terminated. As Executive Vice-President Real Estate Management and Development - NYC, Ms. Cotter continues to be responsible for the management of our live theater assets, continues her role heading up the pre-redevelopment of our New York properties and is our senior executive responsible for the redevelopment of our New York properties. Pursuant to the termination agreement, Ms. Cotter gave up any right she might otherwise have, through OBI, to income from STOMP.</w:t>
      </w:r>
    </w:p>
    <w:p>
      <w:pPr>
        <w:spacing w:after="0" w:line="138"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4"/>
          <w:szCs w:val="14"/>
          <w:color w:val="auto"/>
        </w:rPr>
        <w:t>Ms. Cotter's compensation as Executive Vice-President was recommended by the Compensation Committee as part of an extensive review of our Company’s overall executive compensation and approved by the Board.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i w:val="1"/>
          <w:iCs w:val="1"/>
          <w:color w:val="auto"/>
        </w:rPr>
        <w:t>Live Theater Play Investment</w:t>
      </w:r>
    </w:p>
    <w:p>
      <w:pPr>
        <w:spacing w:after="0" w:line="3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 xml:space="preserve">From time to time, our officers and Directors may invest in plays that lease our live theaters. The play STOMP has been playing in our Orpheum Theatre since prior to the time we acquired the theatre in 2001. The Cotter Estate or the Cotter Trust and a third party own an approximately 5% interest in that play, an interest that they have held since prior to our acquisition of the theater. Refer to </w:t>
      </w:r>
      <w:r>
        <w:rPr>
          <w:rFonts w:ascii="Times New Roman" w:cs="Times New Roman" w:eastAsia="Times New Roman" w:hAnsi="Times New Roman"/>
          <w:sz w:val="14"/>
          <w:szCs w:val="14"/>
          <w:i w:val="1"/>
          <w:iCs w:val="1"/>
          <w:color w:val="auto"/>
        </w:rPr>
        <w:t>Note 12 – Commitments and Contingencies</w:t>
      </w:r>
      <w:r>
        <w:rPr>
          <w:rFonts w:ascii="Times New Roman" w:cs="Times New Roman" w:eastAsia="Times New Roman" w:hAnsi="Times New Roman"/>
          <w:sz w:val="14"/>
          <w:szCs w:val="14"/>
          <w:color w:val="auto"/>
        </w:rPr>
        <w:t xml:space="preserve"> for more information about the show STOMP.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Shadow View Land and Farming LLC</w:t>
      </w:r>
    </w:p>
    <w:p>
      <w:pPr>
        <w:spacing w:after="0" w:line="3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 xml:space="preserve">During 2012, Mr. James J. Cotter, Sr., our then Chairman, Chief Executive Officer and controlling stockholder, contributed $2.5 million cash and $255,000 of his 2011 bonus as his 50% share of the purchase price of a land parcel in Coachella, California and to cover his 50% share of certain costs associated with that acquisition. This land is held in Shadow View Land and Farming, LLC, in which the Cotter Estate or the Cotter Trust owns a 50% interest. We are the managing member of Shadow View Land and Farming, LLC (See Note 13 – </w:t>
      </w:r>
      <w:r>
        <w:rPr>
          <w:rFonts w:ascii="Times New Roman" w:cs="Times New Roman" w:eastAsia="Times New Roman" w:hAnsi="Times New Roman"/>
          <w:sz w:val="14"/>
          <w:szCs w:val="14"/>
          <w:i w:val="1"/>
          <w:iCs w:val="1"/>
          <w:color w:val="auto"/>
        </w:rPr>
        <w:t>Non-Controlling Interests</w:t>
      </w:r>
      <w:r>
        <w:rPr>
          <w:rFonts w:ascii="Times New Roman" w:cs="Times New Roman" w:eastAsia="Times New Roman" w:hAnsi="Times New Roman"/>
          <w:sz w:val="14"/>
          <w:szCs w:val="14"/>
          <w:color w:val="auto"/>
        </w:rPr>
        <w:t>). The property is held debt free, and operating and holding costs are covered by member contributions. The Audit and Conflicts Committee of the Board of Directors is charged with responsibility for oversight of our management of Shadow View.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19 – INSURANCE RECOVERIES ON IMPAIRMENT AND RELATED LOSSES DUE TO EARTHQUAKE</w:t>
      </w:r>
    </w:p>
    <w:p>
      <w:pPr>
        <w:spacing w:after="0" w:line="15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On November 14, 2016, we filed an initial insurance claim with our Insurer with respect to earthquake damage to our parking building adjacent to our Courtenay Central entertainment-themed center (“ETC”) in Wellington, New Zealand and to the ETC itself. Also, we filed a separate business interruption claim to recover lost profits as a result of the earthquake. As of December 31, 2016, we recorded a recoverable asset to the extent of our incurred losses that we deemed probable of recoverability under our insurance claim, consisting of the (i) written down carrying value of the damaged parking building and (ii) a significant portion of the derivative loss contingencies on demolition activities. We received an initial settlement from our Insurer in December 2016 amounting to $5.0 million (NZ$7.1 million). In April 2017, our insurance company concluded that our losses exceeded the earthquake coverage policy limit of $25.0 million (NZ$36.0 million) and thus paid a final settlement of US$20.0 million (NZ$28.9 million) in May 2017, taking us to the policy limit.</w:t>
      </w:r>
    </w:p>
    <w:p>
      <w:pPr>
        <w:spacing w:after="0" w:line="144"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4"/>
          <w:szCs w:val="14"/>
          <w:color w:val="auto"/>
        </w:rPr>
        <w:t>Over the course of assessing the total magnitude of earthquake damage up to the point of final insurance settlement, we determined our incurred losses and lost profits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Allocation of Insurance</w:t>
            </w:r>
          </w:p>
        </w:tc>
      </w:tr>
      <w:tr>
        <w:trPr>
          <w:trHeight w:val="163"/>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Basis for Allocation</w:t>
            </w: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ind w:right="355"/>
              <w:spacing w:after="0"/>
              <w:rPr>
                <w:sz w:val="20"/>
                <w:szCs w:val="20"/>
                <w:color w:val="auto"/>
              </w:rPr>
            </w:pPr>
            <w:r>
              <w:rPr>
                <w:rFonts w:ascii="Times New Roman" w:cs="Times New Roman" w:eastAsia="Times New Roman" w:hAnsi="Times New Roman"/>
                <w:sz w:val="13"/>
                <w:szCs w:val="13"/>
                <w:b w:val="1"/>
                <w:bCs w:val="1"/>
                <w:color w:val="auto"/>
              </w:rPr>
              <w:t>Proceeds</w:t>
            </w:r>
          </w:p>
        </w:tc>
      </w:tr>
      <w:tr>
        <w:trPr>
          <w:trHeight w:val="177"/>
        </w:trPr>
        <w:tc>
          <w:tcPr>
            <w:tcW w:w="198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Covered Risks</w:t>
            </w:r>
          </w:p>
        </w:tc>
        <w:tc>
          <w:tcPr>
            <w:tcW w:w="156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Pr>
          <w:p>
            <w:pPr>
              <w:spacing w:after="0"/>
              <w:rPr>
                <w:sz w:val="15"/>
                <w:szCs w:val="15"/>
                <w:color w:val="auto"/>
              </w:rPr>
            </w:pPr>
          </w:p>
        </w:tc>
        <w:tc>
          <w:tcPr>
            <w:tcW w:w="3340" w:type="dxa"/>
            <w:vAlign w:val="bottom"/>
            <w:gridSpan w:val="2"/>
          </w:tcPr>
          <w:p>
            <w:pPr>
              <w:ind w:left="1220"/>
              <w:spacing w:after="0"/>
              <w:rPr>
                <w:sz w:val="20"/>
                <w:szCs w:val="20"/>
                <w:color w:val="auto"/>
              </w:rPr>
            </w:pPr>
            <w:r>
              <w:rPr>
                <w:rFonts w:ascii="Times New Roman" w:cs="Times New Roman" w:eastAsia="Times New Roman" w:hAnsi="Times New Roman"/>
                <w:sz w:val="13"/>
                <w:szCs w:val="13"/>
                <w:b w:val="1"/>
                <w:bCs w:val="1"/>
                <w:color w:val="auto"/>
              </w:rPr>
              <w:t>Commentary</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 Allocation</w:t>
            </w:r>
          </w:p>
        </w:tc>
        <w:tc>
          <w:tcPr>
            <w:tcW w:w="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r>
      <w:tr>
        <w:trPr>
          <w:trHeight w:val="152"/>
        </w:trPr>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damage</w:t>
            </w:r>
          </w:p>
        </w:tc>
        <w:tc>
          <w:tcPr>
            <w:tcW w:w="2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NZ$</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44,808</w:t>
            </w:r>
          </w:p>
        </w:tc>
        <w:tc>
          <w:tcPr>
            <w:tcW w:w="180" w:type="dxa"/>
            <w:vAlign w:val="bottom"/>
            <w:tcBorders>
              <w:top w:val="single" w:sz="8" w:color="CCEEFF"/>
            </w:tcBorders>
            <w:shd w:val="clear" w:color="auto" w:fill="CCEEFF"/>
          </w:tcPr>
          <w:p>
            <w:pPr>
              <w:spacing w:after="0"/>
              <w:rPr>
                <w:sz w:val="13"/>
                <w:szCs w:val="13"/>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Estimated replacement cost for Courtenay Central parking</w:t>
            </w:r>
          </w:p>
        </w:tc>
        <w:tc>
          <w:tcPr>
            <w:tcW w:w="16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NZ$</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29,093</w:t>
            </w:r>
          </w:p>
        </w:tc>
      </w:tr>
      <w:tr>
        <w:trPr>
          <w:trHeight w:val="163"/>
        </w:trPr>
        <w:tc>
          <w:tcPr>
            <w:tcW w:w="1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building, as determined by an independent construction cost</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3"/>
        </w:trPr>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consultant.</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52"/>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Demolition costs</w:t>
            </w:r>
          </w:p>
        </w:tc>
        <w:tc>
          <w:tcPr>
            <w:tcW w:w="7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7,276</w:t>
            </w: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Actual costs incurred and best estimates of remaining costs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4,724</w:t>
            </w:r>
          </w:p>
        </w:tc>
      </w:tr>
      <w:tr>
        <w:trPr>
          <w:trHeight w:val="163"/>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to complete the demolition activities of Courtenay Central</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parking building</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5"/>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Business interruption</w:t>
            </w:r>
          </w:p>
        </w:tc>
        <w:tc>
          <w:tcPr>
            <w:tcW w:w="7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3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Estimated lost profits during the closure period relating to</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w:t>
            </w:r>
          </w:p>
        </w:tc>
      </w:tr>
      <w:tr>
        <w:trPr>
          <w:trHeight w:val="163"/>
        </w:trPr>
        <w:tc>
          <w:tcPr>
            <w:tcW w:w="1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our various revenue-generating components within</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63"/>
        </w:trPr>
        <w:tc>
          <w:tcPr>
            <w:tcW w:w="1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Courtenay Central ETC (including our cinema and property</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3"/>
        </w:trPr>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3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operations)</w:t>
            </w:r>
          </w:p>
        </w:tc>
        <w:tc>
          <w:tcPr>
            <w:tcW w:w="130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r>
      <w:tr>
        <w:trPr>
          <w:trHeight w:val="155"/>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NZ$</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55,499</w:t>
            </w:r>
          </w:p>
        </w:tc>
        <w:tc>
          <w:tcPr>
            <w:tcW w:w="1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100%</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NZ$</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36,034</w:t>
            </w: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4" w:right="7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color w:val="auto"/>
        </w:rPr>
        <w:t>As a result of the final settlement, we recorded total insurance gain of $10.7 million (NZ$14.8 million) during the quarter ended June 30, 2017, determined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Recoverable Components</w:t>
            </w: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Non-Operating Income</w:t>
            </w: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63"/>
              <w:spacing w:after="0"/>
              <w:rPr>
                <w:sz w:val="20"/>
                <w:szCs w:val="20"/>
                <w:color w:val="auto"/>
              </w:rPr>
            </w:pPr>
            <w:r>
              <w:rPr>
                <w:rFonts w:ascii="Times New Roman" w:cs="Times New Roman" w:eastAsia="Times New Roman" w:hAnsi="Times New Roman"/>
                <w:sz w:val="12"/>
                <w:szCs w:val="12"/>
                <w:b w:val="1"/>
                <w:bCs w:val="1"/>
                <w:color w:val="auto"/>
                <w:w w:val="96"/>
              </w:rPr>
              <w:t>Operating Income</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38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i w:val="1"/>
                <w:iCs w:val="1"/>
                <w:color w:val="auto"/>
              </w:rPr>
              <w:t>(mainly in New Zealand Dollars in thousands, unless otherwise stated)</w:t>
            </w:r>
          </w:p>
        </w:tc>
        <w:tc>
          <w:tcPr>
            <w:tcW w:w="120" w:type="dxa"/>
            <w:vAlign w:val="bottom"/>
          </w:tcPr>
          <w:p>
            <w:pPr>
              <w:spacing w:after="0"/>
              <w:rPr>
                <w:sz w:val="8"/>
                <w:szCs w:val="8"/>
                <w:color w:val="auto"/>
              </w:rPr>
            </w:pP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f</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right"/>
              <w:ind w:right="163"/>
              <w:spacing w:after="0" w:line="100" w:lineRule="exact"/>
              <w:rPr>
                <w:sz w:val="20"/>
                <w:szCs w:val="20"/>
                <w:color w:val="auto"/>
              </w:rPr>
            </w:pPr>
            <w:r>
              <w:rPr>
                <w:rFonts w:ascii="Times New Roman" w:cs="Times New Roman" w:eastAsia="Times New Roman" w:hAnsi="Times New Roman"/>
                <w:sz w:val="10"/>
                <w:szCs w:val="10"/>
                <w:b w:val="1"/>
                <w:bCs w:val="1"/>
                <w:color w:val="auto"/>
              </w:rPr>
              <w:t>Property</w:t>
            </w:r>
          </w:p>
        </w:tc>
        <w:tc>
          <w:tcPr>
            <w:tcW w:w="100" w:type="dxa"/>
            <w:vAlign w:val="bottom"/>
          </w:tcPr>
          <w:p>
            <w:pPr>
              <w:spacing w:after="0"/>
              <w:rPr>
                <w:sz w:val="8"/>
                <w:szCs w:val="8"/>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Demolition Costs</w:t>
            </w:r>
            <w:r>
              <w:rPr>
                <w:rFonts w:ascii="Times New Roman" w:cs="Times New Roman" w:eastAsia="Times New Roman" w:hAnsi="Times New Roman"/>
                <w:sz w:val="5"/>
                <w:szCs w:val="5"/>
                <w:b w:val="1"/>
                <w:bCs w:val="1"/>
                <w:color w:val="auto"/>
              </w:rPr>
              <w:t>(1)</w:t>
            </w:r>
          </w:p>
        </w:tc>
        <w:tc>
          <w:tcPr>
            <w:tcW w:w="280" w:type="dxa"/>
            <w:vAlign w:val="bottom"/>
          </w:tcPr>
          <w:p>
            <w:pPr>
              <w:spacing w:after="0"/>
              <w:rPr>
                <w:sz w:val="8"/>
                <w:szCs w:val="8"/>
                <w:color w:val="auto"/>
              </w:rPr>
            </w:pPr>
          </w:p>
        </w:tc>
        <w:tc>
          <w:tcPr>
            <w:tcW w:w="760" w:type="dxa"/>
            <w:vAlign w:val="bottom"/>
            <w:vMerge w:val="restart"/>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40" w:type="dxa"/>
            <w:vAlign w:val="bottom"/>
          </w:tcPr>
          <w:p>
            <w:pPr>
              <w:spacing w:after="0"/>
              <w:rPr>
                <w:sz w:val="8"/>
                <w:szCs w:val="8"/>
                <w:color w:val="auto"/>
              </w:rPr>
            </w:pPr>
          </w:p>
        </w:tc>
        <w:tc>
          <w:tcPr>
            <w:tcW w:w="820" w:type="dxa"/>
            <w:vAlign w:val="bottom"/>
          </w:tcPr>
          <w:p>
            <w:pPr>
              <w:jc w:val="center"/>
              <w:ind w:right="283"/>
              <w:spacing w:after="0" w:line="100" w:lineRule="exact"/>
              <w:rPr>
                <w:sz w:val="20"/>
                <w:szCs w:val="20"/>
                <w:color w:val="auto"/>
              </w:rPr>
            </w:pPr>
            <w:r>
              <w:rPr>
                <w:rFonts w:ascii="Times New Roman" w:cs="Times New Roman" w:eastAsia="Times New Roman" w:hAnsi="Times New Roman"/>
                <w:sz w:val="10"/>
                <w:szCs w:val="10"/>
                <w:b w:val="1"/>
                <w:bCs w:val="1"/>
                <w:color w:val="auto"/>
              </w:rPr>
              <w:t>Business</w:t>
            </w:r>
          </w:p>
        </w:tc>
        <w:tc>
          <w:tcPr>
            <w:tcW w:w="92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Grand Total</w:t>
            </w:r>
          </w:p>
        </w:tc>
        <w:tc>
          <w:tcPr>
            <w:tcW w:w="0" w:type="dxa"/>
            <w:vAlign w:val="bottom"/>
          </w:tcPr>
          <w:p>
            <w:pPr>
              <w:spacing w:after="0"/>
              <w:rPr>
                <w:sz w:val="1"/>
                <w:szCs w:val="1"/>
                <w:color w:val="auto"/>
              </w:rPr>
            </w:pPr>
          </w:p>
        </w:tc>
      </w:tr>
      <w:tr>
        <w:trPr>
          <w:trHeight w:val="139"/>
        </w:trPr>
        <w:tc>
          <w:tcPr>
            <w:tcW w:w="43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gridSpan w:val="2"/>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Damage</w:t>
            </w:r>
            <w:r>
              <w:rPr>
                <w:rFonts w:ascii="Times New Roman" w:cs="Times New Roman" w:eastAsia="Times New Roman" w:hAnsi="Times New Roman"/>
                <w:sz w:val="5"/>
                <w:szCs w:val="5"/>
                <w:b w:val="1"/>
                <w:bCs w:val="1"/>
                <w:color w:val="auto"/>
              </w:rPr>
              <w:t>(1)</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60" w:type="dxa"/>
            <w:vAlign w:val="bottom"/>
            <w:gridSpan w:val="2"/>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w w:val="96"/>
              </w:rPr>
              <w:t>Interruption</w:t>
            </w:r>
            <w:r>
              <w:rPr>
                <w:rFonts w:ascii="Times New Roman" w:cs="Times New Roman" w:eastAsia="Times New Roman" w:hAnsi="Times New Roman"/>
                <w:sz w:val="5"/>
                <w:szCs w:val="5"/>
                <w:b w:val="1"/>
                <w:bCs w:val="1"/>
                <w:color w:val="auto"/>
                <w:w w:val="96"/>
              </w:rPr>
              <w:t>(2)</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w w:val="95"/>
              </w:rPr>
              <w:t>Insurance Proceed Allocation</w:t>
            </w:r>
          </w:p>
        </w:tc>
        <w:tc>
          <w:tcPr>
            <w:tcW w:w="2940" w:type="dxa"/>
            <w:vAlign w:val="bottom"/>
            <w:tcBorders>
              <w:bottom w:val="single" w:sz="8" w:color="CCEEFF"/>
            </w:tcBorders>
            <w:gridSpan w:val="2"/>
            <w:shd w:val="clear" w:color="auto" w:fill="CCEEFF"/>
          </w:tcPr>
          <w:p>
            <w:pPr>
              <w:spacing w:after="0"/>
              <w:rPr>
                <w:sz w:val="14"/>
                <w:szCs w:val="14"/>
                <w:color w:val="auto"/>
              </w:rPr>
            </w:pPr>
          </w:p>
        </w:tc>
        <w:tc>
          <w:tcPr>
            <w:tcW w:w="7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A</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29,093</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4,724</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33,817</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2,217</w:t>
            </w: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36,034</w:t>
            </w:r>
          </w:p>
        </w:tc>
        <w:tc>
          <w:tcPr>
            <w:tcW w:w="0" w:type="dxa"/>
            <w:vAlign w:val="bottom"/>
          </w:tcPr>
          <w:p>
            <w:pPr>
              <w:spacing w:after="0"/>
              <w:rPr>
                <w:sz w:val="1"/>
                <w:szCs w:val="1"/>
                <w:color w:val="auto"/>
              </w:rPr>
            </w:pPr>
          </w:p>
        </w:tc>
      </w:tr>
      <w:tr>
        <w:trPr>
          <w:trHeight w:val="144"/>
        </w:trPr>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i w:val="1"/>
                <w:iCs w:val="1"/>
                <w:color w:val="auto"/>
                <w:w w:val="95"/>
              </w:rPr>
              <w:t>Movements in Recoverable Components</w:t>
            </w: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expected incurred losses, November 30, 2016</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B</w:t>
            </w:r>
          </w:p>
        </w:tc>
        <w:tc>
          <w:tcPr>
            <w:tcW w:w="2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8,500</w:t>
            </w:r>
          </w:p>
        </w:tc>
        <w:tc>
          <w:tcPr>
            <w:tcW w:w="2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22,746</w:t>
            </w:r>
          </w:p>
        </w:tc>
        <w:tc>
          <w:tcPr>
            <w:tcW w:w="24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22,746</w:t>
            </w:r>
          </w:p>
        </w:tc>
        <w:tc>
          <w:tcPr>
            <w:tcW w:w="0" w:type="dxa"/>
            <w:vAlign w:val="bottom"/>
          </w:tcPr>
          <w:p>
            <w:pPr>
              <w:spacing w:after="0"/>
              <w:rPr>
                <w:sz w:val="1"/>
                <w:szCs w:val="1"/>
                <w:color w:val="auto"/>
              </w:rPr>
            </w:pPr>
          </w:p>
        </w:tc>
      </w:tr>
      <w:tr>
        <w:trPr>
          <w:trHeight w:val="163"/>
        </w:trPr>
        <w:tc>
          <w:tcPr>
            <w:tcW w:w="43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i w:val="1"/>
                <w:iCs w:val="1"/>
                <w:color w:val="auto"/>
              </w:rPr>
              <w:t>Less</w:t>
            </w:r>
            <w:r>
              <w:rPr>
                <w:rFonts w:ascii="Times New Roman" w:cs="Times New Roman" w:eastAsia="Times New Roman" w:hAnsi="Times New Roman"/>
                <w:sz w:val="12"/>
                <w:szCs w:val="12"/>
                <w:b w:val="1"/>
                <w:bCs w:val="1"/>
                <w:color w:val="auto"/>
              </w:rPr>
              <w:t>: Casualty Losses recorded in 2016 Earnings</w:t>
            </w:r>
            <w:r>
              <w:rPr>
                <w:rFonts w:ascii="Times New Roman" w:cs="Times New Roman" w:eastAsia="Times New Roman" w:hAnsi="Times New Roman"/>
                <w:sz w:val="5"/>
                <w:szCs w:val="5"/>
                <w:b w:val="1"/>
                <w:bCs w:val="1"/>
                <w:color w:val="auto"/>
              </w:rPr>
              <w:t>(3)</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b w:val="1"/>
                <w:bCs w:val="1"/>
                <w:color w:val="auto"/>
              </w:rPr>
              <w:t>- in NZ$</w:t>
            </w: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C</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(795)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(1,224)</w:t>
            </w:r>
          </w:p>
        </w:tc>
        <w:tc>
          <w:tcPr>
            <w:tcW w:w="280" w:type="dxa"/>
            <w:vAlign w:val="bottom"/>
          </w:tcPr>
          <w:p>
            <w:pPr>
              <w:spacing w:after="0"/>
              <w:rPr>
                <w:sz w:val="14"/>
                <w:szCs w:val="14"/>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(2,019)</w:t>
            </w:r>
          </w:p>
        </w:tc>
        <w:tc>
          <w:tcPr>
            <w:tcW w:w="240" w:type="dxa"/>
            <w:vAlign w:val="bottom"/>
          </w:tcPr>
          <w:p>
            <w:pPr>
              <w:spacing w:after="0"/>
              <w:rPr>
                <w:sz w:val="14"/>
                <w:szCs w:val="14"/>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0" w:type="dxa"/>
            <w:vAlign w:val="bottom"/>
          </w:tcPr>
          <w:p>
            <w:pPr>
              <w:spacing w:after="0"/>
              <w:rPr>
                <w:sz w:val="1"/>
                <w:szCs w:val="1"/>
                <w:color w:val="auto"/>
              </w:rPr>
            </w:pPr>
          </w:p>
        </w:tc>
      </w:tr>
      <w:tr>
        <w:trPr>
          <w:trHeight w:val="22"/>
        </w:trPr>
        <w:tc>
          <w:tcPr>
            <w:tcW w:w="2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2"/>
                <w:szCs w:val="12"/>
                <w:b w:val="1"/>
                <w:bCs w:val="1"/>
                <w:i w:val="1"/>
                <w:iCs w:val="1"/>
                <w:color w:val="auto"/>
              </w:rPr>
              <w:t>- in US$</w:t>
            </w:r>
          </w:p>
        </w:tc>
        <w:tc>
          <w:tcPr>
            <w:tcW w:w="7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D</w:t>
            </w: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 w:type="dxa"/>
            <w:vAlign w:val="bottom"/>
            <w:tcBorders>
              <w:right w:val="single" w:sz="8" w:color="CCEEFF"/>
            </w:tcBorders>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60" w:type="dxa"/>
            <w:vAlign w:val="bottom"/>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w w:val="86"/>
              </w:rPr>
              <w:t>US$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(560)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US$</w:t>
            </w:r>
          </w:p>
        </w:tc>
        <w:tc>
          <w:tcPr>
            <w:tcW w:w="64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i w:val="1"/>
                <w:iCs w:val="1"/>
                <w:color w:val="auto"/>
              </w:rPr>
              <w:t>(861)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US$</w:t>
            </w:r>
          </w:p>
        </w:tc>
        <w:tc>
          <w:tcPr>
            <w:tcW w:w="76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i w:val="1"/>
                <w:iCs w:val="1"/>
                <w:color w:val="auto"/>
              </w:rPr>
              <w:t>(1,421)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US$</w:t>
            </w:r>
          </w:p>
        </w:tc>
        <w:tc>
          <w:tcPr>
            <w:tcW w:w="82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i w:val="1"/>
                <w:iCs w:val="1"/>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US$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(1,421)</w:t>
            </w:r>
          </w:p>
        </w:tc>
        <w:tc>
          <w:tcPr>
            <w:tcW w:w="0" w:type="dxa"/>
            <w:vAlign w:val="bottom"/>
          </w:tcPr>
          <w:p>
            <w:pPr>
              <w:spacing w:after="0"/>
              <w:rPr>
                <w:sz w:val="1"/>
                <w:szCs w:val="1"/>
                <w:color w:val="auto"/>
              </w:rPr>
            </w:pPr>
          </w:p>
        </w:tc>
      </w:tr>
      <w:tr>
        <w:trPr>
          <w:trHeight w:val="131"/>
        </w:trPr>
        <w:tc>
          <w:tcPr>
            <w:tcW w:w="4380" w:type="dxa"/>
            <w:vAlign w:val="bottom"/>
            <w:gridSpan w:val="4"/>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Recoverable Assets, December 31, 2016</w:t>
            </w:r>
            <w:r>
              <w:rPr>
                <w:rFonts w:ascii="Times New Roman" w:cs="Times New Roman" w:eastAsia="Times New Roman" w:hAnsi="Times New Roman"/>
                <w:sz w:val="5"/>
                <w:szCs w:val="5"/>
                <w:b w:val="1"/>
                <w:bCs w:val="1"/>
                <w:color w:val="auto"/>
              </w:rPr>
              <w:t>(4)</w:t>
            </w:r>
          </w:p>
        </w:tc>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E=B-C</w:t>
            </w:r>
          </w:p>
        </w:tc>
        <w:tc>
          <w:tcPr>
            <w:tcW w:w="2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13,451</w:t>
            </w:r>
          </w:p>
        </w:tc>
        <w:tc>
          <w:tcPr>
            <w:tcW w:w="100" w:type="dxa"/>
            <w:vAlign w:val="bottom"/>
            <w:vMerge w:val="restart"/>
          </w:tcPr>
          <w:p>
            <w:pPr>
              <w:spacing w:after="0"/>
              <w:rPr>
                <w:sz w:val="11"/>
                <w:szCs w:val="11"/>
                <w:color w:val="auto"/>
              </w:rPr>
            </w:pPr>
          </w:p>
        </w:tc>
        <w:tc>
          <w:tcPr>
            <w:tcW w:w="4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7,276</w:t>
            </w:r>
          </w:p>
        </w:tc>
        <w:tc>
          <w:tcPr>
            <w:tcW w:w="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20,727</w:t>
            </w:r>
          </w:p>
        </w:tc>
        <w:tc>
          <w:tcPr>
            <w:tcW w:w="2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top w:val="single" w:sz="8" w:color="auto"/>
            </w:tcBorders>
            <w:vMerge w:val="restart"/>
          </w:tcPr>
          <w:p>
            <w:pPr>
              <w:jc w:val="right"/>
              <w:ind w:right="43"/>
              <w:spacing w:after="0"/>
              <w:rPr>
                <w:sz w:val="20"/>
                <w:szCs w:val="20"/>
                <w:color w:val="auto"/>
              </w:rPr>
            </w:pPr>
            <w:r>
              <w:rPr>
                <w:rFonts w:ascii="Times New Roman" w:cs="Times New Roman" w:eastAsia="Times New Roman" w:hAnsi="Times New Roman"/>
                <w:sz w:val="12"/>
                <w:szCs w:val="12"/>
                <w:b w:val="1"/>
                <w:bCs w:val="1"/>
                <w:i w:val="1"/>
                <w:iCs w:val="1"/>
                <w:color w:val="auto"/>
              </w:rPr>
              <w:t>--</w:t>
            </w:r>
          </w:p>
        </w:tc>
        <w:tc>
          <w:tcPr>
            <w:tcW w:w="4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20,727</w:t>
            </w:r>
          </w:p>
        </w:tc>
        <w:tc>
          <w:tcPr>
            <w:tcW w:w="0" w:type="dxa"/>
            <w:vAlign w:val="bottom"/>
          </w:tcPr>
          <w:p>
            <w:pPr>
              <w:spacing w:after="0"/>
              <w:rPr>
                <w:sz w:val="1"/>
                <w:szCs w:val="1"/>
                <w:color w:val="auto"/>
              </w:rPr>
            </w:pPr>
          </w:p>
        </w:tc>
      </w:tr>
      <w:tr>
        <w:trPr>
          <w:trHeight w:val="23"/>
        </w:trPr>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380" w:type="dxa"/>
            <w:vAlign w:val="bottom"/>
            <w:gridSpan w:val="4"/>
            <w:shd w:val="clear" w:color="auto" w:fill="CCEEFF"/>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Add</w:t>
            </w:r>
            <w:r>
              <w:rPr>
                <w:rFonts w:ascii="Times New Roman" w:cs="Times New Roman" w:eastAsia="Times New Roman" w:hAnsi="Times New Roman"/>
                <w:sz w:val="12"/>
                <w:szCs w:val="12"/>
                <w:color w:val="auto"/>
              </w:rPr>
              <w:t>: Upward changes in estimates and others</w:t>
            </w:r>
          </w:p>
        </w:tc>
        <w:tc>
          <w:tcPr>
            <w:tcW w:w="7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F</w:t>
            </w:r>
          </w:p>
        </w:tc>
        <w:tc>
          <w:tcPr>
            <w:tcW w:w="200" w:type="dxa"/>
            <w:vAlign w:val="bottom"/>
            <w:shd w:val="clear" w:color="auto" w:fill="CCEEFF"/>
          </w:tcPr>
          <w:p>
            <w:pPr>
              <w:spacing w:after="0"/>
              <w:rPr>
                <w:sz w:val="9"/>
                <w:szCs w:val="9"/>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9"/>
                <w:szCs w:val="9"/>
                <w:color w:val="auto"/>
              </w:rPr>
            </w:pPr>
          </w:p>
        </w:tc>
        <w:tc>
          <w:tcPr>
            <w:tcW w:w="760" w:type="dxa"/>
            <w:vAlign w:val="bottom"/>
            <w:tcBorders>
              <w:right w:val="single" w:sz="8" w:color="CCEEFF"/>
            </w:tcBorders>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347</w:t>
            </w:r>
          </w:p>
        </w:tc>
        <w:tc>
          <w:tcPr>
            <w:tcW w:w="240" w:type="dxa"/>
            <w:vAlign w:val="bottom"/>
            <w:shd w:val="clear" w:color="auto" w:fill="CCEEFF"/>
          </w:tcPr>
          <w:p>
            <w:pPr>
              <w:spacing w:after="0"/>
              <w:rPr>
                <w:sz w:val="9"/>
                <w:szCs w:val="9"/>
                <w:color w:val="auto"/>
              </w:rPr>
            </w:pPr>
          </w:p>
        </w:tc>
        <w:tc>
          <w:tcPr>
            <w:tcW w:w="820" w:type="dxa"/>
            <w:vAlign w:val="bottom"/>
            <w:tcBorders>
              <w:right w:val="single" w:sz="8" w:color="CCEEFF"/>
            </w:tcBorders>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111</w:t>
            </w:r>
          </w:p>
        </w:tc>
        <w:tc>
          <w:tcPr>
            <w:tcW w:w="4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0" w:type="dxa"/>
            <w:vAlign w:val="bottom"/>
          </w:tcPr>
          <w:p>
            <w:pPr>
              <w:spacing w:after="0"/>
              <w:rPr>
                <w:sz w:val="1"/>
                <w:szCs w:val="1"/>
                <w:color w:val="auto"/>
              </w:rPr>
            </w:pPr>
          </w:p>
        </w:tc>
      </w:tr>
      <w:tr>
        <w:trPr>
          <w:trHeight w:val="65"/>
        </w:trPr>
        <w:tc>
          <w:tcPr>
            <w:tcW w:w="220" w:type="dxa"/>
            <w:vAlign w:val="bottom"/>
            <w:tcBorders>
              <w:top w:val="single" w:sz="8" w:color="auto"/>
              <w:bottom w:val="single" w:sz="8" w:color="CCEEFF"/>
              <w:right w:val="single" w:sz="8" w:color="CCEEFF"/>
            </w:tcBorders>
            <w:shd w:val="clear" w:color="auto" w:fill="CCEEFF"/>
          </w:tcPr>
          <w:p>
            <w:pPr>
              <w:spacing w:after="0"/>
              <w:rPr>
                <w:sz w:val="5"/>
                <w:szCs w:val="5"/>
                <w:color w:val="auto"/>
              </w:rPr>
            </w:pPr>
          </w:p>
        </w:tc>
        <w:tc>
          <w:tcPr>
            <w:tcW w:w="122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CCEEFF"/>
              <w:bottom w:val="single" w:sz="8" w:color="CCEEFF"/>
            </w:tcBorders>
            <w:shd w:val="clear" w:color="auto" w:fill="CCEEFF"/>
          </w:tcPr>
          <w:p>
            <w:pPr>
              <w:spacing w:after="0"/>
              <w:rPr>
                <w:sz w:val="5"/>
                <w:szCs w:val="5"/>
                <w:color w:val="auto"/>
              </w:rPr>
            </w:pPr>
          </w:p>
        </w:tc>
        <w:tc>
          <w:tcPr>
            <w:tcW w:w="2460" w:type="dxa"/>
            <w:vAlign w:val="bottom"/>
            <w:tcBorders>
              <w:top w:val="single" w:sz="8" w:color="CCEEFF"/>
              <w:bottom w:val="single" w:sz="8" w:color="CCEEFF"/>
            </w:tcBorders>
            <w:shd w:val="clear" w:color="auto" w:fill="CCEEFF"/>
          </w:tcPr>
          <w:p>
            <w:pPr>
              <w:spacing w:after="0"/>
              <w:rPr>
                <w:sz w:val="5"/>
                <w:szCs w:val="5"/>
                <w:color w:val="auto"/>
              </w:rPr>
            </w:pPr>
          </w:p>
        </w:tc>
        <w:tc>
          <w:tcPr>
            <w:tcW w:w="740" w:type="dxa"/>
            <w:vAlign w:val="bottom"/>
            <w:tcBorders>
              <w:top w:val="single" w:sz="8" w:color="CCEEFF"/>
              <w:bottom w:val="single" w:sz="8" w:color="CCEEFF"/>
            </w:tcBorders>
            <w:gridSpan w:val="3"/>
            <w:vMerge w:val="continue"/>
            <w:shd w:val="clear" w:color="auto" w:fill="CCEEFF"/>
          </w:tcPr>
          <w:p>
            <w:pPr>
              <w:spacing w:after="0"/>
              <w:rPr>
                <w:sz w:val="5"/>
                <w:szCs w:val="5"/>
                <w:color w:val="auto"/>
              </w:rPr>
            </w:pPr>
          </w:p>
        </w:tc>
        <w:tc>
          <w:tcPr>
            <w:tcW w:w="200" w:type="dxa"/>
            <w:vAlign w:val="bottom"/>
            <w:tcBorders>
              <w:top w:val="single" w:sz="8" w:color="CCEEFF"/>
              <w:bottom w:val="single" w:sz="8" w:color="CCEEFF"/>
            </w:tcBorders>
            <w:shd w:val="clear" w:color="auto" w:fill="CCEEFF"/>
          </w:tcPr>
          <w:p>
            <w:pPr>
              <w:spacing w:after="0"/>
              <w:rPr>
                <w:sz w:val="5"/>
                <w:szCs w:val="5"/>
                <w:color w:val="auto"/>
              </w:rPr>
            </w:pPr>
          </w:p>
        </w:tc>
        <w:tc>
          <w:tcPr>
            <w:tcW w:w="680" w:type="dxa"/>
            <w:vAlign w:val="bottom"/>
            <w:tcBorders>
              <w:top w:val="single" w:sz="8" w:color="CCEEFF"/>
              <w:bottom w:val="single" w:sz="8" w:color="CCEEFF"/>
              <w:right w:val="single" w:sz="8" w:color="CCEEFF"/>
            </w:tcBorders>
            <w:vMerge w:val="continue"/>
            <w:shd w:val="clear" w:color="auto" w:fill="CCEEFF"/>
          </w:tcPr>
          <w:p>
            <w:pPr>
              <w:spacing w:after="0"/>
              <w:rPr>
                <w:sz w:val="5"/>
                <w:szCs w:val="5"/>
                <w:color w:val="auto"/>
              </w:rPr>
            </w:pPr>
          </w:p>
        </w:tc>
        <w:tc>
          <w:tcPr>
            <w:tcW w:w="100" w:type="dxa"/>
            <w:vAlign w:val="bottom"/>
            <w:tcBorders>
              <w:top w:val="single" w:sz="8" w:color="CCEEFF"/>
              <w:bottom w:val="single" w:sz="8" w:color="CCEEFF"/>
            </w:tcBorders>
            <w:shd w:val="clear" w:color="auto" w:fill="CCEEFF"/>
          </w:tcPr>
          <w:p>
            <w:pPr>
              <w:spacing w:after="0"/>
              <w:rPr>
                <w:sz w:val="5"/>
                <w:szCs w:val="5"/>
                <w:color w:val="auto"/>
              </w:rPr>
            </w:pPr>
          </w:p>
        </w:tc>
        <w:tc>
          <w:tcPr>
            <w:tcW w:w="400" w:type="dxa"/>
            <w:vAlign w:val="bottom"/>
            <w:tcBorders>
              <w:top w:val="single" w:sz="8" w:color="CCEEFF"/>
              <w:bottom w:val="single" w:sz="8" w:color="CCEEFF"/>
            </w:tcBorders>
            <w:shd w:val="clear" w:color="auto" w:fill="CCEEFF"/>
          </w:tcPr>
          <w:p>
            <w:pPr>
              <w:spacing w:after="0"/>
              <w:rPr>
                <w:sz w:val="5"/>
                <w:szCs w:val="5"/>
                <w:color w:val="auto"/>
              </w:rPr>
            </w:pPr>
          </w:p>
        </w:tc>
        <w:tc>
          <w:tcPr>
            <w:tcW w:w="640" w:type="dxa"/>
            <w:vAlign w:val="bottom"/>
            <w:tcBorders>
              <w:top w:val="single" w:sz="8" w:color="CCEEFF"/>
              <w:bottom w:val="single" w:sz="8" w:color="CCEEFF"/>
              <w:right w:val="single" w:sz="8" w:color="CCEEFF"/>
            </w:tcBorders>
            <w:vMerge w:val="continue"/>
            <w:shd w:val="clear" w:color="auto" w:fill="CCEEFF"/>
          </w:tcPr>
          <w:p>
            <w:pPr>
              <w:spacing w:after="0"/>
              <w:rPr>
                <w:sz w:val="5"/>
                <w:szCs w:val="5"/>
                <w:color w:val="auto"/>
              </w:rPr>
            </w:pPr>
          </w:p>
        </w:tc>
        <w:tc>
          <w:tcPr>
            <w:tcW w:w="280" w:type="dxa"/>
            <w:vAlign w:val="bottom"/>
            <w:tcBorders>
              <w:top w:val="single" w:sz="8" w:color="CCEEFF"/>
              <w:bottom w:val="single" w:sz="8" w:color="CCEEFF"/>
            </w:tcBorders>
            <w:shd w:val="clear" w:color="auto" w:fill="CCEEFF"/>
          </w:tcPr>
          <w:p>
            <w:pPr>
              <w:spacing w:after="0"/>
              <w:rPr>
                <w:sz w:val="5"/>
                <w:szCs w:val="5"/>
                <w:color w:val="auto"/>
              </w:rPr>
            </w:pPr>
          </w:p>
        </w:tc>
        <w:tc>
          <w:tcPr>
            <w:tcW w:w="760" w:type="dxa"/>
            <w:vAlign w:val="bottom"/>
            <w:tcBorders>
              <w:top w:val="single" w:sz="8" w:color="CCEEFF"/>
              <w:bottom w:val="single" w:sz="8" w:color="CCEEFF"/>
              <w:right w:val="single" w:sz="8" w:color="CCEEFF"/>
            </w:tcBorders>
            <w:vMerge w:val="continue"/>
            <w:shd w:val="clear" w:color="auto" w:fill="CCEEFF"/>
          </w:tcPr>
          <w:p>
            <w:pPr>
              <w:spacing w:after="0"/>
              <w:rPr>
                <w:sz w:val="5"/>
                <w:szCs w:val="5"/>
                <w:color w:val="auto"/>
              </w:rPr>
            </w:pPr>
          </w:p>
        </w:tc>
        <w:tc>
          <w:tcPr>
            <w:tcW w:w="240" w:type="dxa"/>
            <w:vAlign w:val="bottom"/>
            <w:tcBorders>
              <w:top w:val="single" w:sz="8" w:color="CCEEFF"/>
              <w:bottom w:val="single" w:sz="8" w:color="CCEEFF"/>
            </w:tcBorders>
            <w:shd w:val="clear" w:color="auto" w:fill="CCEEFF"/>
          </w:tcPr>
          <w:p>
            <w:pPr>
              <w:spacing w:after="0"/>
              <w:rPr>
                <w:sz w:val="5"/>
                <w:szCs w:val="5"/>
                <w:color w:val="auto"/>
              </w:rPr>
            </w:pPr>
          </w:p>
        </w:tc>
        <w:tc>
          <w:tcPr>
            <w:tcW w:w="820" w:type="dxa"/>
            <w:vAlign w:val="bottom"/>
            <w:tcBorders>
              <w:top w:val="single" w:sz="8" w:color="CCEEFF"/>
              <w:bottom w:val="single" w:sz="8" w:color="CCEEFF"/>
              <w:right w:val="single" w:sz="8" w:color="CCEEFF"/>
            </w:tcBorders>
            <w:vMerge w:val="continue"/>
            <w:shd w:val="clear" w:color="auto" w:fill="CCEEFF"/>
          </w:tcPr>
          <w:p>
            <w:pPr>
              <w:spacing w:after="0"/>
              <w:rPr>
                <w:sz w:val="5"/>
                <w:szCs w:val="5"/>
                <w:color w:val="auto"/>
              </w:rPr>
            </w:pPr>
          </w:p>
        </w:tc>
        <w:tc>
          <w:tcPr>
            <w:tcW w:w="400" w:type="dxa"/>
            <w:vAlign w:val="bottom"/>
            <w:tcBorders>
              <w:top w:val="single" w:sz="8" w:color="CCEEFF"/>
              <w:bottom w:val="single" w:sz="8" w:color="CCEEFF"/>
            </w:tcBorders>
            <w:shd w:val="clear" w:color="auto" w:fill="CCEEFF"/>
          </w:tcPr>
          <w:p>
            <w:pPr>
              <w:spacing w:after="0"/>
              <w:rPr>
                <w:sz w:val="5"/>
                <w:szCs w:val="5"/>
                <w:color w:val="auto"/>
              </w:rPr>
            </w:pPr>
          </w:p>
        </w:tc>
        <w:tc>
          <w:tcPr>
            <w:tcW w:w="520" w:type="dxa"/>
            <w:vAlign w:val="bottom"/>
            <w:tcBorders>
              <w:top w:val="single" w:sz="8" w:color="CCEEFF"/>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2"/>
                <w:szCs w:val="12"/>
                <w:color w:val="auto"/>
              </w:rPr>
              <w:t>Net recoverable balances charged against proceeds</w:t>
            </w:r>
          </w:p>
        </w:tc>
        <w:tc>
          <w:tcPr>
            <w:tcW w:w="7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G=E+F</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13,798</w:t>
            </w:r>
          </w:p>
        </w:tc>
        <w:tc>
          <w:tcPr>
            <w:tcW w:w="1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7,276</w:t>
            </w: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21,074</w:t>
            </w: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2"/>
                <w:szCs w:val="12"/>
                <w:color w:val="auto"/>
              </w:rPr>
              <w:t>111</w:t>
            </w: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21,185</w:t>
            </w:r>
          </w:p>
        </w:tc>
        <w:tc>
          <w:tcPr>
            <w:tcW w:w="0" w:type="dxa"/>
            <w:vAlign w:val="bottom"/>
          </w:tcPr>
          <w:p>
            <w:pPr>
              <w:spacing w:after="0"/>
              <w:rPr>
                <w:sz w:val="1"/>
                <w:szCs w:val="1"/>
                <w:color w:val="auto"/>
              </w:rPr>
            </w:pPr>
          </w:p>
        </w:tc>
      </w:tr>
      <w:tr>
        <w:trPr>
          <w:trHeight w:val="143"/>
        </w:trPr>
        <w:tc>
          <w:tcPr>
            <w:tcW w:w="4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Casualty gain, recorded in 2017 Earnings- in NZ$</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H=A-G</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15,295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(2,552)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12,743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right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2,106</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14,849</w:t>
            </w:r>
          </w:p>
        </w:tc>
        <w:tc>
          <w:tcPr>
            <w:tcW w:w="0" w:type="dxa"/>
            <w:vAlign w:val="bottom"/>
          </w:tcPr>
          <w:p>
            <w:pPr>
              <w:spacing w:after="0"/>
              <w:rPr>
                <w:sz w:val="1"/>
                <w:szCs w:val="1"/>
                <w:color w:val="auto"/>
              </w:rPr>
            </w:pPr>
          </w:p>
        </w:tc>
      </w:tr>
      <w:tr>
        <w:trPr>
          <w:trHeight w:val="22"/>
        </w:trPr>
        <w:tc>
          <w:tcPr>
            <w:tcW w:w="22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i w:val="1"/>
                <w:iCs w:val="1"/>
                <w:color w:val="auto"/>
              </w:rPr>
              <w:t>Casualty gain, recorded in 2017 Earnings - in US$</w:t>
            </w: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I</w:t>
            </w:r>
          </w:p>
        </w:tc>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w w:val="84"/>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11,063</w:t>
            </w:r>
          </w:p>
        </w:tc>
        <w:tc>
          <w:tcPr>
            <w:tcW w:w="1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i w:val="1"/>
                <w:iCs w:val="1"/>
                <w:color w:val="auto"/>
              </w:rPr>
              <w:t>(1,846)</w:t>
            </w:r>
          </w:p>
        </w:tc>
        <w:tc>
          <w:tcPr>
            <w:tcW w:w="2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i w:val="1"/>
                <w:iCs w:val="1"/>
                <w:color w:val="auto"/>
              </w:rPr>
              <w:t>9,217</w:t>
            </w:r>
          </w:p>
        </w:tc>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2"/>
                <w:szCs w:val="12"/>
                <w:b w:val="1"/>
                <w:bCs w:val="1"/>
                <w:i w:val="1"/>
                <w:iCs w:val="1"/>
                <w:color w:val="auto"/>
              </w:rPr>
              <w:t>1,523</w:t>
            </w:r>
          </w:p>
        </w:tc>
        <w:tc>
          <w:tcPr>
            <w:tcW w:w="4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10,740</w:t>
            </w:r>
          </w:p>
        </w:tc>
        <w:tc>
          <w:tcPr>
            <w:tcW w:w="0" w:type="dxa"/>
            <w:vAlign w:val="bottom"/>
          </w:tcPr>
          <w:p>
            <w:pPr>
              <w:spacing w:after="0"/>
              <w:rPr>
                <w:sz w:val="1"/>
                <w:szCs w:val="1"/>
                <w:color w:val="auto"/>
              </w:rPr>
            </w:pPr>
          </w:p>
        </w:tc>
      </w:tr>
      <w:tr>
        <w:trPr>
          <w:trHeight w:val="22"/>
        </w:trPr>
        <w:tc>
          <w:tcPr>
            <w:tcW w:w="22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Net Casualty gain for 2016 and 2017 Earnings - in US$</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∑(D+I)</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w w:val="84"/>
              </w:rPr>
              <w:t>US$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10,503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64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i w:val="1"/>
                <w:iCs w:val="1"/>
                <w:color w:val="auto"/>
              </w:rPr>
              <w:t>(2,707)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76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i w:val="1"/>
                <w:iCs w:val="1"/>
                <w:color w:val="auto"/>
              </w:rPr>
              <w:t>7,796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820" w:type="dxa"/>
            <w:vAlign w:val="bottom"/>
            <w:tcBorders>
              <w:right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b w:val="1"/>
                <w:bCs w:val="1"/>
                <w:i w:val="1"/>
                <w:iCs w:val="1"/>
                <w:color w:val="auto"/>
              </w:rPr>
              <w:t>1,523</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US$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9,319</w:t>
            </w:r>
          </w:p>
        </w:tc>
        <w:tc>
          <w:tcPr>
            <w:tcW w:w="0" w:type="dxa"/>
            <w:vAlign w:val="bottom"/>
          </w:tcPr>
          <w:p>
            <w:pPr>
              <w:spacing w:after="0"/>
              <w:rPr>
                <w:sz w:val="1"/>
                <w:szCs w:val="1"/>
                <w:color w:val="auto"/>
              </w:rPr>
            </w:pPr>
          </w:p>
        </w:tc>
      </w:tr>
      <w:tr>
        <w:trPr>
          <w:trHeight w:val="22"/>
        </w:trPr>
        <w:tc>
          <w:tcPr>
            <w:tcW w:w="22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100" w:hanging="92"/>
        <w:spacing w:after="0"/>
        <w:tabs>
          <w:tab w:leader="none" w:pos="100" w:val="left"/>
        </w:tabs>
        <w:numPr>
          <w:ilvl w:val="0"/>
          <w:numId w:val="100"/>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The net impact to 2017 earnings of $9.2 million (NZ$12.7 million) is recorded as “</w:t>
      </w:r>
      <w:r>
        <w:rPr>
          <w:rFonts w:ascii="Times New Roman" w:cs="Times New Roman" w:eastAsia="Times New Roman" w:hAnsi="Times New Roman"/>
          <w:sz w:val="9"/>
          <w:szCs w:val="9"/>
          <w:i w:val="1"/>
          <w:iCs w:val="1"/>
          <w:color w:val="auto"/>
        </w:rPr>
        <w:t>Casualty gain</w:t>
      </w:r>
      <w:r>
        <w:rPr>
          <w:rFonts w:ascii="Times New Roman" w:cs="Times New Roman" w:eastAsia="Times New Roman" w:hAnsi="Times New Roman"/>
          <w:sz w:val="9"/>
          <w:szCs w:val="9"/>
          <w:color w:val="auto"/>
        </w:rPr>
        <w:t>” in our Consolidated Statement of Operations.</w:t>
      </w:r>
    </w:p>
    <w:p>
      <w:pPr>
        <w:spacing w:after="0" w:line="16" w:lineRule="exact"/>
        <w:rPr>
          <w:rFonts w:ascii="Times New Roman" w:cs="Times New Roman" w:eastAsia="Times New Roman" w:hAnsi="Times New Roman"/>
          <w:sz w:val="10"/>
          <w:szCs w:val="10"/>
          <w:color w:val="auto"/>
          <w:vertAlign w:val="superscript"/>
        </w:rPr>
      </w:pPr>
    </w:p>
    <w:p>
      <w:pPr>
        <w:ind w:left="100" w:hanging="92"/>
        <w:spacing w:after="0"/>
        <w:tabs>
          <w:tab w:leader="none" w:pos="100" w:val="left"/>
        </w:tabs>
        <w:numPr>
          <w:ilvl w:val="0"/>
          <w:numId w:val="100"/>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The impact to 2017 operating earnings of $1.5 million (NZ$2.1 million) is recorded as part of the applicable segment revenues in our Consolidated Statement of Operations.</w:t>
      </w:r>
    </w:p>
    <w:p>
      <w:pPr>
        <w:spacing w:after="0" w:line="4" w:lineRule="exact"/>
        <w:rPr>
          <w:rFonts w:ascii="Times New Roman" w:cs="Times New Roman" w:eastAsia="Times New Roman" w:hAnsi="Times New Roman"/>
          <w:sz w:val="10"/>
          <w:szCs w:val="10"/>
          <w:color w:val="auto"/>
          <w:vertAlign w:val="superscript"/>
        </w:rPr>
      </w:pPr>
    </w:p>
    <w:p>
      <w:pPr>
        <w:ind w:left="140" w:right="180" w:hanging="132"/>
        <w:spacing w:after="0" w:line="216" w:lineRule="auto"/>
        <w:tabs>
          <w:tab w:leader="none" w:pos="102" w:val="left"/>
        </w:tabs>
        <w:numPr>
          <w:ilvl w:val="0"/>
          <w:numId w:val="10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casualty losses recorded in 2016 as a separate line in our Consolidated Statement of Operations is made up the following: (i) 5% deductible of $795,000 (NZ$560,000) calculated based on the estimated value of the insured damaged parking structure for insurance purposes, and (ii) $862,000 (NZ$1.2 million) of total estimated demolition costs was preliminarily assessed as expenses not reimbursable under our insurance policy and hence, we recorded in profit and loss.</w:t>
      </w:r>
    </w:p>
    <w:p>
      <w:pPr>
        <w:spacing w:after="0" w:line="20" w:lineRule="exact"/>
        <w:rPr>
          <w:rFonts w:ascii="Times New Roman" w:cs="Times New Roman" w:eastAsia="Times New Roman" w:hAnsi="Times New Roman"/>
          <w:sz w:val="12"/>
          <w:szCs w:val="12"/>
          <w:color w:val="auto"/>
          <w:vertAlign w:val="superscript"/>
        </w:rPr>
      </w:pPr>
    </w:p>
    <w:p>
      <w:pPr>
        <w:ind w:left="140" w:right="120" w:hanging="132"/>
        <w:spacing w:after="0" w:line="282" w:lineRule="auto"/>
        <w:tabs>
          <w:tab w:leader="none" w:pos="102" w:val="left"/>
        </w:tabs>
        <w:numPr>
          <w:ilvl w:val="0"/>
          <w:numId w:val="10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recoverable asset of $9.5 million (NZ$13.6 million), net of advance payment of $5.0 million (NZ$7.1 million), as of December 31, 2016 was presented as part of “</w:t>
      </w:r>
      <w:r>
        <w:rPr>
          <w:rFonts w:ascii="Times New Roman" w:cs="Times New Roman" w:eastAsia="Times New Roman" w:hAnsi="Times New Roman"/>
          <w:sz w:val="10"/>
          <w:szCs w:val="10"/>
          <w:i w:val="1"/>
          <w:iCs w:val="1"/>
          <w:color w:val="auto"/>
        </w:rPr>
        <w:t>Other non-current assets</w:t>
      </w:r>
      <w:r>
        <w:rPr>
          <w:rFonts w:ascii="Times New Roman" w:cs="Times New Roman" w:eastAsia="Times New Roman" w:hAnsi="Times New Roman"/>
          <w:sz w:val="10"/>
          <w:szCs w:val="10"/>
          <w:color w:val="auto"/>
        </w:rPr>
        <w:t>” as the timing of the insurance claim receipt was not fixed nor reliably determinable as of the time of our initial assessment.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20 – UNAUDITED QUARTERLY FINANCIAL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 except per share data)</w:t>
            </w:r>
          </w:p>
        </w:tc>
        <w:tc>
          <w:tcPr>
            <w:tcW w:w="260" w:type="dxa"/>
            <w:vAlign w:val="bottom"/>
          </w:tcPr>
          <w:p>
            <w:pPr>
              <w:spacing w:after="0"/>
              <w:rPr>
                <w:sz w:val="12"/>
                <w:szCs w:val="12"/>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89"/>
              </w:rPr>
              <w:t>First</w:t>
            </w:r>
          </w:p>
        </w:tc>
        <w:tc>
          <w:tcPr>
            <w:tcW w:w="1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Second Quarter</w:t>
            </w:r>
          </w:p>
        </w:tc>
        <w:tc>
          <w:tcPr>
            <w:tcW w:w="1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Third Quarter</w:t>
            </w:r>
          </w:p>
        </w:tc>
        <w:tc>
          <w:tcPr>
            <w:tcW w:w="102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Fourth Quarter</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40"/>
        </w:trPr>
        <w:tc>
          <w:tcPr>
            <w:tcW w:w="5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2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2017</w:t>
            </w: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Revenue</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69,454</w:t>
            </w:r>
          </w:p>
        </w:tc>
        <w:tc>
          <w:tcPr>
            <w:tcW w:w="260" w:type="dxa"/>
            <w:vAlign w:val="bottom"/>
          </w:tcPr>
          <w:p>
            <w:pPr>
              <w:spacing w:after="0"/>
              <w:rPr>
                <w:sz w:val="13"/>
                <w:szCs w:val="13"/>
                <w:color w:val="auto"/>
              </w:rPr>
            </w:pPr>
          </w:p>
        </w:tc>
        <w:tc>
          <w:tcPr>
            <w:tcW w:w="4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72,413</w:t>
            </w:r>
          </w:p>
        </w:tc>
        <w:tc>
          <w:tcPr>
            <w:tcW w:w="260" w:type="dxa"/>
            <w:vAlign w:val="bottom"/>
          </w:tcPr>
          <w:p>
            <w:pPr>
              <w:spacing w:after="0"/>
              <w:rPr>
                <w:sz w:val="13"/>
                <w:szCs w:val="13"/>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66,087</w:t>
            </w:r>
          </w:p>
        </w:tc>
        <w:tc>
          <w:tcPr>
            <w:tcW w:w="280" w:type="dxa"/>
            <w:vAlign w:val="bottom"/>
          </w:tcPr>
          <w:p>
            <w:pPr>
              <w:spacing w:after="0"/>
              <w:rPr>
                <w:sz w:val="13"/>
                <w:szCs w:val="13"/>
                <w:color w:val="auto"/>
              </w:rPr>
            </w:pP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71,780</w:t>
            </w:r>
          </w:p>
        </w:tc>
        <w:tc>
          <w:tcPr>
            <w:tcW w:w="0" w:type="dxa"/>
            <w:vAlign w:val="bottom"/>
          </w:tcPr>
          <w:p>
            <w:pPr>
              <w:spacing w:after="0"/>
              <w:rPr>
                <w:sz w:val="1"/>
                <w:szCs w:val="1"/>
                <w:color w:val="auto"/>
              </w:rPr>
            </w:pPr>
          </w:p>
        </w:tc>
      </w:tr>
      <w:tr>
        <w:trPr>
          <w:trHeight w:val="170"/>
        </w:trPr>
        <w:tc>
          <w:tcPr>
            <w:tcW w:w="5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Net income</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3,041</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19,052</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7,459</w:t>
            </w:r>
          </w:p>
        </w:tc>
        <w:tc>
          <w:tcPr>
            <w:tcW w:w="0" w:type="dxa"/>
            <w:vAlign w:val="bottom"/>
          </w:tcPr>
          <w:p>
            <w:pPr>
              <w:spacing w:after="0"/>
              <w:rPr>
                <w:sz w:val="1"/>
                <w:szCs w:val="1"/>
                <w:color w:val="auto"/>
              </w:rPr>
            </w:pPr>
          </w:p>
        </w:tc>
      </w:tr>
      <w:tr>
        <w:trPr>
          <w:trHeight w:val="156"/>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Net income attributable to RDI shareholders</w:t>
            </w: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19,032</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1,556</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7,382</w:t>
            </w:r>
          </w:p>
        </w:tc>
        <w:tc>
          <w:tcPr>
            <w:tcW w:w="0" w:type="dxa"/>
            <w:vAlign w:val="bottom"/>
          </w:tcPr>
          <w:p>
            <w:pPr>
              <w:spacing w:after="0"/>
              <w:rPr>
                <w:sz w:val="1"/>
                <w:szCs w:val="1"/>
                <w:color w:val="auto"/>
              </w:rPr>
            </w:pPr>
          </w:p>
        </w:tc>
      </w:tr>
      <w:tr>
        <w:trPr>
          <w:trHeight w:val="170"/>
        </w:trPr>
        <w:tc>
          <w:tcPr>
            <w:tcW w:w="5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Basic earnings per share</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0.82</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0" w:type="dxa"/>
            <w:vAlign w:val="bottom"/>
          </w:tcPr>
          <w:p>
            <w:pPr>
              <w:spacing w:after="0"/>
              <w:rPr>
                <w:sz w:val="1"/>
                <w:szCs w:val="1"/>
                <w:color w:val="auto"/>
              </w:rPr>
            </w:pPr>
          </w:p>
        </w:tc>
      </w:tr>
      <w:tr>
        <w:trPr>
          <w:trHeight w:val="163"/>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0.81</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0.32</w:t>
            </w:r>
          </w:p>
        </w:tc>
        <w:tc>
          <w:tcPr>
            <w:tcW w:w="0" w:type="dxa"/>
            <w:vAlign w:val="bottom"/>
          </w:tcPr>
          <w:p>
            <w:pPr>
              <w:spacing w:after="0"/>
              <w:rPr>
                <w:sz w:val="1"/>
                <w:szCs w:val="1"/>
                <w:color w:val="auto"/>
              </w:rPr>
            </w:pPr>
          </w:p>
        </w:tc>
      </w:tr>
      <w:tr>
        <w:trPr>
          <w:trHeight w:val="16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2016</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Revenue</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64,789</w:t>
            </w:r>
          </w:p>
        </w:tc>
        <w:tc>
          <w:tcPr>
            <w:tcW w:w="260" w:type="dxa"/>
            <w:vAlign w:val="bottom"/>
          </w:tcPr>
          <w:p>
            <w:pPr>
              <w:spacing w:after="0"/>
              <w:rPr>
                <w:sz w:val="13"/>
                <w:szCs w:val="13"/>
                <w:color w:val="auto"/>
              </w:rPr>
            </w:pPr>
          </w:p>
        </w:tc>
        <w:tc>
          <w:tcPr>
            <w:tcW w:w="4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66,918</w:t>
            </w:r>
          </w:p>
        </w:tc>
        <w:tc>
          <w:tcPr>
            <w:tcW w:w="260" w:type="dxa"/>
            <w:vAlign w:val="bottom"/>
          </w:tcPr>
          <w:p>
            <w:pPr>
              <w:spacing w:after="0"/>
              <w:rPr>
                <w:sz w:val="13"/>
                <w:szCs w:val="13"/>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71,315</w:t>
            </w:r>
          </w:p>
        </w:tc>
        <w:tc>
          <w:tcPr>
            <w:tcW w:w="280" w:type="dxa"/>
            <w:vAlign w:val="bottom"/>
          </w:tcPr>
          <w:p>
            <w:pPr>
              <w:spacing w:after="0"/>
              <w:rPr>
                <w:sz w:val="13"/>
                <w:szCs w:val="13"/>
                <w:color w:val="auto"/>
              </w:rPr>
            </w:pP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67,451</w:t>
            </w:r>
          </w:p>
        </w:tc>
        <w:tc>
          <w:tcPr>
            <w:tcW w:w="0" w:type="dxa"/>
            <w:vAlign w:val="bottom"/>
          </w:tcPr>
          <w:p>
            <w:pPr>
              <w:spacing w:after="0"/>
              <w:rPr>
                <w:sz w:val="1"/>
                <w:szCs w:val="1"/>
                <w:color w:val="auto"/>
              </w:rPr>
            </w:pPr>
          </w:p>
        </w:tc>
      </w:tr>
      <w:tr>
        <w:trPr>
          <w:trHeight w:val="170"/>
        </w:trPr>
        <w:tc>
          <w:tcPr>
            <w:tcW w:w="5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Net income</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2,224</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2,922</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3,917</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0" w:type="dxa"/>
            <w:vAlign w:val="bottom"/>
          </w:tcPr>
          <w:p>
            <w:pPr>
              <w:spacing w:after="0"/>
              <w:rPr>
                <w:sz w:val="1"/>
                <w:szCs w:val="1"/>
                <w:color w:val="auto"/>
              </w:rPr>
            </w:pPr>
          </w:p>
        </w:tc>
      </w:tr>
      <w:tr>
        <w:trPr>
          <w:trHeight w:val="156"/>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Net income attributable to RDI shareholders</w:t>
            </w: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2,226</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2,970</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3,855</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0" w:type="dxa"/>
            <w:vAlign w:val="bottom"/>
          </w:tcPr>
          <w:p>
            <w:pPr>
              <w:spacing w:after="0"/>
              <w:rPr>
                <w:sz w:val="1"/>
                <w:szCs w:val="1"/>
                <w:color w:val="auto"/>
              </w:rPr>
            </w:pPr>
          </w:p>
        </w:tc>
      </w:tr>
      <w:tr>
        <w:trPr>
          <w:trHeight w:val="170"/>
        </w:trPr>
        <w:tc>
          <w:tcPr>
            <w:tcW w:w="5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Basic earnings per share</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0.17</w:t>
            </w: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68"/>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0" w:firstLine="8"/>
        <w:spacing w:after="0" w:line="249" w:lineRule="auto"/>
        <w:tabs>
          <w:tab w:leader="none" w:pos="93" w:val="left"/>
        </w:tabs>
        <w:numPr>
          <w:ilvl w:val="0"/>
          <w:numId w:val="101"/>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rPr>
        <w:t>Net income for the 4th quarter of 2017 includes approximately $2.5 million net tax benefit from non-recurring items of tax benefit and expense related to the Tax Cuts and Jobs Act enacted December 2017 and dissolution of a non-operating foreign subsidiary.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21 – SUBSEQUENT EVENTS</w:t>
      </w:r>
    </w:p>
    <w:p>
      <w:pPr>
        <w:spacing w:after="0" w:line="164" w:lineRule="exact"/>
        <w:rPr>
          <w:sz w:val="20"/>
          <w:szCs w:val="20"/>
          <w:color w:val="auto"/>
        </w:rPr>
      </w:pPr>
    </w:p>
    <w:p>
      <w:pPr>
        <w:ind w:right="440"/>
        <w:spacing w:after="0" w:line="303" w:lineRule="auto"/>
        <w:rPr>
          <w:sz w:val="20"/>
          <w:szCs w:val="20"/>
          <w:color w:val="auto"/>
        </w:rPr>
      </w:pPr>
      <w:r>
        <w:rPr>
          <w:rFonts w:ascii="Times New Roman" w:cs="Times New Roman" w:eastAsia="Times New Roman" w:hAnsi="Times New Roman"/>
          <w:sz w:val="14"/>
          <w:szCs w:val="14"/>
          <w:color w:val="auto"/>
        </w:rPr>
        <w:t xml:space="preserve">On March 5, 2018, we received the remaining proceeds on our Stomp arbitration matter (as discussed </w:t>
      </w:r>
      <w:r>
        <w:rPr>
          <w:rFonts w:ascii="Times New Roman" w:cs="Times New Roman" w:eastAsia="Times New Roman" w:hAnsi="Times New Roman"/>
          <w:sz w:val="14"/>
          <w:szCs w:val="14"/>
          <w:i w:val="1"/>
          <w:iCs w:val="1"/>
          <w:color w:val="auto"/>
        </w:rPr>
        <w:t>in Note 12 - Commitments and Contingencies</w:t>
      </w:r>
      <w:r>
        <w:rPr>
          <w:rFonts w:ascii="Times New Roman" w:cs="Times New Roman" w:eastAsia="Times New Roman" w:hAnsi="Times New Roman"/>
          <w:sz w:val="14"/>
          <w:szCs w:val="14"/>
          <w:color w:val="auto"/>
        </w:rPr>
        <w:t>), including interest, totaling $720,000 which has been recorded in our 2017 results of operation.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8" w:right="7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auto"/>
        </w:rPr>
        <w:t>Schedule II – Valuation and Qualifying Accounts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Balance at</w:t>
            </w:r>
          </w:p>
        </w:tc>
      </w:tr>
      <w:tr>
        <w:trPr>
          <w:trHeight w:val="177"/>
        </w:trPr>
        <w:tc>
          <w:tcPr>
            <w:tcW w:w="1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32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30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Deductions</w:t>
            </w:r>
          </w:p>
        </w:tc>
        <w:tc>
          <w:tcPr>
            <w:tcW w:w="280" w:type="dxa"/>
            <w:vAlign w:val="bottom"/>
          </w:tcPr>
          <w:p>
            <w:pPr>
              <w:spacing w:after="0"/>
              <w:rPr>
                <w:sz w:val="15"/>
                <w:szCs w:val="15"/>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47"/>
        </w:trPr>
        <w:tc>
          <w:tcPr>
            <w:tcW w:w="354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Allowance for doubtful accounts</w:t>
            </w: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169"/>
        </w:trPr>
        <w:tc>
          <w:tcPr>
            <w:tcW w:w="1340" w:type="dxa"/>
            <w:vAlign w:val="bottom"/>
            <w:tcBorders>
              <w:top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rPr>
              <w:t>2017</w:t>
            </w:r>
          </w:p>
        </w:tc>
        <w:tc>
          <w:tcPr>
            <w:tcW w:w="480" w:type="dxa"/>
            <w:vAlign w:val="bottom"/>
            <w:tcBorders>
              <w:top w:val="single" w:sz="8" w:color="auto"/>
            </w:tcBorders>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r>
      <w:tr>
        <w:trPr>
          <w:trHeight w:val="163"/>
        </w:trPr>
        <w:tc>
          <w:tcPr>
            <w:tcW w:w="1340" w:type="dxa"/>
            <w:vAlign w:val="bottom"/>
          </w:tcPr>
          <w:p>
            <w:pPr>
              <w:jc w:val="right"/>
              <w:ind w:right="915"/>
              <w:spacing w:after="0"/>
              <w:rPr>
                <w:sz w:val="20"/>
                <w:szCs w:val="20"/>
                <w:color w:val="auto"/>
              </w:rPr>
            </w:pPr>
            <w:r>
              <w:rPr>
                <w:rFonts w:ascii="Times New Roman" w:cs="Times New Roman" w:eastAsia="Times New Roman" w:hAnsi="Times New Roman"/>
                <w:sz w:val="13"/>
                <w:szCs w:val="13"/>
                <w:color w:val="auto"/>
              </w:rPr>
              <w:t>2016</w:t>
            </w:r>
          </w:p>
        </w:tc>
        <w:tc>
          <w:tcPr>
            <w:tcW w:w="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320" w:type="dxa"/>
            <w:vAlign w:val="bottom"/>
          </w:tcPr>
          <w:p>
            <w:pPr>
              <w:spacing w:after="0"/>
              <w:rPr>
                <w:sz w:val="14"/>
                <w:szCs w:val="14"/>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320" w:type="dxa"/>
            <w:vAlign w:val="bottom"/>
          </w:tcPr>
          <w:p>
            <w:pPr>
              <w:spacing w:after="0"/>
              <w:rPr>
                <w:sz w:val="14"/>
                <w:szCs w:val="14"/>
                <w:color w:val="auto"/>
              </w:rPr>
            </w:pPr>
          </w:p>
        </w:tc>
        <w:tc>
          <w:tcPr>
            <w:tcW w:w="3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320" w:type="dxa"/>
            <w:vAlign w:val="bottom"/>
          </w:tcPr>
          <w:p>
            <w:pPr>
              <w:spacing w:after="0"/>
              <w:rPr>
                <w:sz w:val="14"/>
                <w:szCs w:val="14"/>
                <w:color w:val="auto"/>
              </w:rPr>
            </w:pP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r>
      <w:tr>
        <w:trPr>
          <w:trHeight w:val="163"/>
        </w:trPr>
        <w:tc>
          <w:tcPr>
            <w:tcW w:w="134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rPr>
              <w:t>2015</w:t>
            </w:r>
          </w:p>
        </w:tc>
        <w:tc>
          <w:tcPr>
            <w:tcW w:w="4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r>
      <w:tr>
        <w:trPr>
          <w:trHeight w:val="158"/>
        </w:trPr>
        <w:tc>
          <w:tcPr>
            <w:tcW w:w="3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Tax valuation allowance</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9"/>
        </w:trPr>
        <w:tc>
          <w:tcPr>
            <w:tcW w:w="1340" w:type="dxa"/>
            <w:vAlign w:val="bottom"/>
            <w:tcBorders>
              <w:top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rPr>
              <w:t>2017</w:t>
            </w:r>
          </w:p>
        </w:tc>
        <w:tc>
          <w:tcPr>
            <w:tcW w:w="4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10,593</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6,870</w:t>
            </w:r>
          </w:p>
        </w:tc>
      </w:tr>
      <w:tr>
        <w:trPr>
          <w:trHeight w:val="163"/>
        </w:trPr>
        <w:tc>
          <w:tcPr>
            <w:tcW w:w="1340" w:type="dxa"/>
            <w:vAlign w:val="bottom"/>
          </w:tcPr>
          <w:p>
            <w:pPr>
              <w:jc w:val="right"/>
              <w:ind w:right="915"/>
              <w:spacing w:after="0"/>
              <w:rPr>
                <w:sz w:val="20"/>
                <w:szCs w:val="20"/>
                <w:color w:val="auto"/>
              </w:rPr>
            </w:pPr>
            <w:r>
              <w:rPr>
                <w:rFonts w:ascii="Times New Roman" w:cs="Times New Roman" w:eastAsia="Times New Roman" w:hAnsi="Times New Roman"/>
                <w:sz w:val="13"/>
                <w:szCs w:val="13"/>
                <w:color w:val="auto"/>
              </w:rPr>
              <w:t>2016</w:t>
            </w:r>
          </w:p>
        </w:tc>
        <w:tc>
          <w:tcPr>
            <w:tcW w:w="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11,530</w:t>
            </w:r>
          </w:p>
        </w:tc>
        <w:tc>
          <w:tcPr>
            <w:tcW w:w="320" w:type="dxa"/>
            <w:vAlign w:val="bottom"/>
          </w:tcPr>
          <w:p>
            <w:pPr>
              <w:spacing w:after="0"/>
              <w:rPr>
                <w:sz w:val="14"/>
                <w:szCs w:val="14"/>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320" w:type="dxa"/>
            <w:vAlign w:val="bottom"/>
          </w:tcPr>
          <w:p>
            <w:pPr>
              <w:spacing w:after="0"/>
              <w:rPr>
                <w:sz w:val="14"/>
                <w:szCs w:val="14"/>
                <w:color w:val="auto"/>
              </w:rPr>
            </w:pP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10,593</w:t>
            </w:r>
          </w:p>
        </w:tc>
      </w:tr>
      <w:tr>
        <w:trPr>
          <w:trHeight w:val="163"/>
        </w:trPr>
        <w:tc>
          <w:tcPr>
            <w:tcW w:w="134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rPr>
              <w:t>2015</w:t>
            </w:r>
          </w:p>
        </w:tc>
        <w:tc>
          <w:tcPr>
            <w:tcW w:w="4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15,936</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4,406</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11,530</w:t>
            </w: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429" w:right="7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9 – Change in and Disagreements with Accountants on Accounting and Financial Disclosure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9A – Controls and Procedures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 and Attestation of Registered Public Accounting Firm</w:t>
      </w:r>
    </w:p>
    <w:p>
      <w:pPr>
        <w:spacing w:after="0" w:line="190"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color w:val="auto"/>
        </w:rPr>
        <w:t>Our management’s report on internal control over financial reporting and our registered public accounting firm’s audit report on the effectiveness of our internal control over financial reporting are included in Part II,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of this Form 10-K.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9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13a-15(e) and 15d – 15(e) as of the end of the period covered by this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Controls Over Financial Reporting</w:t>
      </w:r>
    </w:p>
    <w:p>
      <w:pPr>
        <w:spacing w:after="0" w:line="3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 13a-15(f) and 15d-15(f) under the Exchange Act) that occurred since September 30, 2017 that have materially affected, or are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w:t>
      </w:r>
    </w:p>
    <w:p>
      <w:pPr>
        <w:spacing w:after="0" w:line="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21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4"/>
          <w:szCs w:val="14"/>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40"/>
          </w:cols>
          <w:pgMar w:left="1000" w:top="429" w:right="75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 11, 12, 13 and 14</w:t>
      </w:r>
    </w:p>
    <w:p>
      <w:pPr>
        <w:spacing w:after="0" w:line="15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Information required by Part III (Items 10, 11, 12, 13 and 14) of this Form 10-K is hereby incorporated by reference from Reading International, Inc.’s definitive Proxy Statement for its 2018 Annual Meeting of Stockholders, which the company intends to be filed with the Securities and Exchange Commission, pursuant to Regulation 14A, not later than 120 days after the end of the fiscal year.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291" w:right="7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15 – Exhibits, Financial Statement Schedules</w:t>
      </w:r>
    </w:p>
    <w:p>
      <w:pPr>
        <w:spacing w:after="0" w:line="86" w:lineRule="exact"/>
        <w:rPr>
          <w:sz w:val="20"/>
          <w:szCs w:val="20"/>
          <w:color w:val="auto"/>
        </w:rPr>
      </w:pPr>
    </w:p>
    <w:p>
      <w:pPr>
        <w:ind w:left="200" w:hanging="192"/>
        <w:spacing w:after="0"/>
        <w:tabs>
          <w:tab w:leader="none" w:pos="2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a part of this report:</w:t>
      </w:r>
    </w:p>
    <w:p>
      <w:pPr>
        <w:spacing w:after="0" w:line="151" w:lineRule="exact"/>
        <w:rPr>
          <w:rFonts w:ascii="Times New Roman" w:cs="Times New Roman" w:eastAsia="Times New Roman" w:hAnsi="Times New Roman"/>
          <w:sz w:val="14"/>
          <w:szCs w:val="14"/>
          <w:color w:val="auto"/>
        </w:rPr>
      </w:pPr>
    </w:p>
    <w:p>
      <w:pPr>
        <w:ind w:left="440" w:hanging="172"/>
        <w:spacing w:after="0"/>
        <w:tabs>
          <w:tab w:leader="none" w:pos="44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Statements</w:t>
      </w:r>
    </w:p>
    <w:p>
      <w:pPr>
        <w:spacing w:after="0" w:line="186" w:lineRule="exact"/>
        <w:rPr>
          <w:rFonts w:ascii="Times New Roman" w:cs="Times New Roman" w:eastAsia="Times New Roman" w:hAnsi="Times New Roman"/>
          <w:sz w:val="14"/>
          <w:szCs w:val="14"/>
          <w:color w:val="auto"/>
        </w:rPr>
      </w:pPr>
    </w:p>
    <w:p>
      <w:pPr>
        <w:ind w:left="460" w:right="560"/>
        <w:spacing w:after="0" w:line="30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following financial statements are filed as part of Part II, Item 8 –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xml:space="preserve"> in this Annual Report on Form 10-K, as summarized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 w:type="dxa"/>
            <w:vAlign w:val="bottom"/>
            <w:shd w:val="clear" w:color="auto" w:fill="CCEEFF"/>
          </w:tcPr>
          <w:p>
            <w:pPr>
              <w:spacing w:after="0"/>
              <w:rPr>
                <w:sz w:val="17"/>
                <w:szCs w:val="17"/>
                <w:color w:val="auto"/>
              </w:rPr>
            </w:pPr>
          </w:p>
        </w:tc>
        <w:tc>
          <w:tcPr>
            <w:tcW w:w="76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380" w:type="dxa"/>
            <w:vAlign w:val="bottom"/>
            <w:gridSpan w:val="3"/>
            <w:shd w:val="clear" w:color="auto" w:fill="CCEEFF"/>
          </w:tcPr>
          <w:p>
            <w:pPr>
              <w:ind w:left="188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6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r>
      <w:tr>
        <w:trPr>
          <w:trHeight w:val="212"/>
        </w:trPr>
        <w:tc>
          <w:tcPr>
            <w:tcW w:w="100" w:type="dxa"/>
            <w:vAlign w:val="bottom"/>
          </w:tcPr>
          <w:p>
            <w:pPr>
              <w:spacing w:after="0"/>
              <w:rPr>
                <w:sz w:val="18"/>
                <w:szCs w:val="18"/>
                <w:color w:val="auto"/>
              </w:rPr>
            </w:pPr>
          </w:p>
        </w:tc>
        <w:tc>
          <w:tcPr>
            <w:tcW w:w="3520" w:type="dxa"/>
            <w:vAlign w:val="bottom"/>
            <w:tcBorders>
              <w:bottom w:val="single" w:sz="8" w:color="0000EE"/>
            </w:tcBorders>
            <w:gridSpan w:val="3"/>
          </w:tcPr>
          <w:p>
            <w:pPr>
              <w:spacing w:after="0"/>
              <w:rPr>
                <w:rFonts w:ascii="Times New Roman" w:cs="Times New Roman" w:eastAsia="Times New Roman" w:hAnsi="Times New Roman"/>
                <w:sz w:val="13"/>
                <w:szCs w:val="13"/>
                <w:color w:val="0000EE"/>
                <w:w w:val="99"/>
              </w:rPr>
            </w:pPr>
            <w:hyperlink w:anchor="page59">
              <w:r>
                <w:rPr>
                  <w:rFonts w:ascii="Times New Roman" w:cs="Times New Roman" w:eastAsia="Times New Roman" w:hAnsi="Times New Roman"/>
                  <w:sz w:val="13"/>
                  <w:szCs w:val="13"/>
                  <w:color w:val="0000EE"/>
                  <w:w w:val="99"/>
                </w:rPr>
                <w:t>Management’s Report on Internal Control over Financial Reporting</w:t>
              </w:r>
            </w:hyperlink>
          </w:p>
        </w:tc>
        <w:tc>
          <w:tcPr>
            <w:tcW w:w="4160" w:type="dxa"/>
            <w:vAlign w:val="bottom"/>
            <w:gridSpan w:val="8"/>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0000EE"/>
            </w:tcBorders>
            <w:gridSpan w:val="7"/>
            <w:shd w:val="clear" w:color="auto" w:fill="CCEEFF"/>
          </w:tcPr>
          <w:p>
            <w:pPr>
              <w:spacing w:after="0"/>
              <w:rPr>
                <w:rFonts w:ascii="Times New Roman" w:cs="Times New Roman" w:eastAsia="Times New Roman" w:hAnsi="Times New Roman"/>
                <w:sz w:val="14"/>
                <w:szCs w:val="14"/>
                <w:color w:val="0000EE"/>
              </w:rPr>
            </w:pPr>
            <w:hyperlink w:anchor="page60">
              <w:r>
                <w:rPr>
                  <w:rFonts w:ascii="Times New Roman" w:cs="Times New Roman" w:eastAsia="Times New Roman" w:hAnsi="Times New Roman"/>
                  <w:sz w:val="14"/>
                  <w:szCs w:val="14"/>
                  <w:color w:val="0000EE"/>
                </w:rPr>
                <w:t>Report of Independent Registered Public Accounting Firm (Consolidated Financial Statements)</w:t>
              </w:r>
            </w:hyperlink>
          </w:p>
        </w:tc>
        <w:tc>
          <w:tcPr>
            <w:tcW w:w="2140" w:type="dxa"/>
            <w:vAlign w:val="bottom"/>
            <w:tcBorders>
              <w:bottom w:val="single" w:sz="8" w:color="CCEEFF"/>
            </w:tcBorders>
            <w:gridSpan w:val="4"/>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r>
      <w:tr>
        <w:trPr>
          <w:trHeight w:val="223"/>
        </w:trPr>
        <w:tc>
          <w:tcPr>
            <w:tcW w:w="100" w:type="dxa"/>
            <w:vAlign w:val="bottom"/>
          </w:tcPr>
          <w:p>
            <w:pPr>
              <w:spacing w:after="0"/>
              <w:rPr>
                <w:sz w:val="19"/>
                <w:szCs w:val="19"/>
                <w:color w:val="auto"/>
              </w:rPr>
            </w:pPr>
          </w:p>
        </w:tc>
        <w:tc>
          <w:tcPr>
            <w:tcW w:w="59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w:anchor="page61">
              <w:r>
                <w:rPr>
                  <w:rFonts w:ascii="Times New Roman" w:cs="Times New Roman" w:eastAsia="Times New Roman" w:hAnsi="Times New Roman"/>
                  <w:sz w:val="14"/>
                  <w:szCs w:val="14"/>
                  <w:color w:val="0000EE"/>
                </w:rPr>
                <w:t>Report of Independent Registered Public Accounting Firm (Internal Control over Financial Reporting)</w:t>
              </w:r>
            </w:hyperlink>
          </w:p>
        </w:tc>
        <w:tc>
          <w:tcPr>
            <w:tcW w:w="17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4"/>
                <w:szCs w:val="14"/>
                <w:color w:val="0000EE"/>
              </w:rPr>
            </w:pPr>
            <w:hyperlink w:anchor="page62">
              <w:r>
                <w:rPr>
                  <w:rFonts w:ascii="Times New Roman" w:cs="Times New Roman" w:eastAsia="Times New Roman" w:hAnsi="Times New Roman"/>
                  <w:sz w:val="14"/>
                  <w:szCs w:val="14"/>
                  <w:color w:val="0000EE"/>
                </w:rPr>
                <w:t>Consolidated Balance Sheets as of December 31, 2017 and 2016</w:t>
              </w:r>
            </w:hyperlink>
          </w:p>
        </w:tc>
        <w:tc>
          <w:tcPr>
            <w:tcW w:w="3940" w:type="dxa"/>
            <w:vAlign w:val="bottom"/>
            <w:tcBorders>
              <w:bottom w:val="single" w:sz="8" w:color="CCEEFF"/>
            </w:tcBorders>
            <w:gridSpan w:val="7"/>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r>
      <w:tr>
        <w:trPr>
          <w:trHeight w:val="217"/>
        </w:trPr>
        <w:tc>
          <w:tcPr>
            <w:tcW w:w="100" w:type="dxa"/>
            <w:vAlign w:val="bottom"/>
          </w:tcPr>
          <w:p>
            <w:pPr>
              <w:spacing w:after="0"/>
              <w:rPr>
                <w:sz w:val="18"/>
                <w:szCs w:val="18"/>
                <w:color w:val="auto"/>
              </w:rPr>
            </w:pPr>
          </w:p>
        </w:tc>
        <w:tc>
          <w:tcPr>
            <w:tcW w:w="7680" w:type="dxa"/>
            <w:vAlign w:val="bottom"/>
            <w:gridSpan w:val="11"/>
          </w:tcPr>
          <w:p>
            <w:pPr>
              <w:spacing w:after="0"/>
              <w:rPr>
                <w:rFonts w:ascii="Times New Roman" w:cs="Times New Roman" w:eastAsia="Times New Roman" w:hAnsi="Times New Roman"/>
                <w:sz w:val="14"/>
                <w:szCs w:val="14"/>
                <w:color w:val="0000EE"/>
              </w:rPr>
            </w:pPr>
            <w:hyperlink w:anchor="page63">
              <w:r>
                <w:rPr>
                  <w:rFonts w:ascii="Times New Roman" w:cs="Times New Roman" w:eastAsia="Times New Roman" w:hAnsi="Times New Roman"/>
                  <w:sz w:val="14"/>
                  <w:szCs w:val="14"/>
                  <w:color w:val="0000EE"/>
                </w:rPr>
                <w:t>Consolidated Statements of Income for the Three Years Ended December 31, 2017</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6"/>
        </w:trPr>
        <w:tc>
          <w:tcPr>
            <w:tcW w:w="10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4"/>
                <w:szCs w:val="14"/>
                <w:color w:val="0000EE"/>
              </w:rPr>
            </w:pPr>
            <w:hyperlink w:anchor="page64">
              <w:r>
                <w:rPr>
                  <w:rFonts w:ascii="Times New Roman" w:cs="Times New Roman" w:eastAsia="Times New Roman" w:hAnsi="Times New Roman"/>
                  <w:sz w:val="14"/>
                  <w:szCs w:val="14"/>
                  <w:color w:val="0000EE"/>
                </w:rPr>
                <w:t>Consolidated Statements of Comprehensive Income for the Three Years Ended December 31, 2017</w:t>
              </w:r>
            </w:hyperlink>
          </w:p>
        </w:tc>
        <w:tc>
          <w:tcPr>
            <w:tcW w:w="1940" w:type="dxa"/>
            <w:vAlign w:val="bottom"/>
            <w:tcBorders>
              <w:bottom w:val="single" w:sz="8" w:color="CCEEFF"/>
            </w:tcBorders>
            <w:gridSpan w:val="2"/>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r>
      <w:tr>
        <w:trPr>
          <w:trHeight w:val="223"/>
        </w:trPr>
        <w:tc>
          <w:tcPr>
            <w:tcW w:w="100" w:type="dxa"/>
            <w:vAlign w:val="bottom"/>
          </w:tcPr>
          <w:p>
            <w:pPr>
              <w:spacing w:after="0"/>
              <w:rPr>
                <w:sz w:val="19"/>
                <w:szCs w:val="19"/>
                <w:color w:val="auto"/>
              </w:rPr>
            </w:pPr>
          </w:p>
        </w:tc>
        <w:tc>
          <w:tcPr>
            <w:tcW w:w="558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w:anchor="page65">
              <w:r>
                <w:rPr>
                  <w:rFonts w:ascii="Times New Roman" w:cs="Times New Roman" w:eastAsia="Times New Roman" w:hAnsi="Times New Roman"/>
                  <w:sz w:val="14"/>
                  <w:szCs w:val="14"/>
                  <w:color w:val="0000EE"/>
                </w:rPr>
                <w:t>Consolidated Statements of Stockholders’ Equity for the Three Years Ended December 31, 2017</w:t>
              </w:r>
            </w:hyperlink>
          </w:p>
        </w:tc>
        <w:tc>
          <w:tcPr>
            <w:tcW w:w="2100" w:type="dxa"/>
            <w:vAlign w:val="bottom"/>
            <w:gridSpan w:val="3"/>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5"/>
        </w:trPr>
        <w:tc>
          <w:tcPr>
            <w:tcW w:w="10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0000EE"/>
            </w:tcBorders>
            <w:gridSpan w:val="5"/>
            <w:shd w:val="clear" w:color="auto" w:fill="CCEEFF"/>
          </w:tcPr>
          <w:p>
            <w:pPr>
              <w:spacing w:after="0"/>
              <w:rPr>
                <w:rFonts w:ascii="Times New Roman" w:cs="Times New Roman" w:eastAsia="Times New Roman" w:hAnsi="Times New Roman"/>
                <w:sz w:val="13"/>
                <w:szCs w:val="13"/>
                <w:color w:val="0000EE"/>
                <w:w w:val="99"/>
              </w:rPr>
            </w:pPr>
            <w:hyperlink w:anchor="page66">
              <w:r>
                <w:rPr>
                  <w:rFonts w:ascii="Times New Roman" w:cs="Times New Roman" w:eastAsia="Times New Roman" w:hAnsi="Times New Roman"/>
                  <w:sz w:val="13"/>
                  <w:szCs w:val="13"/>
                  <w:color w:val="0000EE"/>
                  <w:w w:val="99"/>
                </w:rPr>
                <w:t>Consolidated Statements of Cash Flows for the Three Years Ended December 31, 2017</w:t>
              </w:r>
            </w:hyperlink>
          </w:p>
        </w:tc>
        <w:tc>
          <w:tcPr>
            <w:tcW w:w="3140" w:type="dxa"/>
            <w:vAlign w:val="bottom"/>
            <w:tcBorders>
              <w:bottom w:val="single" w:sz="8" w:color="CCEEFF"/>
            </w:tcBorders>
            <w:gridSpan w:val="6"/>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2280" w:type="dxa"/>
            <w:vAlign w:val="bottom"/>
            <w:tcBorders>
              <w:bottom w:val="single" w:sz="8" w:color="0000EE"/>
            </w:tcBorders>
            <w:gridSpan w:val="2"/>
          </w:tcPr>
          <w:p>
            <w:pPr>
              <w:spacing w:after="0"/>
              <w:rPr>
                <w:rFonts w:ascii="Times New Roman" w:cs="Times New Roman" w:eastAsia="Times New Roman" w:hAnsi="Times New Roman"/>
                <w:sz w:val="13"/>
                <w:szCs w:val="13"/>
                <w:color w:val="0000EE"/>
                <w:w w:val="99"/>
              </w:rPr>
            </w:pPr>
            <w:hyperlink w:anchor="page67">
              <w:r>
                <w:rPr>
                  <w:rFonts w:ascii="Times New Roman" w:cs="Times New Roman" w:eastAsia="Times New Roman" w:hAnsi="Times New Roman"/>
                  <w:sz w:val="13"/>
                  <w:szCs w:val="13"/>
                  <w:color w:val="0000EE"/>
                  <w:w w:val="99"/>
                </w:rPr>
                <w:t>Notes to Consolidated Financial Statements</w:t>
              </w:r>
            </w:hyperlink>
          </w:p>
        </w:tc>
        <w:tc>
          <w:tcPr>
            <w:tcW w:w="5400" w:type="dxa"/>
            <w:vAlign w:val="bottom"/>
            <w:gridSpan w:val="9"/>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r>
    </w:tbl>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 Financial Statements and Schedules for the years ended December 31, 2017, 2016, and 2015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9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78"/>
        </w:trPr>
        <w:tc>
          <w:tcPr>
            <w:tcW w:w="1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920" w:type="dxa"/>
            <w:vAlign w:val="bottom"/>
            <w:tcBorders>
              <w:top w:val="single" w:sz="8" w:color="CCEEFF"/>
            </w:tcBorders>
            <w:shd w:val="clear" w:color="auto" w:fill="CCEEFF"/>
          </w:tcPr>
          <w:p>
            <w:pPr>
              <w:spacing w:after="0"/>
              <w:rPr>
                <w:sz w:val="6"/>
                <w:szCs w:val="6"/>
                <w:color w:val="auto"/>
              </w:rPr>
            </w:pPr>
          </w:p>
        </w:tc>
        <w:tc>
          <w:tcPr>
            <w:tcW w:w="69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r>
      <w:tr>
        <w:trPr>
          <w:trHeight w:val="206"/>
        </w:trPr>
        <w:tc>
          <w:tcPr>
            <w:tcW w:w="10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rPr>
                <w:rFonts w:ascii="Times New Roman" w:cs="Times New Roman" w:eastAsia="Times New Roman" w:hAnsi="Times New Roman"/>
                <w:sz w:val="13"/>
                <w:szCs w:val="13"/>
                <w:color w:val="0000EE"/>
                <w:w w:val="98"/>
              </w:rPr>
            </w:pPr>
            <w:hyperlink w:anchor="page109">
              <w:r>
                <w:rPr>
                  <w:rFonts w:ascii="Times New Roman" w:cs="Times New Roman" w:eastAsia="Times New Roman" w:hAnsi="Times New Roman"/>
                  <w:sz w:val="13"/>
                  <w:szCs w:val="13"/>
                  <w:color w:val="0000EE"/>
                  <w:w w:val="98"/>
                </w:rPr>
                <w:t>Schedule II – Valuation and Qualifying Accounts</w:t>
              </w:r>
            </w:hyperlink>
          </w:p>
        </w:tc>
        <w:tc>
          <w:tcPr>
            <w:tcW w:w="7240" w:type="dxa"/>
            <w:vAlign w:val="bottom"/>
            <w:gridSpan w:val="2"/>
          </w:tcPr>
          <w:p>
            <w:pPr>
              <w:jc w:val="right"/>
              <w:ind w:right="155"/>
              <w:spacing w:after="0"/>
              <w:rPr>
                <w:sz w:val="20"/>
                <w:szCs w:val="20"/>
                <w:color w:val="auto"/>
              </w:rPr>
            </w:pPr>
            <w:r>
              <w:rPr>
                <w:rFonts w:ascii="Times New Roman" w:cs="Times New Roman" w:eastAsia="Times New Roman" w:hAnsi="Times New Roman"/>
                <w:sz w:val="13"/>
                <w:szCs w:val="13"/>
                <w:color w:val="auto"/>
              </w:rPr>
              <w:t>109</w:t>
            </w:r>
          </w:p>
        </w:tc>
        <w:tc>
          <w:tcPr>
            <w:tcW w:w="260" w:type="dxa"/>
            <w:vAlign w:val="bottom"/>
          </w:tcPr>
          <w:p>
            <w:pPr>
              <w:spacing w:after="0"/>
              <w:rPr>
                <w:sz w:val="17"/>
                <w:szCs w:val="17"/>
                <w:color w:val="auto"/>
              </w:rPr>
            </w:pPr>
          </w:p>
        </w:tc>
      </w:tr>
    </w:tbl>
    <w:p>
      <w:pPr>
        <w:spacing w:after="0" w:line="92" w:lineRule="exact"/>
        <w:rPr>
          <w:sz w:val="20"/>
          <w:szCs w:val="20"/>
          <w:color w:val="auto"/>
        </w:rPr>
      </w:pPr>
    </w:p>
    <w:p>
      <w:pPr>
        <w:ind w:left="440" w:hanging="172"/>
        <w:spacing w:after="0"/>
        <w:tabs>
          <w:tab w:leader="none" w:pos="440" w:val="left"/>
        </w:tabs>
        <w:numPr>
          <w:ilvl w:val="1"/>
          <w:numId w:val="103"/>
        </w:numPr>
        <w:rPr>
          <w:rFonts w:ascii="Times New Roman" w:cs="Times New Roman" w:eastAsia="Times New Roman" w:hAnsi="Times New Roman"/>
          <w:sz w:val="14"/>
          <w:szCs w:val="14"/>
          <w:i w:val="1"/>
          <w:iCs w:val="1"/>
          <w:u w:val="single" w:color="auto"/>
          <w:color w:val="0000EE"/>
        </w:rPr>
      </w:pPr>
      <w:hyperlink w:anchor="page116">
        <w:r>
          <w:rPr>
            <w:rFonts w:ascii="Times New Roman" w:cs="Times New Roman" w:eastAsia="Times New Roman" w:hAnsi="Times New Roman"/>
            <w:sz w:val="14"/>
            <w:szCs w:val="14"/>
            <w:i w:val="1"/>
            <w:iCs w:val="1"/>
            <w:u w:val="single" w:color="auto"/>
            <w:color w:val="0000EE"/>
          </w:rPr>
          <w:t>Exhibits</w:t>
        </w:r>
      </w:hyperlink>
    </w:p>
    <w:p>
      <w:pPr>
        <w:spacing w:after="0" w:line="188" w:lineRule="exact"/>
        <w:rPr>
          <w:rFonts w:ascii="Times New Roman" w:cs="Times New Roman" w:eastAsia="Times New Roman" w:hAnsi="Times New Roman"/>
          <w:sz w:val="14"/>
          <w:szCs w:val="14"/>
          <w:i w:val="1"/>
          <w:iCs w:val="1"/>
          <w:u w:val="single" w:color="auto"/>
          <w:color w:val="0000EE"/>
        </w:rPr>
      </w:pPr>
    </w:p>
    <w:p>
      <w:pPr>
        <w:ind w:left="220" w:hanging="212"/>
        <w:spacing w:after="0"/>
        <w:tabs>
          <w:tab w:leader="none" w:pos="2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Item (a) 3. above.</w:t>
      </w:r>
    </w:p>
    <w:p>
      <w:pPr>
        <w:spacing w:after="0" w:line="154" w:lineRule="exact"/>
        <w:rPr>
          <w:sz w:val="20"/>
          <w:szCs w:val="20"/>
          <w:color w:val="auto"/>
        </w:rPr>
      </w:pPr>
    </w:p>
    <w:p>
      <w:pPr>
        <w:ind w:left="260" w:right="8240" w:hanging="252"/>
        <w:spacing w:after="0" w:line="493" w:lineRule="auto"/>
        <w:tabs>
          <w:tab w:leader="none" w:pos="19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 See Item (a) 2. above.</w:t>
      </w: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367" w:right="739" w:bottom="1440" w:gutter="0" w:footer="0" w:header="0"/>
        </w:sectPr>
      </w:pPr>
    </w:p>
    <w:bookmarkStart w:id="112" w:name="page113"/>
    <w:bookmarkEnd w:id="112"/>
    <w:p>
      <w:pPr>
        <w:jc w:val="center"/>
        <w:ind w:right="-259"/>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2"/>
          <w:szCs w:val="12"/>
          <w:i w:val="1"/>
          <w:iCs w:val="1"/>
          <w:color w:val="auto"/>
        </w:rPr>
        <w:t>*These exhibits constitute the executive compensation plans and arrangements of the Company.</w:t>
      </w:r>
    </w:p>
    <w:p>
      <w:pPr>
        <w:ind w:left="2360" w:right="2060" w:firstLine="233"/>
        <w:spacing w:after="0" w:line="453" w:lineRule="auto"/>
        <w:rPr>
          <w:sz w:val="20"/>
          <w:szCs w:val="20"/>
          <w:color w:val="auto"/>
        </w:rPr>
      </w:pPr>
      <w:r>
        <w:rPr>
          <w:rFonts w:ascii="Times New Roman" w:cs="Times New Roman" w:eastAsia="Times New Roman" w:hAnsi="Times New Roman"/>
          <w:sz w:val="10"/>
          <w:szCs w:val="10"/>
          <w:i w:val="1"/>
          <w:iCs w:val="1"/>
          <w:color w:val="auto"/>
        </w:rPr>
        <w:t>+These exhibits are filed as part of this Form 10-K Filing. Links are included within the “</w:t>
      </w:r>
      <w:r>
        <w:rPr>
          <w:rFonts w:ascii="Times New Roman" w:cs="Times New Roman" w:eastAsia="Times New Roman" w:hAnsi="Times New Roman"/>
          <w:sz w:val="10"/>
          <w:szCs w:val="10"/>
          <w:b w:val="1"/>
          <w:bCs w:val="1"/>
          <w:color w:val="auto"/>
        </w:rPr>
        <w:t>Description</w:t>
      </w:r>
      <w:r>
        <w:rPr>
          <w:rFonts w:ascii="Times New Roman" w:cs="Times New Roman" w:eastAsia="Times New Roman" w:hAnsi="Times New Roman"/>
          <w:sz w:val="10"/>
          <w:szCs w:val="10"/>
          <w:i w:val="1"/>
          <w:iCs w:val="1"/>
          <w:color w:val="auto"/>
        </w:rPr>
        <w:t>” column. Included is the amended and restated version of this exhibit, redlined to show the amendment adopted on November 7, 2017</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gridSpan w:val="16"/>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Links for Exhibits Incorporated by Reference</w:t>
            </w:r>
          </w:p>
        </w:tc>
        <w:tc>
          <w:tcPr>
            <w:tcW w:w="0" w:type="dxa"/>
            <w:vAlign w:val="bottom"/>
          </w:tcPr>
          <w:p>
            <w:pPr>
              <w:spacing w:after="0"/>
              <w:rPr>
                <w:sz w:val="1"/>
                <w:szCs w:val="1"/>
                <w:color w:val="auto"/>
              </w:rPr>
            </w:pPr>
          </w:p>
        </w:tc>
      </w:tr>
      <w:tr>
        <w:trPr>
          <w:trHeight w:val="195"/>
        </w:trPr>
        <w:tc>
          <w:tcPr>
            <w:tcW w:w="108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color w:val="auto"/>
                <w:w w:val="98"/>
              </w:rPr>
              <w:t>3.1</w:t>
            </w:r>
          </w:p>
        </w:tc>
        <w:tc>
          <w:tcPr>
            <w:tcW w:w="428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3"/>
                <w:szCs w:val="13"/>
                <w:color w:val="auto"/>
              </w:rPr>
              <w:t>Amended and Restated Articles of Incorporation of Reading International, Inc.,</w:t>
            </w:r>
          </w:p>
        </w:tc>
        <w:tc>
          <w:tcPr>
            <w:tcW w:w="4800" w:type="dxa"/>
            <w:vAlign w:val="bottom"/>
            <w:tcBorders>
              <w:top w:val="single" w:sz="8" w:color="auto"/>
            </w:tcBorders>
            <w:gridSpan w:val="20"/>
          </w:tcPr>
          <w:p>
            <w:pPr>
              <w:ind w:left="100"/>
              <w:spacing w:after="0"/>
              <w:rPr>
                <w:rFonts w:ascii="Times New Roman" w:cs="Times New Roman" w:eastAsia="Times New Roman" w:hAnsi="Times New Roman"/>
                <w:sz w:val="13"/>
                <w:szCs w:val="13"/>
                <w:color w:val="auto"/>
              </w:rPr>
            </w:pPr>
            <w:hyperlink r:id="rId152">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3.1 to the Company’s Annual Report on Form 10-K for the year</w:t>
              </w:r>
            </w:hyperlink>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280" w:type="dxa"/>
            <w:vAlign w:val="bottom"/>
            <w:gridSpan w:val="8"/>
          </w:tcPr>
          <w:p>
            <w:pPr>
              <w:spacing w:after="0" w:line="110" w:lineRule="exact"/>
              <w:rPr>
                <w:sz w:val="20"/>
                <w:szCs w:val="20"/>
                <w:color w:val="auto"/>
              </w:rPr>
            </w:pPr>
            <w:r>
              <w:rPr>
                <w:rFonts w:ascii="Times New Roman" w:cs="Times New Roman" w:eastAsia="Times New Roman" w:hAnsi="Times New Roman"/>
                <w:sz w:val="12"/>
                <w:szCs w:val="12"/>
                <w:color w:val="auto"/>
              </w:rPr>
              <w:t>a Nevada corporation, effective as of August 6, 2014</w:t>
            </w:r>
          </w:p>
        </w:tc>
        <w:tc>
          <w:tcPr>
            <w:tcW w:w="540" w:type="dxa"/>
            <w:vAlign w:val="bottom"/>
            <w:gridSpan w:val="3"/>
          </w:tcPr>
          <w:p>
            <w:pPr>
              <w:ind w:left="100"/>
              <w:spacing w:after="0" w:line="110" w:lineRule="exact"/>
              <w:rPr>
                <w:rFonts w:ascii="Times New Roman" w:cs="Times New Roman" w:eastAsia="Times New Roman" w:hAnsi="Times New Roman"/>
                <w:sz w:val="12"/>
                <w:szCs w:val="12"/>
                <w:b w:val="1"/>
                <w:bCs w:val="1"/>
                <w:color w:val="0000EE"/>
              </w:rPr>
            </w:pPr>
            <w:hyperlink r:id="rId152">
              <w:r>
                <w:rPr>
                  <w:rFonts w:ascii="Times New Roman" w:cs="Times New Roman" w:eastAsia="Times New Roman" w:hAnsi="Times New Roman"/>
                  <w:sz w:val="12"/>
                  <w:szCs w:val="12"/>
                  <w:b w:val="1"/>
                  <w:bCs w:val="1"/>
                  <w:color w:val="0000EE"/>
                </w:rPr>
                <w:t>ended</w:t>
              </w:r>
            </w:hyperlink>
          </w:p>
        </w:tc>
        <w:tc>
          <w:tcPr>
            <w:tcW w:w="4000" w:type="dxa"/>
            <w:vAlign w:val="bottom"/>
            <w:tcBorders>
              <w:top w:val="single" w:sz="8" w:color="0000EE"/>
            </w:tcBorders>
            <w:gridSpan w:val="13"/>
          </w:tcPr>
          <w:p>
            <w:pPr>
              <w:spacing w:after="0" w:line="110" w:lineRule="exact"/>
              <w:rPr>
                <w:rFonts w:ascii="Times New Roman" w:cs="Times New Roman" w:eastAsia="Times New Roman" w:hAnsi="Times New Roman"/>
                <w:sz w:val="12"/>
                <w:szCs w:val="12"/>
                <w:b w:val="1"/>
                <w:bCs w:val="1"/>
                <w:color w:val="0000EE"/>
              </w:rPr>
            </w:pPr>
            <w:hyperlink r:id="rId152">
              <w:r>
                <w:rPr>
                  <w:rFonts w:ascii="Times New Roman" w:cs="Times New Roman" w:eastAsia="Times New Roman" w:hAnsi="Times New Roman"/>
                  <w:sz w:val="12"/>
                  <w:szCs w:val="12"/>
                  <w:b w:val="1"/>
                  <w:bCs w:val="1"/>
                  <w:color w:val="0000EE"/>
                </w:rPr>
                <w:t>December 31, 2015</w:t>
              </w:r>
              <w:r>
                <w:rPr>
                  <w:rFonts w:ascii="Times New Roman" w:cs="Times New Roman" w:eastAsia="Times New Roman" w:hAnsi="Times New Roman"/>
                  <w:sz w:val="12"/>
                  <w:szCs w:val="12"/>
                  <w:color w:val="000000"/>
                </w:rPr>
                <w:t>, filed on April 29, 2016 and incorporated herein by</w:t>
              </w:r>
            </w:hyperlink>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auto"/>
              </w:rPr>
              <w:t>reference.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rPr>
              <w:t>3.2+</w:t>
            </w:r>
          </w:p>
        </w:tc>
        <w:tc>
          <w:tcPr>
            <w:tcW w:w="4280" w:type="dxa"/>
            <w:vAlign w:val="bottom"/>
            <w:gridSpan w:val="8"/>
            <w:shd w:val="clear" w:color="auto" w:fill="CCEEFF"/>
          </w:tcPr>
          <w:p>
            <w:pPr>
              <w:spacing w:after="0"/>
              <w:rPr>
                <w:rFonts w:ascii="Times New Roman" w:cs="Times New Roman" w:eastAsia="Times New Roman" w:hAnsi="Times New Roman"/>
                <w:sz w:val="13"/>
                <w:szCs w:val="13"/>
                <w:b w:val="1"/>
                <w:bCs w:val="1"/>
                <w:color w:val="0000EE"/>
              </w:rPr>
            </w:pPr>
            <w:hyperlink w:anchor="page117">
              <w:r>
                <w:rPr>
                  <w:rFonts w:ascii="Times New Roman" w:cs="Times New Roman" w:eastAsia="Times New Roman" w:hAnsi="Times New Roman"/>
                  <w:sz w:val="13"/>
                  <w:szCs w:val="13"/>
                  <w:b w:val="1"/>
                  <w:bCs w:val="1"/>
                  <w:color w:val="0000EE"/>
                </w:rPr>
                <w:t>Amended and Restated Bylaws of Reading International, Inc., a Nevada</w:t>
              </w:r>
            </w:hyperlink>
          </w:p>
        </w:tc>
        <w:tc>
          <w:tcPr>
            <w:tcW w:w="4800" w:type="dxa"/>
            <w:vAlign w:val="bottom"/>
            <w:gridSpan w:val="20"/>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21"/>
        </w:trPr>
        <w:tc>
          <w:tcPr>
            <w:tcW w:w="1080" w:type="dxa"/>
            <w:vAlign w:val="bottom"/>
            <w:tcBorders>
              <w:top w:val="single" w:sz="8" w:color="CCEEFF"/>
            </w:tcBorders>
            <w:shd w:val="clear" w:color="auto" w:fill="CCEEFF"/>
          </w:tcPr>
          <w:p>
            <w:pPr>
              <w:spacing w:after="0"/>
              <w:rPr>
                <w:sz w:val="10"/>
                <w:szCs w:val="10"/>
                <w:color w:val="auto"/>
              </w:rPr>
            </w:pPr>
          </w:p>
        </w:tc>
        <w:tc>
          <w:tcPr>
            <w:tcW w:w="3980" w:type="dxa"/>
            <w:vAlign w:val="bottom"/>
            <w:tcBorders>
              <w:top w:val="single" w:sz="8" w:color="0000EE"/>
            </w:tcBorders>
            <w:gridSpan w:val="5"/>
            <w:shd w:val="clear" w:color="auto" w:fill="CCEEFF"/>
          </w:tcPr>
          <w:p>
            <w:pPr>
              <w:spacing w:after="0" w:line="121" w:lineRule="exact"/>
              <w:rPr>
                <w:rFonts w:ascii="Times New Roman" w:cs="Times New Roman" w:eastAsia="Times New Roman" w:hAnsi="Times New Roman"/>
                <w:sz w:val="13"/>
                <w:szCs w:val="13"/>
                <w:b w:val="1"/>
                <w:bCs w:val="1"/>
                <w:color w:val="0000EE"/>
              </w:rPr>
            </w:pPr>
            <w:hyperlink w:anchor="page117">
              <w:r>
                <w:rPr>
                  <w:rFonts w:ascii="Times New Roman" w:cs="Times New Roman" w:eastAsia="Times New Roman" w:hAnsi="Times New Roman"/>
                  <w:sz w:val="13"/>
                  <w:szCs w:val="13"/>
                  <w:b w:val="1"/>
                  <w:bCs w:val="1"/>
                  <w:color w:val="0000EE"/>
                </w:rPr>
                <w:t>corporation, effective as of November 7, 2017</w:t>
              </w:r>
              <w:r>
                <w:rPr>
                  <w:rFonts w:ascii="Times New Roman" w:cs="Times New Roman" w:eastAsia="Times New Roman" w:hAnsi="Times New Roman"/>
                  <w:sz w:val="14"/>
                  <w:szCs w:val="14"/>
                  <w:color w:val="000000"/>
                  <w:vertAlign w:val="superscript"/>
                </w:rPr>
                <w:t>(1)</w:t>
              </w:r>
            </w:hyperlink>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right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w w:val="98"/>
              </w:rPr>
              <w:t>4.1</w:t>
            </w:r>
          </w:p>
        </w:tc>
        <w:tc>
          <w:tcPr>
            <w:tcW w:w="42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Form of Preferred Securities Certificate evidencing the preferred securities of</w:t>
            </w:r>
          </w:p>
        </w:tc>
        <w:tc>
          <w:tcPr>
            <w:tcW w:w="4800" w:type="dxa"/>
            <w:vAlign w:val="bottom"/>
            <w:gridSpan w:val="20"/>
          </w:tcPr>
          <w:p>
            <w:pPr>
              <w:ind w:left="100"/>
              <w:spacing w:after="0"/>
              <w:rPr>
                <w:rFonts w:ascii="Times New Roman" w:cs="Times New Roman" w:eastAsia="Times New Roman" w:hAnsi="Times New Roman"/>
                <w:sz w:val="13"/>
                <w:szCs w:val="13"/>
                <w:color w:val="auto"/>
              </w:rPr>
            </w:pPr>
            <w:hyperlink r:id="rId153">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4.1 to the Company’s report on Form 8-K filed on February 9,</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gridSpan w:val="8"/>
            <w:vMerge w:val="restart"/>
          </w:tcPr>
          <w:p>
            <w:pPr>
              <w:spacing w:after="0" w:line="130" w:lineRule="exact"/>
              <w:rPr>
                <w:sz w:val="20"/>
                <w:szCs w:val="20"/>
                <w:color w:val="auto"/>
              </w:rPr>
            </w:pPr>
            <w:r>
              <w:rPr>
                <w:rFonts w:ascii="Times New Roman" w:cs="Times New Roman" w:eastAsia="Times New Roman" w:hAnsi="Times New Roman"/>
                <w:sz w:val="13"/>
                <w:szCs w:val="13"/>
                <w:color w:val="auto"/>
              </w:rPr>
              <w:t>Reading International Trust I</w:t>
            </w: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80" w:type="dxa"/>
            <w:vAlign w:val="bottom"/>
          </w:tcPr>
          <w:p>
            <w:pPr>
              <w:spacing w:after="0"/>
              <w:rPr>
                <w:sz w:val="9"/>
                <w:szCs w:val="9"/>
                <w:color w:val="auto"/>
              </w:rPr>
            </w:pPr>
          </w:p>
        </w:tc>
        <w:tc>
          <w:tcPr>
            <w:tcW w:w="4280" w:type="dxa"/>
            <w:vAlign w:val="bottom"/>
            <w:gridSpan w:val="8"/>
            <w:vMerge w:val="continue"/>
          </w:tcPr>
          <w:p>
            <w:pPr>
              <w:spacing w:after="0"/>
              <w:rPr>
                <w:sz w:val="9"/>
                <w:szCs w:val="9"/>
                <w:color w:val="auto"/>
              </w:rPr>
            </w:pPr>
          </w:p>
        </w:tc>
        <w:tc>
          <w:tcPr>
            <w:tcW w:w="4440" w:type="dxa"/>
            <w:vAlign w:val="bottom"/>
            <w:gridSpan w:val="15"/>
          </w:tcPr>
          <w:p>
            <w:pPr>
              <w:ind w:left="100"/>
              <w:spacing w:after="0" w:line="110" w:lineRule="exact"/>
              <w:rPr>
                <w:rFonts w:ascii="Times New Roman" w:cs="Times New Roman" w:eastAsia="Times New Roman" w:hAnsi="Times New Roman"/>
                <w:sz w:val="12"/>
                <w:szCs w:val="12"/>
                <w:b w:val="1"/>
                <w:bCs w:val="1"/>
                <w:color w:val="0000EE"/>
              </w:rPr>
            </w:pPr>
            <w:hyperlink r:id="rId153">
              <w:r>
                <w:rPr>
                  <w:rFonts w:ascii="Times New Roman" w:cs="Times New Roman" w:eastAsia="Times New Roman" w:hAnsi="Times New Roman"/>
                  <w:sz w:val="12"/>
                  <w:szCs w:val="12"/>
                  <w:b w:val="1"/>
                  <w:bCs w:val="1"/>
                  <w:color w:val="0000EE"/>
                </w:rPr>
                <w:t>2007</w:t>
              </w:r>
              <w:r>
                <w:rPr>
                  <w:rFonts w:ascii="Times New Roman" w:cs="Times New Roman" w:eastAsia="Times New Roman" w:hAnsi="Times New Roman"/>
                  <w:sz w:val="12"/>
                  <w:szCs w:val="12"/>
                  <w:color w:val="000000"/>
                </w:rPr>
                <w:t>, and incorporated herein by reference.</w:t>
              </w:r>
            </w:hyperlink>
          </w:p>
        </w:tc>
        <w:tc>
          <w:tcPr>
            <w:tcW w:w="12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w w:val="98"/>
              </w:rPr>
              <w:t>4.2</w:t>
            </w:r>
          </w:p>
        </w:tc>
        <w:tc>
          <w:tcPr>
            <w:tcW w:w="4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Form of Common Securities Certificate evidencing common securities of</w:t>
            </w:r>
          </w:p>
        </w:tc>
        <w:tc>
          <w:tcPr>
            <w:tcW w:w="4800" w:type="dxa"/>
            <w:vAlign w:val="bottom"/>
            <w:gridSpan w:val="20"/>
            <w:shd w:val="clear" w:color="auto" w:fill="CCEEFF"/>
          </w:tcPr>
          <w:p>
            <w:pPr>
              <w:ind w:left="100"/>
              <w:spacing w:after="0"/>
              <w:rPr>
                <w:rFonts w:ascii="Times New Roman" w:cs="Times New Roman" w:eastAsia="Times New Roman" w:hAnsi="Times New Roman"/>
                <w:sz w:val="13"/>
                <w:szCs w:val="13"/>
                <w:color w:val="auto"/>
              </w:rPr>
            </w:pPr>
            <w:hyperlink r:id="rId154">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4.2 to the Company’s report on Form 8-K filed on February 9,</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4280" w:type="dxa"/>
            <w:vAlign w:val="bottom"/>
            <w:gridSpan w:val="8"/>
            <w:vMerge w:val="restart"/>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Reading International Trust I</w:t>
            </w:r>
          </w:p>
        </w:tc>
        <w:tc>
          <w:tcPr>
            <w:tcW w:w="540" w:type="dxa"/>
            <w:vAlign w:val="bottom"/>
            <w:gridSpan w:val="3"/>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4280" w:type="dxa"/>
            <w:vAlign w:val="bottom"/>
            <w:gridSpan w:val="8"/>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340" w:type="dxa"/>
            <w:vAlign w:val="bottom"/>
            <w:gridSpan w:val="14"/>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54">
              <w:r>
                <w:rPr>
                  <w:rFonts w:ascii="Times New Roman" w:cs="Times New Roman" w:eastAsia="Times New Roman" w:hAnsi="Times New Roman"/>
                  <w:sz w:val="12"/>
                  <w:szCs w:val="12"/>
                  <w:b w:val="1"/>
                  <w:bCs w:val="1"/>
                  <w:color w:val="0000EE"/>
                </w:rPr>
                <w:t>2007</w:t>
              </w:r>
              <w:r>
                <w:rPr>
                  <w:rFonts w:ascii="Times New Roman" w:cs="Times New Roman" w:eastAsia="Times New Roman" w:hAnsi="Times New Roman"/>
                  <w:sz w:val="12"/>
                  <w:szCs w:val="12"/>
                  <w:color w:val="000000"/>
                </w:rPr>
                <w:t>, and incorporated herein by reference.</w:t>
              </w:r>
            </w:hyperlink>
          </w:p>
        </w:tc>
        <w:tc>
          <w:tcPr>
            <w:tcW w:w="12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4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w w:val="98"/>
              </w:rPr>
              <w:t>4.3</w:t>
            </w:r>
          </w:p>
        </w:tc>
        <w:tc>
          <w:tcPr>
            <w:tcW w:w="42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Form of Reading International, Inc. and Reading New Zealand, Limited, Junior</w:t>
            </w:r>
          </w:p>
        </w:tc>
        <w:tc>
          <w:tcPr>
            <w:tcW w:w="100" w:type="dxa"/>
            <w:vAlign w:val="bottom"/>
          </w:tcPr>
          <w:p>
            <w:pPr>
              <w:spacing w:after="0"/>
              <w:rPr>
                <w:sz w:val="16"/>
                <w:szCs w:val="16"/>
                <w:color w:val="auto"/>
              </w:rPr>
            </w:pPr>
          </w:p>
        </w:tc>
        <w:tc>
          <w:tcPr>
            <w:tcW w:w="4700" w:type="dxa"/>
            <w:vAlign w:val="bottom"/>
            <w:gridSpan w:val="19"/>
          </w:tcPr>
          <w:p>
            <w:pPr>
              <w:spacing w:after="0"/>
              <w:rPr>
                <w:rFonts w:ascii="Times New Roman" w:cs="Times New Roman" w:eastAsia="Times New Roman" w:hAnsi="Times New Roman"/>
                <w:sz w:val="13"/>
                <w:szCs w:val="13"/>
                <w:color w:val="auto"/>
              </w:rPr>
            </w:pPr>
            <w:hyperlink r:id="rId155">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4.3 to the Company’s report on Form 8-K filed on February 9,</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gridSpan w:val="8"/>
            <w:vMerge w:val="restart"/>
          </w:tcPr>
          <w:p>
            <w:pPr>
              <w:spacing w:after="0" w:line="130" w:lineRule="exact"/>
              <w:rPr>
                <w:sz w:val="20"/>
                <w:szCs w:val="20"/>
                <w:color w:val="auto"/>
              </w:rPr>
            </w:pPr>
            <w:r>
              <w:rPr>
                <w:rFonts w:ascii="Times New Roman" w:cs="Times New Roman" w:eastAsia="Times New Roman" w:hAnsi="Times New Roman"/>
                <w:sz w:val="13"/>
                <w:szCs w:val="13"/>
                <w:color w:val="auto"/>
              </w:rPr>
              <w:t>Subordinated Note due 2027</w:t>
            </w:r>
          </w:p>
        </w:tc>
        <w:tc>
          <w:tcPr>
            <w:tcW w:w="54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80" w:type="dxa"/>
            <w:vAlign w:val="bottom"/>
          </w:tcPr>
          <w:p>
            <w:pPr>
              <w:spacing w:after="0"/>
              <w:rPr>
                <w:sz w:val="9"/>
                <w:szCs w:val="9"/>
                <w:color w:val="auto"/>
              </w:rPr>
            </w:pPr>
          </w:p>
        </w:tc>
        <w:tc>
          <w:tcPr>
            <w:tcW w:w="4280" w:type="dxa"/>
            <w:vAlign w:val="bottom"/>
            <w:gridSpan w:val="8"/>
            <w:vMerge w:val="continue"/>
          </w:tcPr>
          <w:p>
            <w:pPr>
              <w:spacing w:after="0"/>
              <w:rPr>
                <w:sz w:val="9"/>
                <w:szCs w:val="9"/>
                <w:color w:val="auto"/>
              </w:rPr>
            </w:pPr>
          </w:p>
        </w:tc>
        <w:tc>
          <w:tcPr>
            <w:tcW w:w="4440" w:type="dxa"/>
            <w:vAlign w:val="bottom"/>
            <w:gridSpan w:val="15"/>
          </w:tcPr>
          <w:p>
            <w:pPr>
              <w:ind w:left="100"/>
              <w:spacing w:after="0" w:line="110" w:lineRule="exact"/>
              <w:rPr>
                <w:rFonts w:ascii="Times New Roman" w:cs="Times New Roman" w:eastAsia="Times New Roman" w:hAnsi="Times New Roman"/>
                <w:sz w:val="12"/>
                <w:szCs w:val="12"/>
                <w:b w:val="1"/>
                <w:bCs w:val="1"/>
                <w:color w:val="0000EE"/>
              </w:rPr>
            </w:pPr>
            <w:hyperlink r:id="rId155">
              <w:r>
                <w:rPr>
                  <w:rFonts w:ascii="Times New Roman" w:cs="Times New Roman" w:eastAsia="Times New Roman" w:hAnsi="Times New Roman"/>
                  <w:sz w:val="12"/>
                  <w:szCs w:val="12"/>
                  <w:b w:val="1"/>
                  <w:bCs w:val="1"/>
                  <w:color w:val="0000EE"/>
                </w:rPr>
                <w:t>2007</w:t>
              </w:r>
              <w:r>
                <w:rPr>
                  <w:rFonts w:ascii="Times New Roman" w:cs="Times New Roman" w:eastAsia="Times New Roman" w:hAnsi="Times New Roman"/>
                  <w:sz w:val="12"/>
                  <w:szCs w:val="12"/>
                  <w:color w:val="000000"/>
                </w:rPr>
                <w:t>, and incorporated herein by reference.</w:t>
              </w:r>
            </w:hyperlink>
          </w:p>
        </w:tc>
        <w:tc>
          <w:tcPr>
            <w:tcW w:w="12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w w:val="98"/>
              </w:rPr>
              <w:t>4.4</w:t>
            </w:r>
          </w:p>
        </w:tc>
        <w:tc>
          <w:tcPr>
            <w:tcW w:w="4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Indenture among Reading International, Inc., Reading New Zealand Limited,</w:t>
            </w:r>
          </w:p>
        </w:tc>
        <w:tc>
          <w:tcPr>
            <w:tcW w:w="4800" w:type="dxa"/>
            <w:vAlign w:val="bottom"/>
            <w:gridSpan w:val="20"/>
            <w:shd w:val="clear" w:color="auto" w:fill="CCEEFF"/>
          </w:tcPr>
          <w:p>
            <w:pPr>
              <w:ind w:left="100"/>
              <w:spacing w:after="0"/>
              <w:rPr>
                <w:rFonts w:ascii="Times New Roman" w:cs="Times New Roman" w:eastAsia="Times New Roman" w:hAnsi="Times New Roman"/>
                <w:sz w:val="13"/>
                <w:szCs w:val="13"/>
                <w:color w:val="auto"/>
              </w:rPr>
            </w:pPr>
            <w:hyperlink r:id="rId156">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10.4 to the Company’s report on Form 8-K dated February 5,</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4280" w:type="dxa"/>
            <w:vAlign w:val="bottom"/>
            <w:gridSpan w:val="8"/>
            <w:vMerge w:val="restart"/>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and Wells Fargo Bank, N.A., as indenture trustee.</w:t>
            </w:r>
          </w:p>
        </w:tc>
        <w:tc>
          <w:tcPr>
            <w:tcW w:w="540" w:type="dxa"/>
            <w:vAlign w:val="bottom"/>
            <w:gridSpan w:val="3"/>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gridSpan w:val="3"/>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4280" w:type="dxa"/>
            <w:vAlign w:val="bottom"/>
            <w:gridSpan w:val="8"/>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320" w:type="dxa"/>
            <w:vAlign w:val="bottom"/>
            <w:tcBorders>
              <w:right w:val="single" w:sz="8" w:color="CCEEFF"/>
            </w:tcBorders>
            <w:gridSpan w:val="13"/>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56">
              <w:r>
                <w:rPr>
                  <w:rFonts w:ascii="Times New Roman" w:cs="Times New Roman" w:eastAsia="Times New Roman" w:hAnsi="Times New Roman"/>
                  <w:sz w:val="12"/>
                  <w:szCs w:val="12"/>
                  <w:b w:val="1"/>
                  <w:bCs w:val="1"/>
                  <w:color w:val="0000EE"/>
                </w:rPr>
                <w:t>2007</w:t>
              </w:r>
              <w:r>
                <w:rPr>
                  <w:rFonts w:ascii="Times New Roman" w:cs="Times New Roman" w:eastAsia="Times New Roman" w:hAnsi="Times New Roman"/>
                  <w:sz w:val="12"/>
                  <w:szCs w:val="12"/>
                  <w:color w:val="000000"/>
                </w:rPr>
                <w:t>, and incorporated herein by reference.</w:t>
              </w:r>
            </w:hyperlink>
          </w:p>
        </w:tc>
        <w:tc>
          <w:tcPr>
            <w:tcW w:w="140" w:type="dxa"/>
            <w:vAlign w:val="bottom"/>
            <w:gridSpan w:val="3"/>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4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w w:val="98"/>
              </w:rPr>
              <w:t>4.5</w:t>
            </w:r>
          </w:p>
        </w:tc>
        <w:tc>
          <w:tcPr>
            <w:tcW w:w="42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Form of Indenture</w:t>
            </w:r>
          </w:p>
        </w:tc>
        <w:tc>
          <w:tcPr>
            <w:tcW w:w="100" w:type="dxa"/>
            <w:vAlign w:val="bottom"/>
          </w:tcPr>
          <w:p>
            <w:pPr>
              <w:spacing w:after="0"/>
              <w:rPr>
                <w:sz w:val="16"/>
                <w:szCs w:val="16"/>
                <w:color w:val="auto"/>
              </w:rPr>
            </w:pPr>
          </w:p>
        </w:tc>
        <w:tc>
          <w:tcPr>
            <w:tcW w:w="4700" w:type="dxa"/>
            <w:vAlign w:val="bottom"/>
            <w:gridSpan w:val="19"/>
          </w:tcPr>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Filed as </w:t>
            </w:r>
            <w:hyperlink r:id="rId157">
              <w:r>
                <w:rPr>
                  <w:rFonts w:ascii="Times New Roman" w:cs="Times New Roman" w:eastAsia="Times New Roman" w:hAnsi="Times New Roman"/>
                  <w:sz w:val="13"/>
                  <w:szCs w:val="13"/>
                  <w:b w:val="1"/>
                  <w:bCs w:val="1"/>
                  <w:color w:val="0000EE"/>
                </w:rPr>
                <w:t>Exhibit 4.4 to the Company’s report on Form S-3 on October 20, 2009</w:t>
              </w:r>
            </w:hyperlink>
            <w:r>
              <w:rPr>
                <w:rFonts w:ascii="Times New Roman" w:cs="Times New Roman" w:eastAsia="Times New Roman" w:hAnsi="Times New Roman"/>
                <w:sz w:val="13"/>
                <w:szCs w:val="13"/>
                <w:color w:val="auto"/>
              </w:rPr>
              <w:t>, and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20" w:type="dxa"/>
            <w:vAlign w:val="bottom"/>
            <w:gridSpan w:val="14"/>
          </w:tcPr>
          <w:p>
            <w:pPr>
              <w:ind w:left="100"/>
              <w:spacing w:after="0"/>
              <w:rPr>
                <w:sz w:val="20"/>
                <w:szCs w:val="20"/>
                <w:color w:val="auto"/>
              </w:rPr>
            </w:pPr>
            <w:r>
              <w:rPr>
                <w:rFonts w:ascii="Times New Roman" w:cs="Times New Roman" w:eastAsia="Times New Roman" w:hAnsi="Times New Roman"/>
                <w:sz w:val="13"/>
                <w:szCs w:val="13"/>
                <w:color w:val="auto"/>
              </w:rPr>
              <w:t>incorporated herein by reference.</w:t>
            </w:r>
          </w:p>
        </w:tc>
        <w:tc>
          <w:tcPr>
            <w:tcW w:w="140" w:type="dxa"/>
            <w:vAlign w:val="bottom"/>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w w:val="98"/>
              </w:rPr>
              <w:t>10.1*+</w:t>
            </w:r>
          </w:p>
        </w:tc>
        <w:tc>
          <w:tcPr>
            <w:tcW w:w="4280" w:type="dxa"/>
            <w:vAlign w:val="bottom"/>
            <w:gridSpan w:val="8"/>
            <w:shd w:val="clear" w:color="auto" w:fill="CCEEFF"/>
          </w:tcPr>
          <w:p>
            <w:pPr>
              <w:spacing w:after="0"/>
              <w:rPr>
                <w:rFonts w:ascii="Times New Roman" w:cs="Times New Roman" w:eastAsia="Times New Roman" w:hAnsi="Times New Roman"/>
                <w:sz w:val="13"/>
                <w:szCs w:val="13"/>
                <w:b w:val="1"/>
                <w:bCs w:val="1"/>
                <w:color w:val="0000EE"/>
              </w:rPr>
            </w:pPr>
            <w:hyperlink w:anchor="page134">
              <w:r>
                <w:rPr>
                  <w:rFonts w:ascii="Times New Roman" w:cs="Times New Roman" w:eastAsia="Times New Roman" w:hAnsi="Times New Roman"/>
                  <w:sz w:val="13"/>
                  <w:szCs w:val="13"/>
                  <w:b w:val="1"/>
                  <w:bCs w:val="1"/>
                  <w:color w:val="0000EE"/>
                </w:rPr>
                <w:t>Restated 2010 Stock Incentive Plan, as of November 7, 2017</w:t>
              </w:r>
            </w:hyperlink>
          </w:p>
        </w:tc>
        <w:tc>
          <w:tcPr>
            <w:tcW w:w="4800" w:type="dxa"/>
            <w:vAlign w:val="bottom"/>
            <w:gridSpan w:val="20"/>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rPr>
              <w:t>10.2*</w:t>
            </w:r>
          </w:p>
        </w:tc>
        <w:tc>
          <w:tcPr>
            <w:tcW w:w="42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1999 Stock Option Plan of Reading International, Inc., as amended on</w:t>
            </w:r>
          </w:p>
        </w:tc>
        <w:tc>
          <w:tcPr>
            <w:tcW w:w="4800" w:type="dxa"/>
            <w:vAlign w:val="bottom"/>
            <w:gridSpan w:val="20"/>
          </w:tcPr>
          <w:p>
            <w:pPr>
              <w:ind w:left="1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Filed as </w:t>
            </w:r>
            <w:hyperlink r:id="rId158">
              <w:r>
                <w:rPr>
                  <w:rFonts w:ascii="Times New Roman" w:cs="Times New Roman" w:eastAsia="Times New Roman" w:hAnsi="Times New Roman"/>
                  <w:sz w:val="13"/>
                  <w:szCs w:val="13"/>
                  <w:b w:val="1"/>
                  <w:bCs w:val="1"/>
                  <w:color w:val="0000EE"/>
                </w:rPr>
                <w:t>Exhibit 4.1 to the Company’s Registration Statement on Form S-8</w:t>
              </w:r>
            </w:hyperlink>
            <w:r>
              <w:rPr>
                <w:rFonts w:ascii="Times New Roman" w:cs="Times New Roman" w:eastAsia="Times New Roman" w:hAnsi="Times New Roman"/>
                <w:sz w:val="13"/>
                <w:szCs w:val="13"/>
                <w:color w:val="auto"/>
              </w:rPr>
              <w:t>, filed on</w:t>
            </w: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4280" w:type="dxa"/>
            <w:vAlign w:val="bottom"/>
            <w:gridSpan w:val="8"/>
          </w:tcPr>
          <w:p>
            <w:pPr>
              <w:spacing w:after="0" w:line="148" w:lineRule="exact"/>
              <w:rPr>
                <w:sz w:val="20"/>
                <w:szCs w:val="20"/>
                <w:color w:val="auto"/>
              </w:rPr>
            </w:pPr>
            <w:r>
              <w:rPr>
                <w:rFonts w:ascii="Times New Roman" w:cs="Times New Roman" w:eastAsia="Times New Roman" w:hAnsi="Times New Roman"/>
                <w:sz w:val="13"/>
                <w:szCs w:val="13"/>
                <w:color w:val="auto"/>
              </w:rPr>
              <w:t>December 31, 2001</w:t>
            </w:r>
          </w:p>
        </w:tc>
        <w:tc>
          <w:tcPr>
            <w:tcW w:w="540" w:type="dxa"/>
            <w:vAlign w:val="bottom"/>
            <w:gridSpan w:val="3"/>
          </w:tcPr>
          <w:p>
            <w:pPr>
              <w:ind w:left="100"/>
              <w:spacing w:after="0" w:line="148" w:lineRule="exact"/>
              <w:rPr>
                <w:sz w:val="20"/>
                <w:szCs w:val="20"/>
                <w:color w:val="auto"/>
              </w:rPr>
            </w:pPr>
            <w:r>
              <w:rPr>
                <w:rFonts w:ascii="Times New Roman" w:cs="Times New Roman" w:eastAsia="Times New Roman" w:hAnsi="Times New Roman"/>
                <w:sz w:val="13"/>
                <w:szCs w:val="13"/>
                <w:color w:val="auto"/>
              </w:rPr>
              <w:t>January</w:t>
            </w:r>
          </w:p>
        </w:tc>
        <w:tc>
          <w:tcPr>
            <w:tcW w:w="36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auto"/>
              </w:rPr>
              <w:t>21, 2004, and incorporated herein by reference.</w:t>
            </w:r>
          </w:p>
        </w:tc>
        <w:tc>
          <w:tcPr>
            <w:tcW w:w="36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w w:val="98"/>
              </w:rPr>
              <w:t>10.3*+</w:t>
            </w:r>
          </w:p>
        </w:tc>
        <w:tc>
          <w:tcPr>
            <w:tcW w:w="4280" w:type="dxa"/>
            <w:vAlign w:val="bottom"/>
            <w:gridSpan w:val="8"/>
            <w:shd w:val="clear" w:color="auto" w:fill="CCEEFF"/>
          </w:tcPr>
          <w:p>
            <w:pPr>
              <w:spacing w:after="0"/>
              <w:rPr>
                <w:rFonts w:ascii="Times New Roman" w:cs="Times New Roman" w:eastAsia="Times New Roman" w:hAnsi="Times New Roman"/>
                <w:sz w:val="13"/>
                <w:szCs w:val="13"/>
                <w:b w:val="1"/>
                <w:bCs w:val="1"/>
                <w:color w:val="0000EE"/>
              </w:rPr>
            </w:pPr>
            <w:hyperlink w:anchor="page150">
              <w:r>
                <w:rPr>
                  <w:rFonts w:ascii="Times New Roman" w:cs="Times New Roman" w:eastAsia="Times New Roman" w:hAnsi="Times New Roman"/>
                  <w:sz w:val="13"/>
                  <w:szCs w:val="13"/>
                  <w:b w:val="1"/>
                  <w:bCs w:val="1"/>
                  <w:color w:val="0000EE"/>
                </w:rPr>
                <w:t>Form of Restricted Stock Unit Agreement (Non-Employee Director) under</w:t>
              </w:r>
            </w:hyperlink>
          </w:p>
        </w:tc>
        <w:tc>
          <w:tcPr>
            <w:tcW w:w="4800" w:type="dxa"/>
            <w:vAlign w:val="bottom"/>
            <w:gridSpan w:val="20"/>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6"/>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0000EE"/>
              <w:bottom w:val="single" w:sz="8" w:color="0000EE"/>
            </w:tcBorders>
            <w:gridSpan w:val="2"/>
            <w:shd w:val="clear" w:color="auto" w:fill="CCEEFF"/>
          </w:tcPr>
          <w:p>
            <w:pPr>
              <w:spacing w:after="0" w:line="110" w:lineRule="exact"/>
              <w:rPr>
                <w:rFonts w:ascii="Times New Roman" w:cs="Times New Roman" w:eastAsia="Times New Roman" w:hAnsi="Times New Roman"/>
                <w:sz w:val="12"/>
                <w:szCs w:val="12"/>
                <w:b w:val="1"/>
                <w:bCs w:val="1"/>
                <w:color w:val="0000EE"/>
              </w:rPr>
            </w:pPr>
            <w:hyperlink w:anchor="page150">
              <w:r>
                <w:rPr>
                  <w:rFonts w:ascii="Times New Roman" w:cs="Times New Roman" w:eastAsia="Times New Roman" w:hAnsi="Times New Roman"/>
                  <w:sz w:val="12"/>
                  <w:szCs w:val="12"/>
                  <w:b w:val="1"/>
                  <w:bCs w:val="1"/>
                  <w:color w:val="0000EE"/>
                </w:rPr>
                <w:t>the 2010 Stock Incentive Plan</w:t>
              </w:r>
            </w:hyperlink>
          </w:p>
        </w:tc>
        <w:tc>
          <w:tcPr>
            <w:tcW w:w="2480" w:type="dxa"/>
            <w:vAlign w:val="bottom"/>
            <w:tcBorders>
              <w:top w:val="single" w:sz="8" w:color="0000EE"/>
              <w:bottom w:val="single" w:sz="8" w:color="CCEEFF"/>
            </w:tcBorders>
            <w:gridSpan w:val="5"/>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w w:val="98"/>
              </w:rPr>
              <w:t>10.4*+</w:t>
            </w:r>
          </w:p>
        </w:tc>
        <w:tc>
          <w:tcPr>
            <w:tcW w:w="4280" w:type="dxa"/>
            <w:vAlign w:val="bottom"/>
            <w:gridSpan w:val="8"/>
          </w:tcPr>
          <w:p>
            <w:pPr>
              <w:spacing w:after="0"/>
              <w:rPr>
                <w:rFonts w:ascii="Times New Roman" w:cs="Times New Roman" w:eastAsia="Times New Roman" w:hAnsi="Times New Roman"/>
                <w:sz w:val="13"/>
                <w:szCs w:val="13"/>
                <w:b w:val="1"/>
                <w:bCs w:val="1"/>
                <w:color w:val="0000EE"/>
              </w:rPr>
            </w:pPr>
            <w:hyperlink w:anchor="page159">
              <w:r>
                <w:rPr>
                  <w:rFonts w:ascii="Times New Roman" w:cs="Times New Roman" w:eastAsia="Times New Roman" w:hAnsi="Times New Roman"/>
                  <w:sz w:val="13"/>
                  <w:szCs w:val="13"/>
                  <w:b w:val="1"/>
                  <w:bCs w:val="1"/>
                  <w:color w:val="0000EE"/>
                </w:rPr>
                <w:t>Form of Restricted Stock Unit Agreement (Non-Directors) under the 2010</w:t>
              </w:r>
            </w:hyperlink>
          </w:p>
        </w:tc>
        <w:tc>
          <w:tcPr>
            <w:tcW w:w="4800" w:type="dxa"/>
            <w:vAlign w:val="bottom"/>
            <w:gridSpan w:val="20"/>
          </w:tcPr>
          <w:p>
            <w:pPr>
              <w:ind w:left="10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100" w:type="dxa"/>
            <w:vAlign w:val="bottom"/>
            <w:tcBorders>
              <w:top w:val="single" w:sz="8" w:color="0000EE"/>
            </w:tcBorders>
            <w:gridSpan w:val="6"/>
          </w:tcPr>
          <w:p>
            <w:pPr>
              <w:spacing w:after="0" w:line="110" w:lineRule="exact"/>
              <w:rPr>
                <w:rFonts w:ascii="Times New Roman" w:cs="Times New Roman" w:eastAsia="Times New Roman" w:hAnsi="Times New Roman"/>
                <w:sz w:val="12"/>
                <w:szCs w:val="12"/>
                <w:b w:val="1"/>
                <w:bCs w:val="1"/>
                <w:color w:val="0000EE"/>
              </w:rPr>
            </w:pPr>
            <w:hyperlink w:anchor="page159">
              <w:r>
                <w:rPr>
                  <w:rFonts w:ascii="Times New Roman" w:cs="Times New Roman" w:eastAsia="Times New Roman" w:hAnsi="Times New Roman"/>
                  <w:sz w:val="12"/>
                  <w:szCs w:val="12"/>
                  <w:b w:val="1"/>
                  <w:bCs w:val="1"/>
                  <w:color w:val="0000EE"/>
                </w:rPr>
                <w:t>Stock Incentive Plan</w:t>
              </w:r>
            </w:hyperlink>
          </w:p>
        </w:tc>
        <w:tc>
          <w:tcPr>
            <w:tcW w:w="1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3"/>
                <w:szCs w:val="13"/>
                <w:color w:val="auto"/>
              </w:rPr>
              <w:t>10.5*</w:t>
            </w:r>
          </w:p>
        </w:tc>
        <w:tc>
          <w:tcPr>
            <w:tcW w:w="4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Award forms under the 2010 Stock Incentive Plan (i) Stock Option Agreement,</w:t>
            </w:r>
          </w:p>
        </w:tc>
        <w:tc>
          <w:tcPr>
            <w:tcW w:w="4800" w:type="dxa"/>
            <w:vAlign w:val="bottom"/>
            <w:gridSpan w:val="20"/>
            <w:shd w:val="clear" w:color="auto" w:fill="CCEEFF"/>
          </w:tcPr>
          <w:p>
            <w:pPr>
              <w:ind w:left="1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Filed as Exhibits </w:t>
            </w:r>
            <w:hyperlink r:id="rId159">
              <w:r>
                <w:rPr>
                  <w:rFonts w:ascii="Times New Roman" w:cs="Times New Roman" w:eastAsia="Times New Roman" w:hAnsi="Times New Roman"/>
                  <w:sz w:val="13"/>
                  <w:szCs w:val="13"/>
                  <w:b w:val="1"/>
                  <w:bCs w:val="1"/>
                  <w:color w:val="0000EE"/>
                </w:rPr>
                <w:t>4.2</w:t>
              </w:r>
            </w:hyperlink>
            <w:r>
              <w:rPr>
                <w:rFonts w:ascii="Times New Roman" w:cs="Times New Roman" w:eastAsia="Times New Roman" w:hAnsi="Times New Roman"/>
                <w:sz w:val="13"/>
                <w:szCs w:val="13"/>
                <w:color w:val="auto"/>
              </w:rPr>
              <w:t xml:space="preserve">, </w:t>
            </w:r>
            <w:hyperlink r:id="rId160">
              <w:r>
                <w:rPr>
                  <w:rFonts w:ascii="Times New Roman" w:cs="Times New Roman" w:eastAsia="Times New Roman" w:hAnsi="Times New Roman"/>
                  <w:sz w:val="13"/>
                  <w:szCs w:val="13"/>
                  <w:b w:val="1"/>
                  <w:bCs w:val="1"/>
                  <w:color w:val="0000EE"/>
                </w:rPr>
                <w:t>4.3</w:t>
              </w:r>
            </w:hyperlink>
            <w:r>
              <w:rPr>
                <w:rFonts w:ascii="Times New Roman" w:cs="Times New Roman" w:eastAsia="Times New Roman" w:hAnsi="Times New Roman"/>
                <w:sz w:val="13"/>
                <w:szCs w:val="13"/>
                <w:color w:val="auto"/>
              </w:rPr>
              <w:t xml:space="preserve">, </w:t>
            </w:r>
            <w:hyperlink r:id="rId161">
              <w:r>
                <w:rPr>
                  <w:rFonts w:ascii="Times New Roman" w:cs="Times New Roman" w:eastAsia="Times New Roman" w:hAnsi="Times New Roman"/>
                  <w:sz w:val="13"/>
                  <w:szCs w:val="13"/>
                  <w:b w:val="1"/>
                  <w:bCs w:val="1"/>
                  <w:color w:val="0000EE"/>
                </w:rPr>
                <w:t>4.4</w:t>
              </w:r>
              <w:r>
                <w:rPr>
                  <w:rFonts w:ascii="Times New Roman" w:cs="Times New Roman" w:eastAsia="Times New Roman" w:hAnsi="Times New Roman"/>
                  <w:sz w:val="13"/>
                  <w:szCs w:val="13"/>
                  <w:color w:val="auto"/>
                </w:rPr>
                <w:t xml:space="preserve"> </w:t>
              </w:r>
            </w:hyperlink>
            <w:r>
              <w:rPr>
                <w:rFonts w:ascii="Times New Roman" w:cs="Times New Roman" w:eastAsia="Times New Roman" w:hAnsi="Times New Roman"/>
                <w:sz w:val="13"/>
                <w:szCs w:val="13"/>
                <w:color w:val="auto"/>
              </w:rPr>
              <w:t xml:space="preserve">and </w:t>
            </w:r>
            <w:hyperlink r:id="rId162">
              <w:r>
                <w:rPr>
                  <w:rFonts w:ascii="Times New Roman" w:cs="Times New Roman" w:eastAsia="Times New Roman" w:hAnsi="Times New Roman"/>
                  <w:sz w:val="13"/>
                  <w:szCs w:val="13"/>
                  <w:b w:val="1"/>
                  <w:bCs w:val="1"/>
                  <w:color w:val="0000EE"/>
                </w:rPr>
                <w:t>4.5</w:t>
              </w:r>
            </w:hyperlink>
            <w:r>
              <w:rPr>
                <w:rFonts w:ascii="Times New Roman" w:cs="Times New Roman" w:eastAsia="Times New Roman" w:hAnsi="Times New Roman"/>
                <w:sz w:val="13"/>
                <w:szCs w:val="13"/>
                <w:color w:val="auto"/>
              </w:rPr>
              <w:t>, respectively, to the Company’s report on Form</w:t>
            </w: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4280" w:type="dxa"/>
            <w:vAlign w:val="bottom"/>
            <w:gridSpan w:val="8"/>
            <w:vMerge w:val="restart"/>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(ii) Stock Bonus Agreement, (iii) Restricted Stock Unit Agreement, and (iv)</w:t>
            </w:r>
          </w:p>
        </w:tc>
        <w:tc>
          <w:tcPr>
            <w:tcW w:w="1000" w:type="dxa"/>
            <w:vAlign w:val="bottom"/>
            <w:gridSpan w:val="4"/>
            <w:vMerge w:val="restart"/>
            <w:shd w:val="clear" w:color="auto" w:fill="CCEEFF"/>
          </w:tcPr>
          <w:p>
            <w:pPr>
              <w:ind w:left="100"/>
              <w:spacing w:after="0" w:line="119" w:lineRule="exact"/>
              <w:rPr>
                <w:sz w:val="20"/>
                <w:szCs w:val="20"/>
                <w:color w:val="auto"/>
              </w:rPr>
            </w:pPr>
            <w:r>
              <w:rPr>
                <w:rFonts w:ascii="Times New Roman" w:cs="Times New Roman" w:eastAsia="Times New Roman" w:hAnsi="Times New Roman"/>
                <w:sz w:val="13"/>
                <w:szCs w:val="13"/>
                <w:color w:val="auto"/>
              </w:rPr>
              <w:t>S-8 on May 26,</w:t>
            </w: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580" w:type="dxa"/>
            <w:vAlign w:val="bottom"/>
            <w:gridSpan w:val="5"/>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080" w:type="dxa"/>
            <w:vAlign w:val="bottom"/>
            <w:shd w:val="clear" w:color="auto" w:fill="CCEEFF"/>
          </w:tcPr>
          <w:p>
            <w:pPr>
              <w:spacing w:after="0"/>
              <w:rPr>
                <w:sz w:val="8"/>
                <w:szCs w:val="8"/>
                <w:color w:val="auto"/>
              </w:rPr>
            </w:pPr>
          </w:p>
        </w:tc>
        <w:tc>
          <w:tcPr>
            <w:tcW w:w="4280" w:type="dxa"/>
            <w:vAlign w:val="bottom"/>
            <w:gridSpan w:val="8"/>
            <w:vMerge w:val="continue"/>
            <w:shd w:val="clear" w:color="auto" w:fill="CCEEFF"/>
          </w:tcPr>
          <w:p>
            <w:pPr>
              <w:spacing w:after="0"/>
              <w:rPr>
                <w:sz w:val="8"/>
                <w:szCs w:val="8"/>
                <w:color w:val="auto"/>
              </w:rPr>
            </w:pPr>
          </w:p>
        </w:tc>
        <w:tc>
          <w:tcPr>
            <w:tcW w:w="1000" w:type="dxa"/>
            <w:vAlign w:val="bottom"/>
            <w:gridSpan w:val="4"/>
            <w:vMerge w:val="continue"/>
            <w:shd w:val="clear" w:color="auto" w:fill="CCEEFF"/>
          </w:tcPr>
          <w:p>
            <w:pPr>
              <w:spacing w:after="0"/>
              <w:rPr>
                <w:sz w:val="8"/>
                <w:szCs w:val="8"/>
                <w:color w:val="auto"/>
              </w:rPr>
            </w:pPr>
          </w:p>
        </w:tc>
        <w:tc>
          <w:tcPr>
            <w:tcW w:w="260" w:type="dxa"/>
            <w:vAlign w:val="bottom"/>
            <w:tcBorders>
              <w:right w:val="single" w:sz="8" w:color="CCEEFF"/>
            </w:tcBorders>
            <w:shd w:val="clear" w:color="auto" w:fill="CCEEFF"/>
          </w:tcPr>
          <w:p>
            <w:pPr>
              <w:jc w:val="right"/>
              <w:ind w:right="23"/>
              <w:spacing w:after="0" w:line="100" w:lineRule="exact"/>
              <w:rPr>
                <w:sz w:val="20"/>
                <w:szCs w:val="20"/>
                <w:color w:val="auto"/>
              </w:rPr>
            </w:pPr>
            <w:r>
              <w:rPr>
                <w:rFonts w:ascii="Times New Roman" w:cs="Times New Roman" w:eastAsia="Times New Roman" w:hAnsi="Times New Roman"/>
                <w:sz w:val="10"/>
                <w:szCs w:val="10"/>
                <w:color w:val="auto"/>
                <w:w w:val="70"/>
              </w:rPr>
              <w:t>2010,</w:t>
            </w:r>
          </w:p>
        </w:tc>
        <w:tc>
          <w:tcPr>
            <w:tcW w:w="18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and</w:t>
            </w:r>
          </w:p>
        </w:tc>
        <w:tc>
          <w:tcPr>
            <w:tcW w:w="100" w:type="dxa"/>
            <w:vAlign w:val="bottom"/>
            <w:gridSpan w:val="2"/>
            <w:vMerge w:val="continue"/>
            <w:shd w:val="clear" w:color="auto" w:fill="CCEEFF"/>
          </w:tcPr>
          <w:p>
            <w:pPr>
              <w:spacing w:after="0"/>
              <w:rPr>
                <w:sz w:val="8"/>
                <w:szCs w:val="8"/>
                <w:color w:val="auto"/>
              </w:rPr>
            </w:pPr>
          </w:p>
        </w:tc>
        <w:tc>
          <w:tcPr>
            <w:tcW w:w="3260" w:type="dxa"/>
            <w:vAlign w:val="bottom"/>
            <w:gridSpan w:val="1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incorporated herein by reference.</w:t>
            </w:r>
          </w:p>
        </w:tc>
        <w:tc>
          <w:tcPr>
            <w:tcW w:w="0" w:type="dxa"/>
            <w:vAlign w:val="bottom"/>
          </w:tcPr>
          <w:p>
            <w:pPr>
              <w:spacing w:after="0"/>
              <w:rPr>
                <w:sz w:val="1"/>
                <w:szCs w:val="1"/>
                <w:color w:val="auto"/>
              </w:rPr>
            </w:pPr>
          </w:p>
        </w:tc>
      </w:tr>
      <w:tr>
        <w:trPr>
          <w:trHeight w:val="197"/>
        </w:trPr>
        <w:tc>
          <w:tcPr>
            <w:tcW w:w="10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Appreciation Right Agreement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w w:val="96"/>
              </w:rPr>
              <w:t>10.6</w:t>
            </w:r>
          </w:p>
        </w:tc>
        <w:tc>
          <w:tcPr>
            <w:tcW w:w="42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Amended and Restated Lease Agreement, dated as of July 28, 2000, as</w:t>
            </w:r>
          </w:p>
        </w:tc>
        <w:tc>
          <w:tcPr>
            <w:tcW w:w="4800" w:type="dxa"/>
            <w:vAlign w:val="bottom"/>
            <w:gridSpan w:val="20"/>
          </w:tcPr>
          <w:p>
            <w:pPr>
              <w:ind w:left="1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Filed as </w:t>
            </w:r>
            <w:hyperlink r:id="rId163">
              <w:r>
                <w:rPr>
                  <w:rFonts w:ascii="Times New Roman" w:cs="Times New Roman" w:eastAsia="Times New Roman" w:hAnsi="Times New Roman"/>
                  <w:sz w:val="13"/>
                  <w:szCs w:val="13"/>
                  <w:b w:val="1"/>
                  <w:bCs w:val="1"/>
                  <w:color w:val="0000EE"/>
                </w:rPr>
                <w:t>Exhibit 10.40 to the Company’s Annual Report on Form 10-K</w:t>
              </w:r>
              <w:r>
                <w:rPr>
                  <w:rFonts w:ascii="Times New Roman" w:cs="Times New Roman" w:eastAsia="Times New Roman" w:hAnsi="Times New Roman"/>
                  <w:sz w:val="13"/>
                  <w:szCs w:val="13"/>
                  <w:color w:val="auto"/>
                </w:rPr>
                <w:t xml:space="preserve"> </w:t>
              </w:r>
            </w:hyperlink>
            <w:r>
              <w:rPr>
                <w:rFonts w:ascii="Times New Roman" w:cs="Times New Roman" w:eastAsia="Times New Roman" w:hAnsi="Times New Roman"/>
                <w:sz w:val="13"/>
                <w:szCs w:val="13"/>
                <w:color w:val="auto"/>
              </w:rPr>
              <w:t>for the year</w:t>
            </w:r>
          </w:p>
        </w:tc>
        <w:tc>
          <w:tcPr>
            <w:tcW w:w="0" w:type="dxa"/>
            <w:vAlign w:val="bottom"/>
          </w:tcPr>
          <w:p>
            <w:pPr>
              <w:spacing w:after="0"/>
              <w:rPr>
                <w:sz w:val="1"/>
                <w:szCs w:val="1"/>
                <w:color w:val="auto"/>
              </w:rPr>
            </w:pPr>
          </w:p>
        </w:tc>
      </w:tr>
      <w:tr>
        <w:trPr>
          <w:trHeight w:val="100"/>
        </w:trPr>
        <w:tc>
          <w:tcPr>
            <w:tcW w:w="1080" w:type="dxa"/>
            <w:vAlign w:val="bottom"/>
          </w:tcPr>
          <w:p>
            <w:pPr>
              <w:spacing w:after="0"/>
              <w:rPr>
                <w:sz w:val="8"/>
                <w:szCs w:val="8"/>
                <w:color w:val="auto"/>
              </w:rPr>
            </w:pPr>
          </w:p>
        </w:tc>
        <w:tc>
          <w:tcPr>
            <w:tcW w:w="4280" w:type="dxa"/>
            <w:vAlign w:val="bottom"/>
            <w:gridSpan w:val="8"/>
          </w:tcPr>
          <w:p>
            <w:pPr>
              <w:spacing w:after="0" w:line="100" w:lineRule="exact"/>
              <w:rPr>
                <w:sz w:val="20"/>
                <w:szCs w:val="20"/>
                <w:color w:val="auto"/>
              </w:rPr>
            </w:pPr>
            <w:r>
              <w:rPr>
                <w:rFonts w:ascii="Times New Roman" w:cs="Times New Roman" w:eastAsia="Times New Roman" w:hAnsi="Times New Roman"/>
                <w:sz w:val="11"/>
                <w:szCs w:val="11"/>
                <w:color w:val="auto"/>
              </w:rPr>
              <w:t>amended and restated as of January 29, 2002, between Sutton Hill Capital,</w:t>
            </w:r>
          </w:p>
        </w:tc>
        <w:tc>
          <w:tcPr>
            <w:tcW w:w="540" w:type="dxa"/>
            <w:vAlign w:val="bottom"/>
            <w:gridSpan w:val="3"/>
          </w:tcPr>
          <w:p>
            <w:pPr>
              <w:ind w:left="100"/>
              <w:spacing w:after="0" w:line="100" w:lineRule="exact"/>
              <w:rPr>
                <w:sz w:val="20"/>
                <w:szCs w:val="20"/>
                <w:color w:val="auto"/>
              </w:rPr>
            </w:pPr>
            <w:r>
              <w:rPr>
                <w:rFonts w:ascii="Times New Roman" w:cs="Times New Roman" w:eastAsia="Times New Roman" w:hAnsi="Times New Roman"/>
                <w:sz w:val="11"/>
                <w:szCs w:val="11"/>
                <w:color w:val="auto"/>
              </w:rPr>
              <w:t>ended</w:t>
            </w:r>
          </w:p>
        </w:tc>
        <w:tc>
          <w:tcPr>
            <w:tcW w:w="3440" w:type="dxa"/>
            <w:vAlign w:val="bottom"/>
            <w:tcBorders>
              <w:top w:val="single" w:sz="8" w:color="0000EE"/>
            </w:tcBorders>
            <w:gridSpan w:val="9"/>
          </w:tcPr>
          <w:p>
            <w:pPr>
              <w:spacing w:after="0" w:line="100" w:lineRule="exact"/>
              <w:rPr>
                <w:sz w:val="20"/>
                <w:szCs w:val="20"/>
                <w:color w:val="auto"/>
              </w:rPr>
            </w:pPr>
            <w:r>
              <w:rPr>
                <w:rFonts w:ascii="Times New Roman" w:cs="Times New Roman" w:eastAsia="Times New Roman" w:hAnsi="Times New Roman"/>
                <w:sz w:val="11"/>
                <w:szCs w:val="11"/>
                <w:color w:val="auto"/>
              </w:rPr>
              <w:t>December 31, 2002 and incorporated herein by reference.</w:t>
            </w:r>
          </w:p>
        </w:tc>
        <w:tc>
          <w:tcPr>
            <w:tcW w:w="580" w:type="dxa"/>
            <w:vAlign w:val="bottom"/>
            <w:gridSpan w:val="5"/>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42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L.L.C. and Citadel Cinemas, Inc.</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3"/>
                <w:szCs w:val="13"/>
                <w:color w:val="auto"/>
                <w:w w:val="96"/>
              </w:rPr>
              <w:t>10.7</w:t>
            </w:r>
          </w:p>
        </w:tc>
        <w:tc>
          <w:tcPr>
            <w:tcW w:w="4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Amendment to Amended and Restated Master Operating Lease dated as</w:t>
            </w:r>
          </w:p>
        </w:tc>
        <w:tc>
          <w:tcPr>
            <w:tcW w:w="4800" w:type="dxa"/>
            <w:vAlign w:val="bottom"/>
            <w:gridSpan w:val="20"/>
            <w:shd w:val="clear" w:color="auto" w:fill="CCEEFF"/>
          </w:tcPr>
          <w:p>
            <w:pPr>
              <w:ind w:left="100"/>
              <w:spacing w:after="0"/>
              <w:rPr>
                <w:rFonts w:ascii="Times New Roman" w:cs="Times New Roman" w:eastAsia="Times New Roman" w:hAnsi="Times New Roman"/>
                <w:sz w:val="13"/>
                <w:szCs w:val="13"/>
                <w:color w:val="auto"/>
              </w:rPr>
            </w:pPr>
            <w:hyperlink r:id="rId164">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10.58 to the Company’s report on Form 8-K filed on September 21,</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4280" w:type="dxa"/>
            <w:vAlign w:val="bottom"/>
            <w:gridSpan w:val="8"/>
            <w:vMerge w:val="restart"/>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of September 1, 2005</w:t>
            </w:r>
          </w:p>
        </w:tc>
        <w:tc>
          <w:tcPr>
            <w:tcW w:w="540" w:type="dxa"/>
            <w:vAlign w:val="bottom"/>
            <w:gridSpan w:val="3"/>
            <w:shd w:val="clear" w:color="auto" w:fill="CCEEFF"/>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300" w:type="dxa"/>
            <w:vAlign w:val="bottom"/>
            <w:gridSpan w:val="1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4280" w:type="dxa"/>
            <w:vAlign w:val="bottom"/>
            <w:gridSpan w:val="8"/>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0" w:type="dxa"/>
            <w:vAlign w:val="bottom"/>
            <w:tcBorders>
              <w:right w:val="single" w:sz="8" w:color="CCEEFF"/>
            </w:tcBorders>
            <w:gridSpan w:val="18"/>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64">
              <w:r>
                <w:rPr>
                  <w:rFonts w:ascii="Times New Roman" w:cs="Times New Roman" w:eastAsia="Times New Roman" w:hAnsi="Times New Roman"/>
                  <w:sz w:val="12"/>
                  <w:szCs w:val="12"/>
                  <w:b w:val="1"/>
                  <w:bCs w:val="1"/>
                  <w:color w:val="0000EE"/>
                </w:rPr>
                <w:t>2005</w:t>
              </w:r>
              <w:r>
                <w:rPr>
                  <w:rFonts w:ascii="Times New Roman" w:cs="Times New Roman" w:eastAsia="Times New Roman" w:hAnsi="Times New Roman"/>
                  <w:sz w:val="12"/>
                  <w:szCs w:val="12"/>
                  <w:color w:val="000000"/>
                </w:rPr>
                <w:t>, and incorporated herein by reference.</w:t>
              </w:r>
            </w:hyperlink>
          </w:p>
        </w:tc>
        <w:tc>
          <w:tcPr>
            <w:tcW w:w="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w w:val="96"/>
              </w:rPr>
              <w:t>10.8</w:t>
            </w:r>
          </w:p>
        </w:tc>
        <w:tc>
          <w:tcPr>
            <w:tcW w:w="42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Assignment and Assumption of Lease between Sutton Hill Capital L.L.C. and</w:t>
            </w:r>
          </w:p>
        </w:tc>
        <w:tc>
          <w:tcPr>
            <w:tcW w:w="100" w:type="dxa"/>
            <w:vAlign w:val="bottom"/>
          </w:tcPr>
          <w:p>
            <w:pPr>
              <w:spacing w:after="0"/>
              <w:rPr>
                <w:sz w:val="16"/>
                <w:szCs w:val="16"/>
                <w:color w:val="auto"/>
              </w:rPr>
            </w:pPr>
          </w:p>
        </w:tc>
        <w:tc>
          <w:tcPr>
            <w:tcW w:w="4700" w:type="dxa"/>
            <w:vAlign w:val="bottom"/>
            <w:gridSpan w:val="19"/>
          </w:tcPr>
          <w:p>
            <w:pPr>
              <w:spacing w:after="0"/>
              <w:rPr>
                <w:rFonts w:ascii="Times New Roman" w:cs="Times New Roman" w:eastAsia="Times New Roman" w:hAnsi="Times New Roman"/>
                <w:sz w:val="13"/>
                <w:szCs w:val="13"/>
                <w:color w:val="auto"/>
              </w:rPr>
            </w:pPr>
            <w:hyperlink r:id="rId165">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10.56 to the Company’s report on Form 8-K filed on September 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gridSpan w:val="8"/>
            <w:vMerge w:val="restart"/>
          </w:tcPr>
          <w:p>
            <w:pPr>
              <w:spacing w:after="0" w:line="130" w:lineRule="exact"/>
              <w:rPr>
                <w:sz w:val="20"/>
                <w:szCs w:val="20"/>
                <w:color w:val="auto"/>
              </w:rPr>
            </w:pPr>
            <w:r>
              <w:rPr>
                <w:rFonts w:ascii="Times New Roman" w:cs="Times New Roman" w:eastAsia="Times New Roman" w:hAnsi="Times New Roman"/>
                <w:sz w:val="13"/>
                <w:szCs w:val="13"/>
                <w:color w:val="auto"/>
              </w:rPr>
              <w:t>Sutton Hill Properties, LLC dated as of September 19, 2005</w:t>
            </w:r>
          </w:p>
        </w:tc>
        <w:tc>
          <w:tcPr>
            <w:tcW w:w="540" w:type="dxa"/>
            <w:vAlign w:val="bottom"/>
            <w:gridSpan w:val="3"/>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300" w:type="dxa"/>
            <w:vAlign w:val="bottom"/>
            <w:gridSpan w:val="1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80" w:type="dxa"/>
            <w:vAlign w:val="bottom"/>
          </w:tcPr>
          <w:p>
            <w:pPr>
              <w:spacing w:after="0"/>
              <w:rPr>
                <w:sz w:val="9"/>
                <w:szCs w:val="9"/>
                <w:color w:val="auto"/>
              </w:rPr>
            </w:pPr>
          </w:p>
        </w:tc>
        <w:tc>
          <w:tcPr>
            <w:tcW w:w="4280" w:type="dxa"/>
            <w:vAlign w:val="bottom"/>
            <w:gridSpan w:val="8"/>
            <w:vMerge w:val="continue"/>
          </w:tcPr>
          <w:p>
            <w:pPr>
              <w:spacing w:after="0"/>
              <w:rPr>
                <w:sz w:val="9"/>
                <w:szCs w:val="9"/>
                <w:color w:val="auto"/>
              </w:rPr>
            </w:pPr>
          </w:p>
        </w:tc>
        <w:tc>
          <w:tcPr>
            <w:tcW w:w="4700" w:type="dxa"/>
            <w:vAlign w:val="bottom"/>
            <w:gridSpan w:val="19"/>
          </w:tcPr>
          <w:p>
            <w:pPr>
              <w:ind w:left="100"/>
              <w:spacing w:after="0" w:line="110" w:lineRule="exact"/>
              <w:rPr>
                <w:rFonts w:ascii="Times New Roman" w:cs="Times New Roman" w:eastAsia="Times New Roman" w:hAnsi="Times New Roman"/>
                <w:sz w:val="12"/>
                <w:szCs w:val="12"/>
                <w:b w:val="1"/>
                <w:bCs w:val="1"/>
                <w:color w:val="0000EE"/>
              </w:rPr>
            </w:pPr>
            <w:hyperlink r:id="rId165">
              <w:r>
                <w:rPr>
                  <w:rFonts w:ascii="Times New Roman" w:cs="Times New Roman" w:eastAsia="Times New Roman" w:hAnsi="Times New Roman"/>
                  <w:sz w:val="12"/>
                  <w:szCs w:val="12"/>
                  <w:b w:val="1"/>
                  <w:bCs w:val="1"/>
                  <w:color w:val="0000EE"/>
                </w:rPr>
                <w:t>2005</w:t>
              </w:r>
              <w:r>
                <w:rPr>
                  <w:rFonts w:ascii="Times New Roman" w:cs="Times New Roman" w:eastAsia="Times New Roman" w:hAnsi="Times New Roman"/>
                  <w:sz w:val="12"/>
                  <w:szCs w:val="12"/>
                  <w:color w:val="000000"/>
                </w:rPr>
                <w:t>, and incorporated herein by reference.</w:t>
              </w:r>
            </w:hyperlink>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3"/>
                <w:szCs w:val="13"/>
                <w:color w:val="auto"/>
                <w:w w:val="96"/>
              </w:rPr>
              <w:t>10.9</w:t>
            </w:r>
          </w:p>
        </w:tc>
        <w:tc>
          <w:tcPr>
            <w:tcW w:w="4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Third Amendment to Amended and Restated Master Operating Lease</w:t>
            </w:r>
          </w:p>
        </w:tc>
        <w:tc>
          <w:tcPr>
            <w:tcW w:w="4800" w:type="dxa"/>
            <w:vAlign w:val="bottom"/>
            <w:gridSpan w:val="20"/>
            <w:shd w:val="clear" w:color="auto" w:fill="CCEEFF"/>
          </w:tcPr>
          <w:p>
            <w:pPr>
              <w:ind w:left="100"/>
              <w:spacing w:after="0"/>
              <w:rPr>
                <w:rFonts w:ascii="Times New Roman" w:cs="Times New Roman" w:eastAsia="Times New Roman" w:hAnsi="Times New Roman"/>
                <w:sz w:val="13"/>
                <w:szCs w:val="13"/>
                <w:color w:val="auto"/>
              </w:rPr>
            </w:pPr>
            <w:hyperlink r:id="rId166">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10.21 to the Company’s report on Form 10-K for the year ended</w:t>
              </w:r>
            </w:hyperlink>
          </w:p>
        </w:tc>
        <w:tc>
          <w:tcPr>
            <w:tcW w:w="0" w:type="dxa"/>
            <w:vAlign w:val="bottom"/>
          </w:tcPr>
          <w:p>
            <w:pPr>
              <w:spacing w:after="0"/>
              <w:rPr>
                <w:sz w:val="1"/>
                <w:szCs w:val="1"/>
                <w:color w:val="auto"/>
              </w:rPr>
            </w:pPr>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4280" w:type="dxa"/>
            <w:vAlign w:val="bottom"/>
            <w:tcBorders>
              <w:top w:val="single" w:sz="8" w:color="CCEEFF"/>
            </w:tcBorders>
            <w:gridSpan w:val="8"/>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Agreement, dated June 29, 2010, between Sutton Hill Capital, L.L.C. and</w:t>
            </w:r>
          </w:p>
        </w:tc>
        <w:tc>
          <w:tcPr>
            <w:tcW w:w="540" w:type="dxa"/>
            <w:vAlign w:val="bottom"/>
            <w:tcBorders>
              <w:top w:val="single" w:sz="8" w:color="CCEEFF"/>
            </w:tcBorders>
            <w:gridSpan w:val="3"/>
            <w:shd w:val="clear" w:color="auto" w:fill="CCEEFF"/>
          </w:tcPr>
          <w:p>
            <w:pPr>
              <w:ind w:left="100"/>
              <w:spacing w:after="0" w:line="110" w:lineRule="exact"/>
              <w:rPr>
                <w:rFonts w:ascii="Times New Roman" w:cs="Times New Roman" w:eastAsia="Times New Roman" w:hAnsi="Times New Roman"/>
                <w:sz w:val="12"/>
                <w:szCs w:val="12"/>
                <w:b w:val="1"/>
                <w:bCs w:val="1"/>
                <w:color w:val="0000EE"/>
                <w:w w:val="80"/>
              </w:rPr>
            </w:pPr>
            <w:hyperlink r:id="rId166">
              <w:r>
                <w:rPr>
                  <w:rFonts w:ascii="Times New Roman" w:cs="Times New Roman" w:eastAsia="Times New Roman" w:hAnsi="Times New Roman"/>
                  <w:sz w:val="12"/>
                  <w:szCs w:val="12"/>
                  <w:b w:val="1"/>
                  <w:bCs w:val="1"/>
                  <w:color w:val="0000EE"/>
                  <w:w w:val="80"/>
                </w:rPr>
                <w:t>December</w:t>
              </w:r>
            </w:hyperlink>
          </w:p>
        </w:tc>
        <w:tc>
          <w:tcPr>
            <w:tcW w:w="4020" w:type="dxa"/>
            <w:vAlign w:val="bottom"/>
            <w:tcBorders>
              <w:top w:val="single" w:sz="8" w:color="0000EE"/>
            </w:tcBorders>
            <w:gridSpan w:val="14"/>
            <w:shd w:val="clear" w:color="auto" w:fill="CCEEFF"/>
          </w:tcPr>
          <w:p>
            <w:pPr>
              <w:ind w:left="160"/>
              <w:spacing w:after="0" w:line="110" w:lineRule="exact"/>
              <w:rPr>
                <w:rFonts w:ascii="Times New Roman" w:cs="Times New Roman" w:eastAsia="Times New Roman" w:hAnsi="Times New Roman"/>
                <w:sz w:val="12"/>
                <w:szCs w:val="12"/>
                <w:b w:val="1"/>
                <w:bCs w:val="1"/>
                <w:color w:val="0000EE"/>
              </w:rPr>
            </w:pPr>
            <w:hyperlink r:id="rId166">
              <w:r>
                <w:rPr>
                  <w:rFonts w:ascii="Times New Roman" w:cs="Times New Roman" w:eastAsia="Times New Roman" w:hAnsi="Times New Roman"/>
                  <w:sz w:val="12"/>
                  <w:szCs w:val="12"/>
                  <w:b w:val="1"/>
                  <w:bCs w:val="1"/>
                  <w:color w:val="0000EE"/>
                </w:rPr>
                <w:t>31, 2010</w:t>
              </w:r>
              <w:r>
                <w:rPr>
                  <w:rFonts w:ascii="Times New Roman" w:cs="Times New Roman" w:eastAsia="Times New Roman" w:hAnsi="Times New Roman"/>
                  <w:sz w:val="12"/>
                  <w:szCs w:val="12"/>
                  <w:color w:val="000000"/>
                </w:rPr>
                <w:t>, and incorporated herein by reference.</w:t>
              </w:r>
            </w:hyperlink>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4280" w:type="dxa"/>
            <w:vAlign w:val="bottom"/>
            <w:tcBorders>
              <w:top w:val="single" w:sz="8" w:color="CCEEFF"/>
              <w:bottom w:val="single" w:sz="8" w:color="CCEEFF"/>
            </w:tcBorders>
            <w:gridSpan w:val="8"/>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Citadel Cinemas, Inc.</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0000EE"/>
              <w:bottom w:val="single" w:sz="8" w:color="CCEEFF"/>
            </w:tcBorders>
            <w:shd w:val="clear" w:color="auto" w:fill="CCEEFF"/>
          </w:tcPr>
          <w:p>
            <w:pPr>
              <w:spacing w:after="0"/>
              <w:rPr>
                <w:sz w:val="14"/>
                <w:szCs w:val="14"/>
                <w:color w:val="auto"/>
              </w:rPr>
            </w:pPr>
          </w:p>
        </w:tc>
        <w:tc>
          <w:tcPr>
            <w:tcW w:w="180" w:type="dxa"/>
            <w:vAlign w:val="bottom"/>
            <w:tcBorders>
              <w:top w:val="single" w:sz="8" w:color="0000EE"/>
              <w:bottom w:val="single" w:sz="8" w:color="CCEEFF"/>
            </w:tcBorders>
            <w:shd w:val="clear" w:color="auto" w:fill="CCEEFF"/>
          </w:tcPr>
          <w:p>
            <w:pPr>
              <w:spacing w:after="0"/>
              <w:rPr>
                <w:sz w:val="14"/>
                <w:szCs w:val="14"/>
                <w:color w:val="auto"/>
              </w:rPr>
            </w:pPr>
          </w:p>
        </w:tc>
        <w:tc>
          <w:tcPr>
            <w:tcW w:w="460" w:type="dxa"/>
            <w:vAlign w:val="bottom"/>
            <w:tcBorders>
              <w:top w:val="single" w:sz="8" w:color="0000EE"/>
              <w:bottom w:val="single" w:sz="8" w:color="CCEEFF"/>
            </w:tcBorders>
            <w:shd w:val="clear" w:color="auto" w:fill="CCEEFF"/>
          </w:tcPr>
          <w:p>
            <w:pPr>
              <w:spacing w:after="0"/>
              <w:rPr>
                <w:sz w:val="14"/>
                <w:szCs w:val="14"/>
                <w:color w:val="auto"/>
              </w:rPr>
            </w:pPr>
          </w:p>
        </w:tc>
        <w:tc>
          <w:tcPr>
            <w:tcW w:w="260" w:type="dxa"/>
            <w:vAlign w:val="bottom"/>
            <w:tcBorders>
              <w:top w:val="single" w:sz="8" w:color="0000EE"/>
              <w:bottom w:val="single" w:sz="8" w:color="CCEEFF"/>
              <w:right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rPr>
              <w:t>10.10</w:t>
            </w:r>
          </w:p>
        </w:tc>
        <w:tc>
          <w:tcPr>
            <w:tcW w:w="42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Omnibus Amendment Agreement, dated as of October 22, 2003, between</w:t>
            </w:r>
          </w:p>
        </w:tc>
        <w:tc>
          <w:tcPr>
            <w:tcW w:w="4800" w:type="dxa"/>
            <w:vAlign w:val="bottom"/>
            <w:gridSpan w:val="20"/>
          </w:tcPr>
          <w:p>
            <w:pPr>
              <w:ind w:left="100"/>
              <w:spacing w:after="0"/>
              <w:rPr>
                <w:rFonts w:ascii="Times New Roman" w:cs="Times New Roman" w:eastAsia="Times New Roman" w:hAnsi="Times New Roman"/>
                <w:sz w:val="13"/>
                <w:szCs w:val="13"/>
                <w:color w:val="auto"/>
              </w:rPr>
            </w:pPr>
            <w:hyperlink r:id="rId167">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10.49 to the Company’s report on Form 10-Q for the period ended</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gridSpan w:val="8"/>
            <w:vMerge w:val="restart"/>
          </w:tcPr>
          <w:p>
            <w:pPr>
              <w:spacing w:after="0" w:line="130" w:lineRule="exact"/>
              <w:rPr>
                <w:sz w:val="20"/>
                <w:szCs w:val="20"/>
                <w:color w:val="auto"/>
              </w:rPr>
            </w:pPr>
            <w:r>
              <w:rPr>
                <w:rFonts w:ascii="Times New Roman" w:cs="Times New Roman" w:eastAsia="Times New Roman" w:hAnsi="Times New Roman"/>
                <w:sz w:val="13"/>
                <w:szCs w:val="13"/>
                <w:color w:val="auto"/>
              </w:rPr>
              <w:t>Citadel Cinemas, Inc., Sutton Hill Capital, L.L.C., Nationwide Theatres Corp.,</w:t>
            </w:r>
          </w:p>
        </w:tc>
        <w:tc>
          <w:tcPr>
            <w:tcW w:w="540" w:type="dxa"/>
            <w:vAlign w:val="bottom"/>
            <w:gridSpan w:val="3"/>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400" w:type="dxa"/>
            <w:vAlign w:val="bottom"/>
            <w:gridSpan w:val="13"/>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80" w:type="dxa"/>
            <w:vAlign w:val="bottom"/>
          </w:tcPr>
          <w:p>
            <w:pPr>
              <w:spacing w:after="0"/>
              <w:rPr>
                <w:sz w:val="9"/>
                <w:szCs w:val="9"/>
                <w:color w:val="auto"/>
              </w:rPr>
            </w:pPr>
          </w:p>
        </w:tc>
        <w:tc>
          <w:tcPr>
            <w:tcW w:w="4280" w:type="dxa"/>
            <w:vAlign w:val="bottom"/>
            <w:gridSpan w:val="8"/>
            <w:vMerge w:val="continue"/>
          </w:tcPr>
          <w:p>
            <w:pPr>
              <w:spacing w:after="0"/>
              <w:rPr>
                <w:sz w:val="9"/>
                <w:szCs w:val="9"/>
                <w:color w:val="auto"/>
              </w:rPr>
            </w:pPr>
          </w:p>
        </w:tc>
        <w:tc>
          <w:tcPr>
            <w:tcW w:w="4660" w:type="dxa"/>
            <w:vAlign w:val="bottom"/>
            <w:gridSpan w:val="18"/>
          </w:tcPr>
          <w:p>
            <w:pPr>
              <w:ind w:left="100"/>
              <w:spacing w:after="0" w:line="110" w:lineRule="exact"/>
              <w:rPr>
                <w:rFonts w:ascii="Times New Roman" w:cs="Times New Roman" w:eastAsia="Times New Roman" w:hAnsi="Times New Roman"/>
                <w:sz w:val="12"/>
                <w:szCs w:val="12"/>
                <w:b w:val="1"/>
                <w:bCs w:val="1"/>
                <w:color w:val="0000EE"/>
              </w:rPr>
            </w:pPr>
            <w:hyperlink r:id="rId167">
              <w:r>
                <w:rPr>
                  <w:rFonts w:ascii="Times New Roman" w:cs="Times New Roman" w:eastAsia="Times New Roman" w:hAnsi="Times New Roman"/>
                  <w:sz w:val="12"/>
                  <w:szCs w:val="12"/>
                  <w:b w:val="1"/>
                  <w:bCs w:val="1"/>
                  <w:color w:val="0000EE"/>
                </w:rPr>
                <w:t>September 30, 2003</w:t>
              </w:r>
              <w:r>
                <w:rPr>
                  <w:rFonts w:ascii="Times New Roman" w:cs="Times New Roman" w:eastAsia="Times New Roman" w:hAnsi="Times New Roman"/>
                  <w:sz w:val="12"/>
                  <w:szCs w:val="12"/>
                  <w:color w:val="000000"/>
                </w:rPr>
                <w:t>, and incorporated herein by reference.</w:t>
              </w:r>
            </w:hyperlink>
          </w:p>
        </w:tc>
        <w:tc>
          <w:tcPr>
            <w:tcW w:w="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280" w:type="dxa"/>
            <w:vAlign w:val="bottom"/>
            <w:gridSpan w:val="8"/>
          </w:tcPr>
          <w:p>
            <w:pPr>
              <w:spacing w:after="0" w:line="148" w:lineRule="exact"/>
              <w:rPr>
                <w:sz w:val="20"/>
                <w:szCs w:val="20"/>
                <w:color w:val="auto"/>
              </w:rPr>
            </w:pPr>
            <w:r>
              <w:rPr>
                <w:rFonts w:ascii="Times New Roman" w:cs="Times New Roman" w:eastAsia="Times New Roman" w:hAnsi="Times New Roman"/>
                <w:sz w:val="13"/>
                <w:szCs w:val="13"/>
                <w:color w:val="auto"/>
              </w:rPr>
              <w:t>Sutton Hill Associates, and Reading International, Inc.</w:t>
            </w:r>
          </w:p>
        </w:tc>
        <w:tc>
          <w:tcPr>
            <w:tcW w:w="100" w:type="dxa"/>
            <w:vAlign w:val="bottom"/>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w w:val="95"/>
              </w:rPr>
              <w:t>10.11</w:t>
            </w:r>
          </w:p>
        </w:tc>
        <w:tc>
          <w:tcPr>
            <w:tcW w:w="4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Theater Management Agreement, effective as January 1, 2002, between Liberty</w:t>
            </w:r>
          </w:p>
        </w:tc>
        <w:tc>
          <w:tcPr>
            <w:tcW w:w="4800" w:type="dxa"/>
            <w:vAlign w:val="bottom"/>
            <w:gridSpan w:val="20"/>
            <w:shd w:val="clear" w:color="auto" w:fill="CCEEFF"/>
          </w:tcPr>
          <w:p>
            <w:pPr>
              <w:ind w:left="100"/>
              <w:spacing w:after="0"/>
              <w:rPr>
                <w:rFonts w:ascii="Times New Roman" w:cs="Times New Roman" w:eastAsia="Times New Roman" w:hAnsi="Times New Roman"/>
                <w:sz w:val="13"/>
                <w:szCs w:val="13"/>
                <w:color w:val="auto"/>
              </w:rPr>
            </w:pPr>
            <w:hyperlink r:id="rId168">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10.47 to the Company’s Annual Report on Form 10-K for the year</w:t>
              </w:r>
            </w:hyperlink>
          </w:p>
        </w:tc>
        <w:tc>
          <w:tcPr>
            <w:tcW w:w="0" w:type="dxa"/>
            <w:vAlign w:val="bottom"/>
          </w:tcPr>
          <w:p>
            <w:pPr>
              <w:spacing w:after="0"/>
              <w:rPr>
                <w:sz w:val="1"/>
                <w:szCs w:val="1"/>
                <w:color w:val="auto"/>
              </w:rPr>
            </w:pPr>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4280" w:type="dxa"/>
            <w:vAlign w:val="bottom"/>
            <w:tcBorders>
              <w:top w:val="single" w:sz="8" w:color="CCEEFF"/>
            </w:tcBorders>
            <w:gridSpan w:val="8"/>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Theaters, Inc. and OBI LLC</w:t>
            </w:r>
          </w:p>
        </w:tc>
        <w:tc>
          <w:tcPr>
            <w:tcW w:w="540" w:type="dxa"/>
            <w:vAlign w:val="bottom"/>
            <w:tcBorders>
              <w:top w:val="single" w:sz="8" w:color="CCEEFF"/>
            </w:tcBorders>
            <w:gridSpan w:val="3"/>
            <w:shd w:val="clear" w:color="auto" w:fill="CCEEFF"/>
          </w:tcPr>
          <w:p>
            <w:pPr>
              <w:ind w:left="100"/>
              <w:spacing w:after="0" w:line="110" w:lineRule="exact"/>
              <w:rPr>
                <w:rFonts w:ascii="Times New Roman" w:cs="Times New Roman" w:eastAsia="Times New Roman" w:hAnsi="Times New Roman"/>
                <w:sz w:val="12"/>
                <w:szCs w:val="12"/>
                <w:b w:val="1"/>
                <w:bCs w:val="1"/>
                <w:color w:val="0000EE"/>
              </w:rPr>
            </w:pPr>
            <w:hyperlink r:id="rId168">
              <w:r>
                <w:rPr>
                  <w:rFonts w:ascii="Times New Roman" w:cs="Times New Roman" w:eastAsia="Times New Roman" w:hAnsi="Times New Roman"/>
                  <w:sz w:val="12"/>
                  <w:szCs w:val="12"/>
                  <w:b w:val="1"/>
                  <w:bCs w:val="1"/>
                  <w:color w:val="0000EE"/>
                </w:rPr>
                <w:t>ended</w:t>
              </w:r>
            </w:hyperlink>
          </w:p>
        </w:tc>
        <w:tc>
          <w:tcPr>
            <w:tcW w:w="4160" w:type="dxa"/>
            <w:vAlign w:val="bottom"/>
            <w:tcBorders>
              <w:top w:val="single" w:sz="8" w:color="0000EE"/>
              <w:right w:val="single" w:sz="8" w:color="CCEEFF"/>
            </w:tcBorders>
            <w:gridSpan w:val="16"/>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68">
              <w:r>
                <w:rPr>
                  <w:rFonts w:ascii="Times New Roman" w:cs="Times New Roman" w:eastAsia="Times New Roman" w:hAnsi="Times New Roman"/>
                  <w:sz w:val="12"/>
                  <w:szCs w:val="12"/>
                  <w:b w:val="1"/>
                  <w:bCs w:val="1"/>
                  <w:color w:val="0000EE"/>
                </w:rPr>
                <w:t xml:space="preserve">December 31, 2002 </w:t>
              </w:r>
              <w:r>
                <w:rPr>
                  <w:rFonts w:ascii="Times New Roman" w:cs="Times New Roman" w:eastAsia="Times New Roman" w:hAnsi="Times New Roman"/>
                  <w:sz w:val="12"/>
                  <w:szCs w:val="12"/>
                  <w:color w:val="000000"/>
                </w:rPr>
                <w:t>and incorporated herein by reference.</w:t>
              </w:r>
            </w:hyperlink>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right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432" w:right="739" w:bottom="1440" w:gutter="0" w:footer="0" w:header="0"/>
        </w:sectPr>
      </w:pPr>
    </w:p>
    <w:bookmarkStart w:id="113" w:name="page114"/>
    <w:bookmarkEnd w:id="113"/>
    <w:tbl>
      <w:tblPr>
        <w:tblLayout w:type="fixed"/>
        <w:tblInd w:w="340" w:type="dxa"/>
        <w:tblCellMar>
          <w:top w:w="0" w:type="dxa"/>
          <w:left w:w="0" w:type="dxa"/>
          <w:bottom w:w="0" w:type="dxa"/>
          <w:right w:w="0" w:type="dxa"/>
        </w:tblCellMar>
      </w:tblPr>
      <w:tr>
        <w:trPr>
          <w:trHeight w:val="149"/>
        </w:trPr>
        <w:tc>
          <w:tcPr>
            <w:tcW w:w="5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5"/>
              </w:rPr>
              <w:t>10.12</w:t>
            </w:r>
          </w:p>
        </w:tc>
        <w:tc>
          <w:tcPr>
            <w:tcW w:w="4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Amended and Restated Declaration of Trust, dated February 5, 2007, among</w:t>
            </w:r>
          </w:p>
        </w:tc>
      </w:tr>
      <w:tr>
        <w:trPr>
          <w:trHeight w:val="130"/>
        </w:trPr>
        <w:tc>
          <w:tcPr>
            <w:tcW w:w="520" w:type="dxa"/>
            <w:vAlign w:val="bottom"/>
          </w:tcPr>
          <w:p>
            <w:pPr>
              <w:spacing w:after="0"/>
              <w:rPr>
                <w:sz w:val="11"/>
                <w:szCs w:val="11"/>
                <w:color w:val="auto"/>
              </w:rPr>
            </w:pPr>
          </w:p>
        </w:tc>
        <w:tc>
          <w:tcPr>
            <w:tcW w:w="426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auto"/>
                <w:w w:val="99"/>
              </w:rPr>
              <w:t>Reading International Inc., as sponsor, the Administrators named therein, and</w:t>
            </w:r>
          </w:p>
        </w:tc>
      </w:tr>
      <w:tr>
        <w:trPr>
          <w:trHeight w:val="130"/>
        </w:trPr>
        <w:tc>
          <w:tcPr>
            <w:tcW w:w="520" w:type="dxa"/>
            <w:vAlign w:val="bottom"/>
          </w:tcPr>
          <w:p>
            <w:pPr>
              <w:spacing w:after="0"/>
              <w:rPr>
                <w:sz w:val="11"/>
                <w:szCs w:val="11"/>
                <w:color w:val="auto"/>
              </w:rPr>
            </w:pPr>
          </w:p>
        </w:tc>
        <w:tc>
          <w:tcPr>
            <w:tcW w:w="426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auto"/>
                <w:w w:val="99"/>
              </w:rPr>
              <w:t>Wells Fargo Bank, N.A., as property trustee, and Wells Fargo Delaware Trust</w:t>
            </w:r>
          </w:p>
        </w:tc>
      </w:tr>
      <w:tr>
        <w:trPr>
          <w:trHeight w:val="168"/>
        </w:trPr>
        <w:tc>
          <w:tcPr>
            <w:tcW w:w="520" w:type="dxa"/>
            <w:vAlign w:val="bottom"/>
          </w:tcPr>
          <w:p>
            <w:pPr>
              <w:spacing w:after="0"/>
              <w:rPr>
                <w:sz w:val="14"/>
                <w:szCs w:val="14"/>
                <w:color w:val="auto"/>
              </w:rPr>
            </w:pPr>
          </w:p>
        </w:tc>
        <w:tc>
          <w:tcPr>
            <w:tcW w:w="4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Company as Delaware trustee</w:t>
            </w:r>
          </w:p>
        </w:tc>
      </w:tr>
    </w:tbl>
    <w:p>
      <w:pPr>
        <w:spacing w:after="0" w:line="20" w:lineRule="exact"/>
        <w:rPr>
          <w:sz w:val="20"/>
          <w:szCs w:val="20"/>
          <w:color w:val="auto"/>
        </w:rPr>
      </w:pPr>
      <w:r>
        <w:rPr>
          <w:sz w:val="20"/>
          <w:szCs w:val="20"/>
          <w:color w:val="auto"/>
        </w:rPr>
        <w:br w:type="column"/>
      </w:r>
    </w:p>
    <w:p>
      <w:pPr>
        <w:ind w:right="400"/>
        <w:spacing w:after="0" w:line="241" w:lineRule="auto"/>
        <w:rPr>
          <w:rFonts w:ascii="Times New Roman" w:cs="Times New Roman" w:eastAsia="Times New Roman" w:hAnsi="Times New Roman"/>
          <w:sz w:val="13"/>
          <w:szCs w:val="13"/>
          <w:b w:val="1"/>
          <w:bCs w:val="1"/>
          <w:color w:val="0000EE"/>
        </w:rPr>
      </w:pPr>
      <w:hyperlink r:id="rId170">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u w:val="single" w:color="auto"/>
            <w:color w:val="0000EE"/>
          </w:rPr>
          <w:t>Exhibit 10.2 to the Company’s report on Form 8-K dated February 5,</w:t>
        </w:r>
      </w:hyperlink>
      <w:r>
        <w:rPr>
          <w:rFonts w:ascii="Times New Roman" w:cs="Times New Roman" w:eastAsia="Times New Roman" w:hAnsi="Times New Roman"/>
          <w:sz w:val="13"/>
          <w:szCs w:val="13"/>
          <w:color w:val="auto"/>
        </w:rPr>
        <w:t xml:space="preserve"> </w:t>
      </w:r>
      <w:hyperlink r:id="rId170">
        <w:r>
          <w:rPr>
            <w:rFonts w:ascii="Times New Roman" w:cs="Times New Roman" w:eastAsia="Times New Roman" w:hAnsi="Times New Roman"/>
            <w:sz w:val="13"/>
            <w:szCs w:val="13"/>
            <w:b w:val="1"/>
            <w:bCs w:val="1"/>
            <w:u w:val="single" w:color="auto"/>
            <w:color w:val="0000EE"/>
          </w:rPr>
          <w:t>2007</w:t>
        </w:r>
        <w:r>
          <w:rPr>
            <w:rFonts w:ascii="Times New Roman" w:cs="Times New Roman" w:eastAsia="Times New Roman" w:hAnsi="Times New Roman"/>
            <w:sz w:val="13"/>
            <w:szCs w:val="13"/>
            <w:color w:val="000000"/>
          </w:rPr>
          <w:t>, and incorporated herein by reference.</w:t>
        </w:r>
      </w:hyperlink>
    </w:p>
    <w:p>
      <w:pPr>
        <w:spacing w:after="0" w:line="309" w:lineRule="exact"/>
        <w:rPr>
          <w:sz w:val="20"/>
          <w:szCs w:val="20"/>
          <w:color w:val="auto"/>
        </w:rPr>
      </w:pPr>
    </w:p>
    <w:p>
      <w:pPr>
        <w:sectPr>
          <w:pgSz w:w="11900" w:h="16838" w:orient="portrait"/>
          <w:cols w:equalWidth="0" w:num="2">
            <w:col w:w="5120" w:space="340"/>
            <w:col w:w="4700"/>
          </w:cols>
          <w:pgMar w:left="1000" w:top="348" w:right="739" w:bottom="1440" w:gutter="0" w:footer="0" w:header="0"/>
        </w:sectPr>
      </w:pPr>
    </w:p>
    <w:tbl>
      <w:tblPr>
        <w:tblLayout w:type="fixed"/>
        <w:tblInd w:w="0" w:type="dxa"/>
        <w:tblCellMar>
          <w:top w:w="0" w:type="dxa"/>
          <w:left w:w="0" w:type="dxa"/>
          <w:bottom w:w="0" w:type="dxa"/>
          <w:right w:w="0" w:type="dxa"/>
        </w:tblCellMar>
      </w:tblPr>
      <w:tr>
        <w:trPr>
          <w:trHeight w:val="195"/>
        </w:trPr>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10.13</w:t>
            </w: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Amended and Restated Corporate Markets Loan &amp; Bank Guarantee Facility</w:t>
            </w:r>
          </w:p>
        </w:tc>
        <w:tc>
          <w:tcPr>
            <w:tcW w:w="4840" w:type="dxa"/>
            <w:vAlign w:val="bottom"/>
            <w:gridSpan w:val="5"/>
            <w:shd w:val="clear" w:color="auto" w:fill="CCEEFF"/>
          </w:tcPr>
          <w:p>
            <w:pPr>
              <w:ind w:left="140"/>
              <w:spacing w:after="0"/>
              <w:rPr>
                <w:rFonts w:ascii="Times New Roman" w:cs="Times New Roman" w:eastAsia="Times New Roman" w:hAnsi="Times New Roman"/>
                <w:sz w:val="13"/>
                <w:szCs w:val="13"/>
                <w:color w:val="auto"/>
              </w:rPr>
            </w:pPr>
            <w:hyperlink r:id="rId171">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10.9 to the Company’s Annual Report on Form 10-K for the year</w:t>
              </w:r>
            </w:hyperlink>
          </w:p>
        </w:tc>
      </w:tr>
      <w:tr>
        <w:trPr>
          <w:trHeight w:val="110"/>
        </w:trPr>
        <w:tc>
          <w:tcPr>
            <w:tcW w:w="860" w:type="dxa"/>
            <w:vAlign w:val="bottom"/>
            <w:tcBorders>
              <w:top w:val="single" w:sz="8" w:color="CCEEFF"/>
            </w:tcBorders>
            <w:shd w:val="clear" w:color="auto" w:fill="CCEEFF"/>
          </w:tcPr>
          <w:p>
            <w:pPr>
              <w:spacing w:after="0"/>
              <w:rPr>
                <w:sz w:val="9"/>
                <w:szCs w:val="9"/>
                <w:color w:val="auto"/>
              </w:rPr>
            </w:pPr>
          </w:p>
        </w:tc>
        <w:tc>
          <w:tcPr>
            <w:tcW w:w="4460" w:type="dxa"/>
            <w:vAlign w:val="bottom"/>
            <w:tcBorders>
              <w:top w:val="single" w:sz="8" w:color="CCEEFF"/>
            </w:tcBorders>
            <w:shd w:val="clear" w:color="auto" w:fill="CCEEFF"/>
          </w:tcPr>
          <w:p>
            <w:pPr>
              <w:ind w:left="220"/>
              <w:spacing w:after="0" w:line="110" w:lineRule="exact"/>
              <w:rPr>
                <w:sz w:val="20"/>
                <w:szCs w:val="20"/>
                <w:color w:val="auto"/>
              </w:rPr>
            </w:pPr>
            <w:r>
              <w:rPr>
                <w:rFonts w:ascii="Times New Roman" w:cs="Times New Roman" w:eastAsia="Times New Roman" w:hAnsi="Times New Roman"/>
                <w:sz w:val="12"/>
                <w:szCs w:val="12"/>
                <w:color w:val="auto"/>
              </w:rPr>
              <w:t>Agreement dated December 23, 2015, among Reading Entertainment Australia</w:t>
            </w:r>
          </w:p>
        </w:tc>
        <w:tc>
          <w:tcPr>
            <w:tcW w:w="580" w:type="dxa"/>
            <w:vAlign w:val="bottom"/>
            <w:tcBorders>
              <w:top w:val="single" w:sz="8" w:color="CCEEFF"/>
            </w:tcBorders>
            <w:gridSpan w:val="2"/>
            <w:shd w:val="clear" w:color="auto" w:fill="CCEEFF"/>
          </w:tcPr>
          <w:p>
            <w:pPr>
              <w:ind w:left="140"/>
              <w:spacing w:after="0" w:line="110" w:lineRule="exact"/>
              <w:rPr>
                <w:rFonts w:ascii="Times New Roman" w:cs="Times New Roman" w:eastAsia="Times New Roman" w:hAnsi="Times New Roman"/>
                <w:sz w:val="12"/>
                <w:szCs w:val="12"/>
                <w:b w:val="1"/>
                <w:bCs w:val="1"/>
                <w:color w:val="0000EE"/>
              </w:rPr>
            </w:pPr>
            <w:hyperlink r:id="rId171">
              <w:r>
                <w:rPr>
                  <w:rFonts w:ascii="Times New Roman" w:cs="Times New Roman" w:eastAsia="Times New Roman" w:hAnsi="Times New Roman"/>
                  <w:sz w:val="12"/>
                  <w:szCs w:val="12"/>
                  <w:b w:val="1"/>
                  <w:bCs w:val="1"/>
                  <w:color w:val="0000EE"/>
                </w:rPr>
                <w:t>ended</w:t>
              </w:r>
            </w:hyperlink>
          </w:p>
        </w:tc>
        <w:tc>
          <w:tcPr>
            <w:tcW w:w="4060" w:type="dxa"/>
            <w:vAlign w:val="bottom"/>
            <w:tcBorders>
              <w:top w:val="single" w:sz="8" w:color="0000EE"/>
            </w:tcBorders>
            <w:gridSpan w:val="2"/>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71">
              <w:r>
                <w:rPr>
                  <w:rFonts w:ascii="Times New Roman" w:cs="Times New Roman" w:eastAsia="Times New Roman" w:hAnsi="Times New Roman"/>
                  <w:sz w:val="12"/>
                  <w:szCs w:val="12"/>
                  <w:b w:val="1"/>
                  <w:bCs w:val="1"/>
                  <w:color w:val="0000EE"/>
                </w:rPr>
                <w:t>December 31, 2015</w:t>
              </w:r>
              <w:r>
                <w:rPr>
                  <w:rFonts w:ascii="Times New Roman" w:cs="Times New Roman" w:eastAsia="Times New Roman" w:hAnsi="Times New Roman"/>
                  <w:sz w:val="12"/>
                  <w:szCs w:val="12"/>
                  <w:color w:val="000000"/>
                </w:rPr>
                <w:t>, filed on April 29, 2016 and incorporated herein by</w:t>
              </w:r>
            </w:hyperlink>
          </w:p>
        </w:tc>
        <w:tc>
          <w:tcPr>
            <w:tcW w:w="200" w:type="dxa"/>
            <w:vAlign w:val="bottom"/>
            <w:tcBorders>
              <w:top w:val="single" w:sz="8" w:color="CCEEFF"/>
            </w:tcBorders>
            <w:shd w:val="clear" w:color="auto" w:fill="CCEEFF"/>
          </w:tcPr>
          <w:p>
            <w:pPr>
              <w:spacing w:after="0"/>
              <w:rPr>
                <w:sz w:val="9"/>
                <w:szCs w:val="9"/>
                <w:color w:val="auto"/>
              </w:rPr>
            </w:pPr>
          </w:p>
        </w:tc>
      </w:tr>
      <w:tr>
        <w:trPr>
          <w:trHeight w:val="159"/>
        </w:trPr>
        <w:tc>
          <w:tcPr>
            <w:tcW w:w="860" w:type="dxa"/>
            <w:vAlign w:val="bottom"/>
            <w:tcBorders>
              <w:top w:val="single" w:sz="8" w:color="CCEEFF"/>
            </w:tcBorders>
            <w:shd w:val="clear" w:color="auto" w:fill="CCEEFF"/>
          </w:tcPr>
          <w:p>
            <w:pPr>
              <w:spacing w:after="0"/>
              <w:rPr>
                <w:sz w:val="13"/>
                <w:szCs w:val="13"/>
                <w:color w:val="auto"/>
              </w:rPr>
            </w:pPr>
          </w:p>
        </w:tc>
        <w:tc>
          <w:tcPr>
            <w:tcW w:w="4460" w:type="dxa"/>
            <w:vAlign w:val="bottom"/>
            <w:tcBorders>
              <w:top w:val="single" w:sz="8" w:color="CCEEFF"/>
            </w:tcBorders>
            <w:shd w:val="clear" w:color="auto" w:fill="CCEEFF"/>
          </w:tcPr>
          <w:p>
            <w:pPr>
              <w:ind w:left="220"/>
              <w:spacing w:after="0" w:line="148" w:lineRule="exact"/>
              <w:rPr>
                <w:sz w:val="20"/>
                <w:szCs w:val="20"/>
                <w:color w:val="auto"/>
              </w:rPr>
            </w:pPr>
            <w:r>
              <w:rPr>
                <w:rFonts w:ascii="Times New Roman" w:cs="Times New Roman" w:eastAsia="Times New Roman" w:hAnsi="Times New Roman"/>
                <w:sz w:val="13"/>
                <w:szCs w:val="13"/>
                <w:color w:val="auto"/>
              </w:rPr>
              <w:t>Pty Ltd and National Australia Bank Limited</w:t>
            </w:r>
          </w:p>
        </w:tc>
        <w:tc>
          <w:tcPr>
            <w:tcW w:w="1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reference.</w:t>
            </w:r>
          </w:p>
        </w:tc>
        <w:tc>
          <w:tcPr>
            <w:tcW w:w="3280" w:type="dxa"/>
            <w:vAlign w:val="bottom"/>
            <w:tcBorders>
              <w:top w:val="single" w:sz="8" w:color="CCEEFF"/>
            </w:tcBorders>
            <w:gridSpan w:val="2"/>
            <w:shd w:val="clear" w:color="auto" w:fill="CCEEFF"/>
          </w:tcPr>
          <w:p>
            <w:pPr>
              <w:spacing w:after="0"/>
              <w:rPr>
                <w:sz w:val="13"/>
                <w:szCs w:val="13"/>
                <w:color w:val="auto"/>
              </w:rPr>
            </w:pPr>
          </w:p>
        </w:tc>
      </w:tr>
      <w:tr>
        <w:trPr>
          <w:trHeight w:val="27"/>
        </w:trPr>
        <w:tc>
          <w:tcPr>
            <w:tcW w:w="86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sectPr>
          <w:pgSz w:w="11900" w:h="16838" w:orient="portrait"/>
          <w:cols w:equalWidth="0" w:num="1">
            <w:col w:w="10160"/>
          </w:cols>
          <w:pgMar w:left="1000" w:top="348" w:right="739" w:bottom="1440" w:gutter="0" w:footer="0" w:header="0"/>
          <w:type w:val="continuous"/>
        </w:sectPr>
      </w:pPr>
    </w:p>
    <w:tbl>
      <w:tblPr>
        <w:tblLayout w:type="fixed"/>
        <w:tblInd w:w="320" w:type="dxa"/>
        <w:tblCellMar>
          <w:top w:w="0" w:type="dxa"/>
          <w:left w:w="0" w:type="dxa"/>
          <w:bottom w:w="0" w:type="dxa"/>
          <w:right w:w="0" w:type="dxa"/>
        </w:tblCellMar>
      </w:tblPr>
      <w:tr>
        <w:trPr>
          <w:trHeight w:val="149"/>
        </w:trPr>
        <w:tc>
          <w:tcPr>
            <w:tcW w:w="56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auto"/>
              </w:rPr>
              <w:t>10.14</w:t>
            </w: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9"/>
              </w:rPr>
              <w:t>Wholesale Term Loan Facility dated May 21, 2015, among Reading Courtenay</w:t>
            </w:r>
          </w:p>
        </w:tc>
      </w:tr>
      <w:tr>
        <w:trPr>
          <w:trHeight w:val="168"/>
        </w:trPr>
        <w:tc>
          <w:tcPr>
            <w:tcW w:w="560" w:type="dxa"/>
            <w:vAlign w:val="bottom"/>
          </w:tcPr>
          <w:p>
            <w:pPr>
              <w:spacing w:after="0"/>
              <w:rPr>
                <w:sz w:val="14"/>
                <w:szCs w:val="14"/>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Central Limited and Westpac New Zealand Limited</w:t>
            </w:r>
          </w:p>
        </w:tc>
      </w:tr>
      <w:tr>
        <w:trPr>
          <w:trHeight w:val="364"/>
        </w:trPr>
        <w:tc>
          <w:tcPr>
            <w:tcW w:w="56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auto"/>
              </w:rPr>
              <w:t>10.15</w:t>
            </w: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Master Lease Agreement dated October 26, 2012, between Consolidated</w:t>
            </w:r>
          </w:p>
        </w:tc>
      </w:tr>
      <w:tr>
        <w:trPr>
          <w:trHeight w:val="168"/>
        </w:trPr>
        <w:tc>
          <w:tcPr>
            <w:tcW w:w="560" w:type="dxa"/>
            <w:vAlign w:val="bottom"/>
          </w:tcPr>
          <w:p>
            <w:pPr>
              <w:spacing w:after="0"/>
              <w:rPr>
                <w:sz w:val="14"/>
                <w:szCs w:val="14"/>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Cinema Services LLC and Banc of America Leasing &amp; Capital, LLC</w:t>
            </w:r>
          </w:p>
        </w:tc>
      </w:tr>
      <w:tr>
        <w:trPr>
          <w:trHeight w:val="233"/>
        </w:trPr>
        <w:tc>
          <w:tcPr>
            <w:tcW w:w="56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auto"/>
              </w:rPr>
              <w:t>10.16</w:t>
            </w: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Amendment dated October 31, 2012 to the Master Lease Agreement dated</w:t>
            </w:r>
          </w:p>
        </w:tc>
      </w:tr>
      <w:tr>
        <w:trPr>
          <w:trHeight w:val="130"/>
        </w:trPr>
        <w:tc>
          <w:tcPr>
            <w:tcW w:w="560" w:type="dxa"/>
            <w:vAlign w:val="bottom"/>
          </w:tcPr>
          <w:p>
            <w:pPr>
              <w:spacing w:after="0"/>
              <w:rPr>
                <w:sz w:val="11"/>
                <w:szCs w:val="11"/>
                <w:color w:val="auto"/>
              </w:rPr>
            </w:pPr>
          </w:p>
        </w:tc>
        <w:tc>
          <w:tcPr>
            <w:tcW w:w="4320" w:type="dxa"/>
            <w:vAlign w:val="bottom"/>
          </w:tcPr>
          <w:p>
            <w:pPr>
              <w:ind w:left="200"/>
              <w:spacing w:after="0" w:line="130" w:lineRule="exact"/>
              <w:rPr>
                <w:sz w:val="20"/>
                <w:szCs w:val="20"/>
                <w:color w:val="auto"/>
              </w:rPr>
            </w:pPr>
            <w:r>
              <w:rPr>
                <w:rFonts w:ascii="Times New Roman" w:cs="Times New Roman" w:eastAsia="Times New Roman" w:hAnsi="Times New Roman"/>
                <w:sz w:val="13"/>
                <w:szCs w:val="13"/>
                <w:color w:val="auto"/>
              </w:rPr>
              <w:t>October 26, 2012, between Consolidated Cinema Services LLC and Banc of</w:t>
            </w:r>
          </w:p>
        </w:tc>
      </w:tr>
      <w:tr>
        <w:trPr>
          <w:trHeight w:val="168"/>
        </w:trPr>
        <w:tc>
          <w:tcPr>
            <w:tcW w:w="560" w:type="dxa"/>
            <w:vAlign w:val="bottom"/>
          </w:tcPr>
          <w:p>
            <w:pPr>
              <w:spacing w:after="0"/>
              <w:rPr>
                <w:sz w:val="14"/>
                <w:szCs w:val="14"/>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America Leasing &amp; Capital, LLC</w:t>
            </w:r>
          </w:p>
        </w:tc>
      </w:tr>
      <w:tr>
        <w:trPr>
          <w:trHeight w:val="233"/>
        </w:trPr>
        <w:tc>
          <w:tcPr>
            <w:tcW w:w="56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auto"/>
              </w:rPr>
              <w:t>10.17*</w:t>
            </w: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Form of Indemnification Agreement, as routinely granted to the Company’s</w:t>
            </w:r>
          </w:p>
        </w:tc>
      </w:tr>
      <w:tr>
        <w:trPr>
          <w:trHeight w:val="168"/>
        </w:trPr>
        <w:tc>
          <w:tcPr>
            <w:tcW w:w="560" w:type="dxa"/>
            <w:vAlign w:val="bottom"/>
          </w:tcPr>
          <w:p>
            <w:pPr>
              <w:spacing w:after="0"/>
              <w:rPr>
                <w:sz w:val="14"/>
                <w:szCs w:val="14"/>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Officers and Directors</w:t>
            </w:r>
          </w:p>
        </w:tc>
      </w:tr>
      <w:tr>
        <w:trPr>
          <w:trHeight w:val="233"/>
        </w:trPr>
        <w:tc>
          <w:tcPr>
            <w:tcW w:w="56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auto"/>
              </w:rPr>
              <w:t>10.18*</w:t>
            </w: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Employment Agreement between Reading International, Inc. and Devasis</w:t>
            </w:r>
          </w:p>
        </w:tc>
      </w:tr>
      <w:tr>
        <w:trPr>
          <w:trHeight w:val="168"/>
        </w:trPr>
        <w:tc>
          <w:tcPr>
            <w:tcW w:w="560" w:type="dxa"/>
            <w:vAlign w:val="bottom"/>
          </w:tcPr>
          <w:p>
            <w:pPr>
              <w:spacing w:after="0"/>
              <w:rPr>
                <w:sz w:val="14"/>
                <w:szCs w:val="14"/>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Ghose,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-1070610</wp:posOffset>
            </wp:positionV>
            <wp:extent cx="6447155" cy="2546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6447155" cy="2546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6447155" cy="2546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6447155" cy="254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30" w:lineRule="auto"/>
        <w:rPr>
          <w:rFonts w:ascii="Times New Roman" w:cs="Times New Roman" w:eastAsia="Times New Roman" w:hAnsi="Times New Roman"/>
          <w:sz w:val="13"/>
          <w:szCs w:val="13"/>
          <w:b w:val="1"/>
          <w:bCs w:val="1"/>
          <w:color w:val="0000EE"/>
        </w:rPr>
      </w:pPr>
      <w:hyperlink r:id="rId174">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u w:val="single" w:color="auto"/>
            <w:color w:val="0000EE"/>
          </w:rPr>
          <w:t>Exhibit 10.10 to the Company’s Annual Report on Form 10-K for the year</w:t>
        </w:r>
      </w:hyperlink>
      <w:r>
        <w:rPr>
          <w:rFonts w:ascii="Times New Roman" w:cs="Times New Roman" w:eastAsia="Times New Roman" w:hAnsi="Times New Roman"/>
          <w:sz w:val="13"/>
          <w:szCs w:val="13"/>
          <w:color w:val="auto"/>
        </w:rPr>
        <w:t xml:space="preserve"> </w:t>
      </w:r>
      <w:hyperlink r:id="rId174">
        <w:r>
          <w:rPr>
            <w:rFonts w:ascii="Times New Roman" w:cs="Times New Roman" w:eastAsia="Times New Roman" w:hAnsi="Times New Roman"/>
            <w:sz w:val="13"/>
            <w:szCs w:val="13"/>
            <w:b w:val="1"/>
            <w:bCs w:val="1"/>
            <w:u w:val="single" w:color="auto"/>
            <w:color w:val="0000EE"/>
          </w:rPr>
          <w:t>ended December 31, 2015</w:t>
        </w:r>
        <w:r>
          <w:rPr>
            <w:rFonts w:ascii="Times New Roman" w:cs="Times New Roman" w:eastAsia="Times New Roman" w:hAnsi="Times New Roman"/>
            <w:sz w:val="13"/>
            <w:szCs w:val="13"/>
            <w:color w:val="000000"/>
          </w:rPr>
          <w:t>, filed on April 29, 2016 and incorporated herein by</w:t>
        </w:r>
      </w:hyperlink>
      <w:r>
        <w:rPr>
          <w:rFonts w:ascii="Times New Roman" w:cs="Times New Roman" w:eastAsia="Times New Roman" w:hAnsi="Times New Roman"/>
          <w:sz w:val="13"/>
          <w:szCs w:val="13"/>
          <w:b w:val="1"/>
          <w:bCs w:val="1"/>
          <w:color w:val="0000EE"/>
        </w:rPr>
        <w:t xml:space="preserve"> </w:t>
      </w:r>
      <w:r>
        <w:rPr>
          <w:rFonts w:ascii="Times New Roman" w:cs="Times New Roman" w:eastAsia="Times New Roman" w:hAnsi="Times New Roman"/>
          <w:sz w:val="13"/>
          <w:szCs w:val="13"/>
          <w:color w:val="000000"/>
        </w:rPr>
        <w:t>reference.</w:t>
      </w:r>
    </w:p>
    <w:p>
      <w:pPr>
        <w:spacing w:after="0" w:line="102" w:lineRule="exact"/>
        <w:rPr>
          <w:sz w:val="20"/>
          <w:szCs w:val="20"/>
          <w:color w:val="auto"/>
        </w:rPr>
      </w:pPr>
    </w:p>
    <w:p>
      <w:pPr>
        <w:ind w:right="260"/>
        <w:spacing w:after="0" w:line="241" w:lineRule="auto"/>
        <w:rPr>
          <w:rFonts w:ascii="Times New Roman" w:cs="Times New Roman" w:eastAsia="Times New Roman" w:hAnsi="Times New Roman"/>
          <w:sz w:val="13"/>
          <w:szCs w:val="13"/>
          <w:b w:val="1"/>
          <w:bCs w:val="1"/>
          <w:color w:val="0000EE"/>
        </w:rPr>
      </w:pPr>
      <w:hyperlink r:id="rId175">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u w:val="single" w:color="auto"/>
            <w:color w:val="0000EE"/>
          </w:rPr>
          <w:t>Exhibit 10.31 to the Company’s report on Form 10-K for the year ended</w:t>
        </w:r>
      </w:hyperlink>
      <w:r>
        <w:rPr>
          <w:rFonts w:ascii="Times New Roman" w:cs="Times New Roman" w:eastAsia="Times New Roman" w:hAnsi="Times New Roman"/>
          <w:sz w:val="13"/>
          <w:szCs w:val="13"/>
          <w:color w:val="auto"/>
        </w:rPr>
        <w:t xml:space="preserve"> </w:t>
      </w:r>
      <w:hyperlink r:id="rId175">
        <w:r>
          <w:rPr>
            <w:rFonts w:ascii="Times New Roman" w:cs="Times New Roman" w:eastAsia="Times New Roman" w:hAnsi="Times New Roman"/>
            <w:sz w:val="13"/>
            <w:szCs w:val="13"/>
            <w:b w:val="1"/>
            <w:bCs w:val="1"/>
            <w:u w:val="single" w:color="auto"/>
            <w:color w:val="0000EE"/>
          </w:rPr>
          <w:t>December 31, 2013</w:t>
        </w:r>
        <w:r>
          <w:rPr>
            <w:rFonts w:ascii="Times New Roman" w:cs="Times New Roman" w:eastAsia="Times New Roman" w:hAnsi="Times New Roman"/>
            <w:sz w:val="13"/>
            <w:szCs w:val="13"/>
            <w:color w:val="000000"/>
          </w:rPr>
          <w:t>, and incorporated herein by reference.</w:t>
        </w:r>
      </w:hyperlink>
    </w:p>
    <w:p>
      <w:pPr>
        <w:spacing w:after="0" w:line="101" w:lineRule="exact"/>
        <w:rPr>
          <w:sz w:val="20"/>
          <w:szCs w:val="20"/>
          <w:color w:val="auto"/>
        </w:rPr>
      </w:pPr>
    </w:p>
    <w:p>
      <w:pPr>
        <w:ind w:right="260"/>
        <w:spacing w:after="0" w:line="241" w:lineRule="auto"/>
        <w:rPr>
          <w:rFonts w:ascii="Times New Roman" w:cs="Times New Roman" w:eastAsia="Times New Roman" w:hAnsi="Times New Roman"/>
          <w:sz w:val="13"/>
          <w:szCs w:val="13"/>
          <w:b w:val="1"/>
          <w:bCs w:val="1"/>
          <w:color w:val="0000EE"/>
        </w:rPr>
      </w:pPr>
      <w:hyperlink r:id="rId176">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u w:val="single" w:color="auto"/>
            <w:color w:val="0000EE"/>
          </w:rPr>
          <w:t>Exhibit 10.32 to the Company’s report on Form 10-K for the year ended</w:t>
        </w:r>
      </w:hyperlink>
      <w:r>
        <w:rPr>
          <w:rFonts w:ascii="Times New Roman" w:cs="Times New Roman" w:eastAsia="Times New Roman" w:hAnsi="Times New Roman"/>
          <w:sz w:val="13"/>
          <w:szCs w:val="13"/>
          <w:color w:val="auto"/>
        </w:rPr>
        <w:t xml:space="preserve"> </w:t>
      </w:r>
      <w:hyperlink r:id="rId176">
        <w:r>
          <w:rPr>
            <w:rFonts w:ascii="Times New Roman" w:cs="Times New Roman" w:eastAsia="Times New Roman" w:hAnsi="Times New Roman"/>
            <w:sz w:val="13"/>
            <w:szCs w:val="13"/>
            <w:b w:val="1"/>
            <w:bCs w:val="1"/>
            <w:u w:val="single" w:color="auto"/>
            <w:color w:val="0000EE"/>
          </w:rPr>
          <w:t>December 31, 2013</w:t>
        </w:r>
        <w:r>
          <w:rPr>
            <w:rFonts w:ascii="Times New Roman" w:cs="Times New Roman" w:eastAsia="Times New Roman" w:hAnsi="Times New Roman"/>
            <w:sz w:val="13"/>
            <w:szCs w:val="13"/>
            <w:color w:val="000000"/>
          </w:rPr>
          <w:t>, and incorporated herein by reference.</w:t>
        </w:r>
      </w:hyperlink>
    </w:p>
    <w:p>
      <w:pPr>
        <w:spacing w:after="0" w:line="231" w:lineRule="exact"/>
        <w:rPr>
          <w:sz w:val="20"/>
          <w:szCs w:val="20"/>
          <w:color w:val="auto"/>
        </w:rPr>
      </w:pPr>
    </w:p>
    <w:p>
      <w:pPr>
        <w:ind w:right="140"/>
        <w:spacing w:after="0" w:line="241" w:lineRule="auto"/>
        <w:rPr>
          <w:rFonts w:ascii="Times New Roman" w:cs="Times New Roman" w:eastAsia="Times New Roman" w:hAnsi="Times New Roman"/>
          <w:sz w:val="13"/>
          <w:szCs w:val="13"/>
          <w:b w:val="1"/>
          <w:bCs w:val="1"/>
          <w:color w:val="0000EE"/>
        </w:rPr>
      </w:pPr>
      <w:hyperlink r:id="rId177">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u w:val="single" w:color="auto"/>
            <w:color w:val="0000EE"/>
          </w:rPr>
          <w:t>Exhibit 10.77 to the Company’s report on Form 10-Q for the period ended</w:t>
        </w:r>
      </w:hyperlink>
      <w:r>
        <w:rPr>
          <w:rFonts w:ascii="Times New Roman" w:cs="Times New Roman" w:eastAsia="Times New Roman" w:hAnsi="Times New Roman"/>
          <w:sz w:val="13"/>
          <w:szCs w:val="13"/>
          <w:color w:val="auto"/>
        </w:rPr>
        <w:t xml:space="preserve"> </w:t>
      </w:r>
      <w:hyperlink r:id="rId177">
        <w:r>
          <w:rPr>
            <w:rFonts w:ascii="Times New Roman" w:cs="Times New Roman" w:eastAsia="Times New Roman" w:hAnsi="Times New Roman"/>
            <w:sz w:val="13"/>
            <w:szCs w:val="13"/>
            <w:b w:val="1"/>
            <w:bCs w:val="1"/>
            <w:u w:val="single" w:color="auto"/>
            <w:color w:val="0000EE"/>
          </w:rPr>
          <w:t>September 30, 2008</w:t>
        </w:r>
        <w:r>
          <w:rPr>
            <w:rFonts w:ascii="Times New Roman" w:cs="Times New Roman" w:eastAsia="Times New Roman" w:hAnsi="Times New Roman"/>
            <w:sz w:val="13"/>
            <w:szCs w:val="13"/>
            <w:color w:val="000000"/>
          </w:rPr>
          <w:t>, and incorporated herein by reference.</w:t>
        </w:r>
      </w:hyperlink>
    </w:p>
    <w:p>
      <w:pPr>
        <w:spacing w:after="0" w:line="101" w:lineRule="exact"/>
        <w:rPr>
          <w:sz w:val="20"/>
          <w:szCs w:val="20"/>
          <w:color w:val="auto"/>
        </w:rPr>
      </w:pPr>
    </w:p>
    <w:p>
      <w:pPr>
        <w:ind w:right="200"/>
        <w:spacing w:after="0" w:line="241" w:lineRule="auto"/>
        <w:rPr>
          <w:rFonts w:ascii="Times New Roman" w:cs="Times New Roman" w:eastAsia="Times New Roman" w:hAnsi="Times New Roman"/>
          <w:sz w:val="13"/>
          <w:szCs w:val="13"/>
          <w:b w:val="1"/>
          <w:bCs w:val="1"/>
          <w:color w:val="0000EE"/>
        </w:rPr>
      </w:pPr>
      <w:hyperlink r:id="rId178">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u w:val="single" w:color="auto"/>
            <w:color w:val="0000EE"/>
          </w:rPr>
          <w:t>Exhibit 10.1 to the Company’s report on Form 10-Q for the period ended</w:t>
        </w:r>
      </w:hyperlink>
      <w:r>
        <w:rPr>
          <w:rFonts w:ascii="Times New Roman" w:cs="Times New Roman" w:eastAsia="Times New Roman" w:hAnsi="Times New Roman"/>
          <w:sz w:val="13"/>
          <w:szCs w:val="13"/>
          <w:color w:val="auto"/>
        </w:rPr>
        <w:t xml:space="preserve"> </w:t>
      </w:r>
      <w:hyperlink r:id="rId178">
        <w:r>
          <w:rPr>
            <w:rFonts w:ascii="Times New Roman" w:cs="Times New Roman" w:eastAsia="Times New Roman" w:hAnsi="Times New Roman"/>
            <w:sz w:val="13"/>
            <w:szCs w:val="13"/>
            <w:b w:val="1"/>
            <w:bCs w:val="1"/>
            <w:u w:val="single" w:color="auto"/>
            <w:color w:val="0000EE"/>
          </w:rPr>
          <w:t>March 31, 2015</w:t>
        </w:r>
        <w:r>
          <w:rPr>
            <w:rFonts w:ascii="Times New Roman" w:cs="Times New Roman" w:eastAsia="Times New Roman" w:hAnsi="Times New Roman"/>
            <w:sz w:val="13"/>
            <w:szCs w:val="13"/>
            <w:color w:val="000000"/>
          </w:rPr>
          <w:t>, and incorporated herein by reference.</w:t>
        </w:r>
      </w:hyperlink>
    </w:p>
    <w:p>
      <w:pPr>
        <w:spacing w:after="0" w:line="49" w:lineRule="exact"/>
        <w:rPr>
          <w:sz w:val="20"/>
          <w:szCs w:val="20"/>
          <w:color w:val="auto"/>
        </w:rPr>
      </w:pPr>
    </w:p>
    <w:p>
      <w:pPr>
        <w:sectPr>
          <w:pgSz w:w="11900" w:h="16838" w:orient="portrait"/>
          <w:cols w:equalWidth="0" w:num="2">
            <w:col w:w="5200" w:space="260"/>
            <w:col w:w="4700"/>
          </w:cols>
          <w:pgMar w:left="1000" w:top="348" w:right="7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rPr>
              <w:t>10.19*</w:t>
            </w:r>
          </w:p>
        </w:tc>
        <w:tc>
          <w:tcPr>
            <w:tcW w:w="42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auto"/>
              </w:rPr>
              <w:t>Separation and Release Agreement dated May 30, 2014 between Reading</w:t>
            </w:r>
          </w:p>
        </w:tc>
        <w:tc>
          <w:tcPr>
            <w:tcW w:w="4800" w:type="dxa"/>
            <w:vAlign w:val="bottom"/>
            <w:gridSpan w:val="6"/>
            <w:shd w:val="clear" w:color="auto" w:fill="CCEEFF"/>
          </w:tcPr>
          <w:p>
            <w:pPr>
              <w:ind w:left="100"/>
              <w:spacing w:after="0"/>
              <w:rPr>
                <w:rFonts w:ascii="Times New Roman" w:cs="Times New Roman" w:eastAsia="Times New Roman" w:hAnsi="Times New Roman"/>
                <w:sz w:val="13"/>
                <w:szCs w:val="13"/>
                <w:color w:val="auto"/>
              </w:rPr>
            </w:pPr>
            <w:hyperlink r:id="rId179">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10.19 to the Company’s Annual Report on Form 10-K for the year</w:t>
              </w:r>
            </w:hyperlink>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4280" w:type="dxa"/>
            <w:vAlign w:val="bottom"/>
            <w:tcBorders>
              <w:top w:val="single" w:sz="8" w:color="CCEEFF"/>
            </w:tcBorders>
            <w:gridSpan w:val="10"/>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International, Inc. and Andrzej Matyczynski</w:t>
            </w:r>
          </w:p>
        </w:tc>
        <w:tc>
          <w:tcPr>
            <w:tcW w:w="540" w:type="dxa"/>
            <w:vAlign w:val="bottom"/>
            <w:tcBorders>
              <w:top w:val="single" w:sz="8" w:color="CCEEFF"/>
            </w:tcBorders>
            <w:gridSpan w:val="2"/>
            <w:shd w:val="clear" w:color="auto" w:fill="CCEEFF"/>
          </w:tcPr>
          <w:p>
            <w:pPr>
              <w:ind w:left="100"/>
              <w:spacing w:after="0" w:line="110" w:lineRule="exact"/>
              <w:rPr>
                <w:rFonts w:ascii="Times New Roman" w:cs="Times New Roman" w:eastAsia="Times New Roman" w:hAnsi="Times New Roman"/>
                <w:sz w:val="12"/>
                <w:szCs w:val="12"/>
                <w:b w:val="1"/>
                <w:bCs w:val="1"/>
                <w:color w:val="0000EE"/>
              </w:rPr>
            </w:pPr>
            <w:hyperlink r:id="rId179">
              <w:r>
                <w:rPr>
                  <w:rFonts w:ascii="Times New Roman" w:cs="Times New Roman" w:eastAsia="Times New Roman" w:hAnsi="Times New Roman"/>
                  <w:sz w:val="12"/>
                  <w:szCs w:val="12"/>
                  <w:b w:val="1"/>
                  <w:bCs w:val="1"/>
                  <w:color w:val="0000EE"/>
                </w:rPr>
                <w:t>ended</w:t>
              </w:r>
            </w:hyperlink>
          </w:p>
        </w:tc>
        <w:tc>
          <w:tcPr>
            <w:tcW w:w="4120" w:type="dxa"/>
            <w:vAlign w:val="bottom"/>
            <w:tcBorders>
              <w:top w:val="single" w:sz="8" w:color="0000EE"/>
            </w:tcBorders>
            <w:gridSpan w:val="3"/>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79">
              <w:r>
                <w:rPr>
                  <w:rFonts w:ascii="Times New Roman" w:cs="Times New Roman" w:eastAsia="Times New Roman" w:hAnsi="Times New Roman"/>
                  <w:sz w:val="12"/>
                  <w:szCs w:val="12"/>
                  <w:b w:val="1"/>
                  <w:bCs w:val="1"/>
                  <w:color w:val="0000EE"/>
                </w:rPr>
                <w:t>December 31, 2015</w:t>
              </w:r>
              <w:r>
                <w:rPr>
                  <w:rFonts w:ascii="Times New Roman" w:cs="Times New Roman" w:eastAsia="Times New Roman" w:hAnsi="Times New Roman"/>
                  <w:sz w:val="12"/>
                  <w:szCs w:val="12"/>
                  <w:color w:val="000000"/>
                </w:rPr>
                <w:t>, filed on April 29, 2016 and incorporated herein by</w:t>
              </w:r>
            </w:hyperlink>
          </w:p>
        </w:tc>
        <w:tc>
          <w:tcPr>
            <w:tcW w:w="140" w:type="dxa"/>
            <w:vAlign w:val="bottom"/>
            <w:tcBorders>
              <w:top w:val="single" w:sz="8" w:color="CCEEFF"/>
            </w:tcBorders>
            <w:shd w:val="clear" w:color="auto" w:fill="CCEEFF"/>
          </w:tcPr>
          <w:p>
            <w:pPr>
              <w:spacing w:after="0"/>
              <w:rPr>
                <w:sz w:val="9"/>
                <w:szCs w:val="9"/>
                <w:color w:val="auto"/>
              </w:rPr>
            </w:pPr>
          </w:p>
        </w:tc>
      </w:tr>
      <w:tr>
        <w:trPr>
          <w:trHeight w:val="164"/>
        </w:trPr>
        <w:tc>
          <w:tcPr>
            <w:tcW w:w="10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reference.</w:t>
            </w:r>
          </w:p>
        </w:tc>
        <w:tc>
          <w:tcPr>
            <w:tcW w:w="29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shd w:val="clear" w:color="auto" w:fill="CCEEFF"/>
          </w:tcPr>
          <w:p>
            <w:pPr>
              <w:spacing w:after="0"/>
              <w:rPr>
                <w:sz w:val="14"/>
                <w:szCs w:val="14"/>
                <w:color w:val="auto"/>
              </w:rPr>
            </w:pPr>
          </w:p>
        </w:tc>
      </w:tr>
      <w:tr>
        <w:trPr>
          <w:trHeight w:val="195"/>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rPr>
              <w:t>10.20*</w:t>
            </w:r>
          </w:p>
        </w:tc>
        <w:tc>
          <w:tcPr>
            <w:tcW w:w="428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First Amendment to the Separation and Release Agreement between Reading</w:t>
            </w:r>
          </w:p>
        </w:tc>
        <w:tc>
          <w:tcPr>
            <w:tcW w:w="4800" w:type="dxa"/>
            <w:vAlign w:val="bottom"/>
            <w:gridSpan w:val="6"/>
          </w:tcPr>
          <w:p>
            <w:pPr>
              <w:ind w:left="100"/>
              <w:spacing w:after="0"/>
              <w:rPr>
                <w:rFonts w:ascii="Times New Roman" w:cs="Times New Roman" w:eastAsia="Times New Roman" w:hAnsi="Times New Roman"/>
                <w:sz w:val="13"/>
                <w:szCs w:val="13"/>
                <w:color w:val="auto"/>
              </w:rPr>
            </w:pPr>
            <w:hyperlink r:id="rId180">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10.20 to the Company’s Annual Report on Form 10-K for the year</w:t>
              </w:r>
            </w:hyperlink>
          </w:p>
        </w:tc>
      </w:tr>
      <w:tr>
        <w:trPr>
          <w:trHeight w:val="110"/>
        </w:trPr>
        <w:tc>
          <w:tcPr>
            <w:tcW w:w="1080" w:type="dxa"/>
            <w:vAlign w:val="bottom"/>
          </w:tcPr>
          <w:p>
            <w:pPr>
              <w:spacing w:after="0"/>
              <w:rPr>
                <w:sz w:val="9"/>
                <w:szCs w:val="9"/>
                <w:color w:val="auto"/>
              </w:rPr>
            </w:pPr>
          </w:p>
        </w:tc>
        <w:tc>
          <w:tcPr>
            <w:tcW w:w="4280" w:type="dxa"/>
            <w:vAlign w:val="bottom"/>
            <w:gridSpan w:val="10"/>
          </w:tcPr>
          <w:p>
            <w:pPr>
              <w:spacing w:after="0" w:line="110" w:lineRule="exact"/>
              <w:rPr>
                <w:sz w:val="20"/>
                <w:szCs w:val="20"/>
                <w:color w:val="auto"/>
              </w:rPr>
            </w:pPr>
            <w:r>
              <w:rPr>
                <w:rFonts w:ascii="Times New Roman" w:cs="Times New Roman" w:eastAsia="Times New Roman" w:hAnsi="Times New Roman"/>
                <w:sz w:val="12"/>
                <w:szCs w:val="12"/>
                <w:color w:val="auto"/>
              </w:rPr>
              <w:t>International, Inc. and Andrzej Matyczynski, effective as of August 6, 2014</w:t>
            </w:r>
          </w:p>
        </w:tc>
        <w:tc>
          <w:tcPr>
            <w:tcW w:w="540" w:type="dxa"/>
            <w:vAlign w:val="bottom"/>
            <w:gridSpan w:val="2"/>
          </w:tcPr>
          <w:p>
            <w:pPr>
              <w:ind w:left="100"/>
              <w:spacing w:after="0" w:line="110" w:lineRule="exact"/>
              <w:rPr>
                <w:rFonts w:ascii="Times New Roman" w:cs="Times New Roman" w:eastAsia="Times New Roman" w:hAnsi="Times New Roman"/>
                <w:sz w:val="12"/>
                <w:szCs w:val="12"/>
                <w:b w:val="1"/>
                <w:bCs w:val="1"/>
                <w:color w:val="0000EE"/>
              </w:rPr>
            </w:pPr>
            <w:hyperlink r:id="rId180">
              <w:r>
                <w:rPr>
                  <w:rFonts w:ascii="Times New Roman" w:cs="Times New Roman" w:eastAsia="Times New Roman" w:hAnsi="Times New Roman"/>
                  <w:sz w:val="12"/>
                  <w:szCs w:val="12"/>
                  <w:b w:val="1"/>
                  <w:bCs w:val="1"/>
                  <w:color w:val="0000EE"/>
                </w:rPr>
                <w:t>ended</w:t>
              </w:r>
            </w:hyperlink>
          </w:p>
        </w:tc>
        <w:tc>
          <w:tcPr>
            <w:tcW w:w="4120" w:type="dxa"/>
            <w:vAlign w:val="bottom"/>
            <w:tcBorders>
              <w:top w:val="single" w:sz="8" w:color="0000EE"/>
            </w:tcBorders>
            <w:gridSpan w:val="3"/>
          </w:tcPr>
          <w:p>
            <w:pPr>
              <w:spacing w:after="0" w:line="110" w:lineRule="exact"/>
              <w:rPr>
                <w:rFonts w:ascii="Times New Roman" w:cs="Times New Roman" w:eastAsia="Times New Roman" w:hAnsi="Times New Roman"/>
                <w:sz w:val="12"/>
                <w:szCs w:val="12"/>
                <w:b w:val="1"/>
                <w:bCs w:val="1"/>
                <w:color w:val="0000EE"/>
              </w:rPr>
            </w:pPr>
            <w:hyperlink r:id="rId180">
              <w:r>
                <w:rPr>
                  <w:rFonts w:ascii="Times New Roman" w:cs="Times New Roman" w:eastAsia="Times New Roman" w:hAnsi="Times New Roman"/>
                  <w:sz w:val="12"/>
                  <w:szCs w:val="12"/>
                  <w:b w:val="1"/>
                  <w:bCs w:val="1"/>
                  <w:color w:val="0000EE"/>
                </w:rPr>
                <w:t>December 31, 2015</w:t>
              </w:r>
              <w:r>
                <w:rPr>
                  <w:rFonts w:ascii="Times New Roman" w:cs="Times New Roman" w:eastAsia="Times New Roman" w:hAnsi="Times New Roman"/>
                  <w:sz w:val="12"/>
                  <w:szCs w:val="12"/>
                  <w:color w:val="000000"/>
                </w:rPr>
                <w:t>, filed on April 29, 2016 and incorporated herein by</w:t>
              </w:r>
            </w:hyperlink>
          </w:p>
        </w:tc>
        <w:tc>
          <w:tcPr>
            <w:tcW w:w="140" w:type="dxa"/>
            <w:vAlign w:val="bottom"/>
          </w:tcPr>
          <w:p>
            <w:pPr>
              <w:spacing w:after="0"/>
              <w:rPr>
                <w:sz w:val="9"/>
                <w:szCs w:val="9"/>
                <w:color w:val="auto"/>
              </w:rPr>
            </w:pPr>
          </w:p>
        </w:tc>
      </w:tr>
      <w:tr>
        <w:trPr>
          <w:trHeight w:val="162"/>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auto"/>
              </w:rPr>
              <w:t>reference.</w:t>
            </w:r>
          </w:p>
        </w:tc>
        <w:tc>
          <w:tcPr>
            <w:tcW w:w="298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r>
      <w:tr>
        <w:trPr>
          <w:trHeight w:val="198"/>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rPr>
              <w:t>10.21*</w:t>
            </w:r>
          </w:p>
        </w:tc>
        <w:tc>
          <w:tcPr>
            <w:tcW w:w="42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Amendment to the Separation and Release Agreement between Reading</w:t>
            </w:r>
          </w:p>
        </w:tc>
        <w:tc>
          <w:tcPr>
            <w:tcW w:w="4800" w:type="dxa"/>
            <w:vAlign w:val="bottom"/>
            <w:gridSpan w:val="6"/>
            <w:shd w:val="clear" w:color="auto" w:fill="CCEEFF"/>
          </w:tcPr>
          <w:p>
            <w:pPr>
              <w:ind w:left="100"/>
              <w:spacing w:after="0"/>
              <w:rPr>
                <w:rFonts w:ascii="Times New Roman" w:cs="Times New Roman" w:eastAsia="Times New Roman" w:hAnsi="Times New Roman"/>
                <w:sz w:val="13"/>
                <w:szCs w:val="13"/>
                <w:color w:val="auto"/>
              </w:rPr>
            </w:pPr>
            <w:hyperlink r:id="rId181">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10.21 to the Company’s Annual Report on Form 10-K for the year</w:t>
              </w:r>
            </w:hyperlink>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4280" w:type="dxa"/>
            <w:vAlign w:val="bottom"/>
            <w:tcBorders>
              <w:top w:val="single" w:sz="8" w:color="CCEEFF"/>
            </w:tcBorders>
            <w:gridSpan w:val="10"/>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International, Inc. and Andrzej Matyczynski, effective as of November 26, 2014</w:t>
            </w:r>
          </w:p>
        </w:tc>
        <w:tc>
          <w:tcPr>
            <w:tcW w:w="540" w:type="dxa"/>
            <w:vAlign w:val="bottom"/>
            <w:tcBorders>
              <w:top w:val="single" w:sz="8" w:color="CCEEFF"/>
            </w:tcBorders>
            <w:gridSpan w:val="2"/>
            <w:shd w:val="clear" w:color="auto" w:fill="CCEEFF"/>
          </w:tcPr>
          <w:p>
            <w:pPr>
              <w:ind w:left="100"/>
              <w:spacing w:after="0" w:line="110" w:lineRule="exact"/>
              <w:rPr>
                <w:rFonts w:ascii="Times New Roman" w:cs="Times New Roman" w:eastAsia="Times New Roman" w:hAnsi="Times New Roman"/>
                <w:sz w:val="12"/>
                <w:szCs w:val="12"/>
                <w:b w:val="1"/>
                <w:bCs w:val="1"/>
                <w:color w:val="0000EE"/>
              </w:rPr>
            </w:pPr>
            <w:hyperlink r:id="rId181">
              <w:r>
                <w:rPr>
                  <w:rFonts w:ascii="Times New Roman" w:cs="Times New Roman" w:eastAsia="Times New Roman" w:hAnsi="Times New Roman"/>
                  <w:sz w:val="12"/>
                  <w:szCs w:val="12"/>
                  <w:b w:val="1"/>
                  <w:bCs w:val="1"/>
                  <w:color w:val="0000EE"/>
                </w:rPr>
                <w:t>ended</w:t>
              </w:r>
            </w:hyperlink>
          </w:p>
        </w:tc>
        <w:tc>
          <w:tcPr>
            <w:tcW w:w="4120" w:type="dxa"/>
            <w:vAlign w:val="bottom"/>
            <w:tcBorders>
              <w:top w:val="single" w:sz="8" w:color="0000EE"/>
            </w:tcBorders>
            <w:gridSpan w:val="3"/>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81">
              <w:r>
                <w:rPr>
                  <w:rFonts w:ascii="Times New Roman" w:cs="Times New Roman" w:eastAsia="Times New Roman" w:hAnsi="Times New Roman"/>
                  <w:sz w:val="12"/>
                  <w:szCs w:val="12"/>
                  <w:b w:val="1"/>
                  <w:bCs w:val="1"/>
                  <w:color w:val="0000EE"/>
                </w:rPr>
                <w:t>December 31, 2015</w:t>
              </w:r>
              <w:r>
                <w:rPr>
                  <w:rFonts w:ascii="Times New Roman" w:cs="Times New Roman" w:eastAsia="Times New Roman" w:hAnsi="Times New Roman"/>
                  <w:sz w:val="12"/>
                  <w:szCs w:val="12"/>
                  <w:color w:val="000000"/>
                </w:rPr>
                <w:t>, filed on April 29, 2016 and incorporated herein by</w:t>
              </w:r>
            </w:hyperlink>
          </w:p>
        </w:tc>
        <w:tc>
          <w:tcPr>
            <w:tcW w:w="140" w:type="dxa"/>
            <w:vAlign w:val="bottom"/>
            <w:tcBorders>
              <w:top w:val="single" w:sz="8" w:color="CCEEFF"/>
            </w:tcBorders>
            <w:shd w:val="clear" w:color="auto" w:fill="CCEEFF"/>
          </w:tcPr>
          <w:p>
            <w:pPr>
              <w:spacing w:after="0"/>
              <w:rPr>
                <w:sz w:val="9"/>
                <w:szCs w:val="9"/>
                <w:color w:val="auto"/>
              </w:rPr>
            </w:pPr>
          </w:p>
        </w:tc>
      </w:tr>
      <w:tr>
        <w:trPr>
          <w:trHeight w:val="166"/>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2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20" w:type="dxa"/>
            <w:vAlign w:val="bottom"/>
            <w:tcBorders>
              <w:top w:val="single" w:sz="8" w:color="0000EE"/>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reference.</w:t>
            </w:r>
          </w:p>
        </w:tc>
        <w:tc>
          <w:tcPr>
            <w:tcW w:w="29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95"/>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rPr>
              <w:t>10.22*</w:t>
            </w:r>
          </w:p>
        </w:tc>
        <w:tc>
          <w:tcPr>
            <w:tcW w:w="428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Third Amendment to the Separation and Release Agreement between Reading</w:t>
            </w:r>
          </w:p>
        </w:tc>
        <w:tc>
          <w:tcPr>
            <w:tcW w:w="4800" w:type="dxa"/>
            <w:vAlign w:val="bottom"/>
            <w:gridSpan w:val="6"/>
          </w:tcPr>
          <w:p>
            <w:pPr>
              <w:ind w:left="100"/>
              <w:spacing w:after="0"/>
              <w:rPr>
                <w:rFonts w:ascii="Times New Roman" w:cs="Times New Roman" w:eastAsia="Times New Roman" w:hAnsi="Times New Roman"/>
                <w:sz w:val="13"/>
                <w:szCs w:val="13"/>
                <w:color w:val="auto"/>
              </w:rPr>
            </w:pPr>
            <w:hyperlink r:id="rId182">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10.22 to the Company’s Annual Report on Form 10-K for the year</w:t>
              </w:r>
            </w:hyperlink>
          </w:p>
        </w:tc>
      </w:tr>
      <w:tr>
        <w:trPr>
          <w:trHeight w:val="110"/>
        </w:trPr>
        <w:tc>
          <w:tcPr>
            <w:tcW w:w="1080" w:type="dxa"/>
            <w:vAlign w:val="bottom"/>
          </w:tcPr>
          <w:p>
            <w:pPr>
              <w:spacing w:after="0"/>
              <w:rPr>
                <w:sz w:val="9"/>
                <w:szCs w:val="9"/>
                <w:color w:val="auto"/>
              </w:rPr>
            </w:pPr>
          </w:p>
        </w:tc>
        <w:tc>
          <w:tcPr>
            <w:tcW w:w="4280" w:type="dxa"/>
            <w:vAlign w:val="bottom"/>
            <w:gridSpan w:val="10"/>
          </w:tcPr>
          <w:p>
            <w:pPr>
              <w:spacing w:after="0" w:line="110" w:lineRule="exact"/>
              <w:rPr>
                <w:sz w:val="20"/>
                <w:szCs w:val="20"/>
                <w:color w:val="auto"/>
              </w:rPr>
            </w:pPr>
            <w:r>
              <w:rPr>
                <w:rFonts w:ascii="Times New Roman" w:cs="Times New Roman" w:eastAsia="Times New Roman" w:hAnsi="Times New Roman"/>
                <w:sz w:val="12"/>
                <w:szCs w:val="12"/>
                <w:color w:val="auto"/>
              </w:rPr>
              <w:t>International, Inc. and Andrzej Matyczynski, effective as of May 1, 2015</w:t>
            </w:r>
          </w:p>
        </w:tc>
        <w:tc>
          <w:tcPr>
            <w:tcW w:w="540" w:type="dxa"/>
            <w:vAlign w:val="bottom"/>
            <w:gridSpan w:val="2"/>
          </w:tcPr>
          <w:p>
            <w:pPr>
              <w:ind w:left="100"/>
              <w:spacing w:after="0" w:line="110" w:lineRule="exact"/>
              <w:rPr>
                <w:rFonts w:ascii="Times New Roman" w:cs="Times New Roman" w:eastAsia="Times New Roman" w:hAnsi="Times New Roman"/>
                <w:sz w:val="12"/>
                <w:szCs w:val="12"/>
                <w:b w:val="1"/>
                <w:bCs w:val="1"/>
                <w:color w:val="0000EE"/>
              </w:rPr>
            </w:pPr>
            <w:hyperlink r:id="rId182">
              <w:r>
                <w:rPr>
                  <w:rFonts w:ascii="Times New Roman" w:cs="Times New Roman" w:eastAsia="Times New Roman" w:hAnsi="Times New Roman"/>
                  <w:sz w:val="12"/>
                  <w:szCs w:val="12"/>
                  <w:b w:val="1"/>
                  <w:bCs w:val="1"/>
                  <w:color w:val="0000EE"/>
                </w:rPr>
                <w:t>ended</w:t>
              </w:r>
            </w:hyperlink>
          </w:p>
        </w:tc>
        <w:tc>
          <w:tcPr>
            <w:tcW w:w="4120" w:type="dxa"/>
            <w:vAlign w:val="bottom"/>
            <w:tcBorders>
              <w:top w:val="single" w:sz="8" w:color="0000EE"/>
            </w:tcBorders>
            <w:gridSpan w:val="3"/>
          </w:tcPr>
          <w:p>
            <w:pPr>
              <w:spacing w:after="0" w:line="110" w:lineRule="exact"/>
              <w:rPr>
                <w:rFonts w:ascii="Times New Roman" w:cs="Times New Roman" w:eastAsia="Times New Roman" w:hAnsi="Times New Roman"/>
                <w:sz w:val="12"/>
                <w:szCs w:val="12"/>
                <w:b w:val="1"/>
                <w:bCs w:val="1"/>
                <w:color w:val="0000EE"/>
              </w:rPr>
            </w:pPr>
            <w:hyperlink r:id="rId182">
              <w:r>
                <w:rPr>
                  <w:rFonts w:ascii="Times New Roman" w:cs="Times New Roman" w:eastAsia="Times New Roman" w:hAnsi="Times New Roman"/>
                  <w:sz w:val="12"/>
                  <w:szCs w:val="12"/>
                  <w:b w:val="1"/>
                  <w:bCs w:val="1"/>
                  <w:color w:val="0000EE"/>
                </w:rPr>
                <w:t>December 31, 2015</w:t>
              </w:r>
              <w:r>
                <w:rPr>
                  <w:rFonts w:ascii="Times New Roman" w:cs="Times New Roman" w:eastAsia="Times New Roman" w:hAnsi="Times New Roman"/>
                  <w:sz w:val="12"/>
                  <w:szCs w:val="12"/>
                  <w:color w:val="000000"/>
                </w:rPr>
                <w:t>, filed on April 29, 2016 and incorporated herein by</w:t>
              </w:r>
            </w:hyperlink>
          </w:p>
        </w:tc>
        <w:tc>
          <w:tcPr>
            <w:tcW w:w="140" w:type="dxa"/>
            <w:vAlign w:val="bottom"/>
          </w:tcPr>
          <w:p>
            <w:pPr>
              <w:spacing w:after="0"/>
              <w:rPr>
                <w:sz w:val="9"/>
                <w:szCs w:val="9"/>
                <w:color w:val="auto"/>
              </w:rPr>
            </w:pPr>
          </w:p>
        </w:tc>
      </w:tr>
      <w:tr>
        <w:trPr>
          <w:trHeight w:val="159"/>
        </w:trPr>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auto"/>
              </w:rPr>
              <w:t>reference.</w:t>
            </w:r>
          </w:p>
        </w:tc>
        <w:tc>
          <w:tcPr>
            <w:tcW w:w="29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r>
      <w:tr>
        <w:trPr>
          <w:trHeight w:val="27"/>
        </w:trPr>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rPr>
              <w:t>10.23*</w:t>
            </w:r>
          </w:p>
        </w:tc>
        <w:tc>
          <w:tcPr>
            <w:tcW w:w="42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auto"/>
              </w:rPr>
              <w:t>Amended and Restated Compensatory Arrangements for Executive and</w:t>
            </w:r>
          </w:p>
        </w:tc>
        <w:tc>
          <w:tcPr>
            <w:tcW w:w="4800" w:type="dxa"/>
            <w:vAlign w:val="bottom"/>
            <w:gridSpan w:val="6"/>
            <w:shd w:val="clear" w:color="auto" w:fill="CCEEFF"/>
          </w:tcPr>
          <w:p>
            <w:pPr>
              <w:ind w:left="100"/>
              <w:spacing w:after="0"/>
              <w:rPr>
                <w:rFonts w:ascii="Times New Roman" w:cs="Times New Roman" w:eastAsia="Times New Roman" w:hAnsi="Times New Roman"/>
                <w:sz w:val="13"/>
                <w:szCs w:val="13"/>
                <w:color w:val="auto"/>
              </w:rPr>
            </w:pPr>
            <w:hyperlink r:id="rId183">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10.23 to the Company’s Annual Report on Form 10-K for the year</w:t>
              </w:r>
            </w:hyperlink>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4280" w:type="dxa"/>
            <w:vAlign w:val="bottom"/>
            <w:tcBorders>
              <w:top w:val="single" w:sz="8" w:color="CCEEFF"/>
            </w:tcBorders>
            <w:gridSpan w:val="10"/>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Management Employees dated as of March 28, 2016</w:t>
            </w:r>
          </w:p>
        </w:tc>
        <w:tc>
          <w:tcPr>
            <w:tcW w:w="540" w:type="dxa"/>
            <w:vAlign w:val="bottom"/>
            <w:tcBorders>
              <w:top w:val="single" w:sz="8" w:color="CCEEFF"/>
            </w:tcBorders>
            <w:gridSpan w:val="2"/>
            <w:shd w:val="clear" w:color="auto" w:fill="CCEEFF"/>
          </w:tcPr>
          <w:p>
            <w:pPr>
              <w:ind w:left="100"/>
              <w:spacing w:after="0" w:line="110" w:lineRule="exact"/>
              <w:rPr>
                <w:rFonts w:ascii="Times New Roman" w:cs="Times New Roman" w:eastAsia="Times New Roman" w:hAnsi="Times New Roman"/>
                <w:sz w:val="12"/>
                <w:szCs w:val="12"/>
                <w:b w:val="1"/>
                <w:bCs w:val="1"/>
                <w:color w:val="0000EE"/>
              </w:rPr>
            </w:pPr>
            <w:hyperlink r:id="rId183">
              <w:r>
                <w:rPr>
                  <w:rFonts w:ascii="Times New Roman" w:cs="Times New Roman" w:eastAsia="Times New Roman" w:hAnsi="Times New Roman"/>
                  <w:sz w:val="12"/>
                  <w:szCs w:val="12"/>
                  <w:b w:val="1"/>
                  <w:bCs w:val="1"/>
                  <w:color w:val="0000EE"/>
                </w:rPr>
                <w:t>ended</w:t>
              </w:r>
            </w:hyperlink>
          </w:p>
        </w:tc>
        <w:tc>
          <w:tcPr>
            <w:tcW w:w="4120" w:type="dxa"/>
            <w:vAlign w:val="bottom"/>
            <w:tcBorders>
              <w:top w:val="single" w:sz="8" w:color="0000EE"/>
            </w:tcBorders>
            <w:gridSpan w:val="3"/>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83">
              <w:r>
                <w:rPr>
                  <w:rFonts w:ascii="Times New Roman" w:cs="Times New Roman" w:eastAsia="Times New Roman" w:hAnsi="Times New Roman"/>
                  <w:sz w:val="12"/>
                  <w:szCs w:val="12"/>
                  <w:b w:val="1"/>
                  <w:bCs w:val="1"/>
                  <w:color w:val="0000EE"/>
                </w:rPr>
                <w:t>December 31, 2015</w:t>
              </w:r>
              <w:r>
                <w:rPr>
                  <w:rFonts w:ascii="Times New Roman" w:cs="Times New Roman" w:eastAsia="Times New Roman" w:hAnsi="Times New Roman"/>
                  <w:sz w:val="12"/>
                  <w:szCs w:val="12"/>
                  <w:color w:val="000000"/>
                </w:rPr>
                <w:t>, filed on April 29, 2016 and incorporated herein by</w:t>
              </w:r>
            </w:hyperlink>
          </w:p>
        </w:tc>
        <w:tc>
          <w:tcPr>
            <w:tcW w:w="140" w:type="dxa"/>
            <w:vAlign w:val="bottom"/>
            <w:tcBorders>
              <w:top w:val="single" w:sz="8" w:color="CCEEFF"/>
            </w:tcBorders>
            <w:shd w:val="clear" w:color="auto" w:fill="CCEEFF"/>
          </w:tcPr>
          <w:p>
            <w:pPr>
              <w:spacing w:after="0"/>
              <w:rPr>
                <w:sz w:val="9"/>
                <w:szCs w:val="9"/>
                <w:color w:val="auto"/>
              </w:rPr>
            </w:pPr>
          </w:p>
        </w:tc>
      </w:tr>
      <w:tr>
        <w:trPr>
          <w:trHeight w:val="166"/>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2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20" w:type="dxa"/>
            <w:vAlign w:val="bottom"/>
            <w:tcBorders>
              <w:top w:val="single" w:sz="8" w:color="0000EE"/>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reference.</w:t>
            </w:r>
          </w:p>
        </w:tc>
        <w:tc>
          <w:tcPr>
            <w:tcW w:w="29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95"/>
        </w:trPr>
        <w:tc>
          <w:tcPr>
            <w:tcW w:w="108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rPr>
              <w:t>10.24</w:t>
            </w:r>
          </w:p>
        </w:tc>
        <w:tc>
          <w:tcPr>
            <w:tcW w:w="428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OBI Termination Agreement and Release</w:t>
            </w:r>
          </w:p>
        </w:tc>
        <w:tc>
          <w:tcPr>
            <w:tcW w:w="4800" w:type="dxa"/>
            <w:vAlign w:val="bottom"/>
            <w:gridSpan w:val="6"/>
          </w:tcPr>
          <w:p>
            <w:pPr>
              <w:ind w:left="100"/>
              <w:spacing w:after="0"/>
              <w:rPr>
                <w:rFonts w:ascii="Times New Roman" w:cs="Times New Roman" w:eastAsia="Times New Roman" w:hAnsi="Times New Roman"/>
                <w:sz w:val="13"/>
                <w:szCs w:val="13"/>
                <w:color w:val="auto"/>
              </w:rPr>
            </w:pPr>
            <w:hyperlink r:id="rId184">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10.24 to the Company’s Annual Report on Form 10-K for the year</w:t>
              </w:r>
            </w:hyperlink>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2"/>
          </w:tcPr>
          <w:p>
            <w:pPr>
              <w:ind w:left="100"/>
              <w:spacing w:after="0" w:line="110" w:lineRule="exact"/>
              <w:rPr>
                <w:rFonts w:ascii="Times New Roman" w:cs="Times New Roman" w:eastAsia="Times New Roman" w:hAnsi="Times New Roman"/>
                <w:sz w:val="12"/>
                <w:szCs w:val="12"/>
                <w:b w:val="1"/>
                <w:bCs w:val="1"/>
                <w:color w:val="0000EE"/>
              </w:rPr>
            </w:pPr>
            <w:hyperlink r:id="rId184">
              <w:r>
                <w:rPr>
                  <w:rFonts w:ascii="Times New Roman" w:cs="Times New Roman" w:eastAsia="Times New Roman" w:hAnsi="Times New Roman"/>
                  <w:sz w:val="12"/>
                  <w:szCs w:val="12"/>
                  <w:b w:val="1"/>
                  <w:bCs w:val="1"/>
                  <w:color w:val="0000EE"/>
                </w:rPr>
                <w:t>ended</w:t>
              </w:r>
            </w:hyperlink>
          </w:p>
        </w:tc>
        <w:tc>
          <w:tcPr>
            <w:tcW w:w="4120" w:type="dxa"/>
            <w:vAlign w:val="bottom"/>
            <w:tcBorders>
              <w:top w:val="single" w:sz="8" w:color="0000EE"/>
            </w:tcBorders>
            <w:gridSpan w:val="3"/>
          </w:tcPr>
          <w:p>
            <w:pPr>
              <w:spacing w:after="0" w:line="110" w:lineRule="exact"/>
              <w:rPr>
                <w:rFonts w:ascii="Times New Roman" w:cs="Times New Roman" w:eastAsia="Times New Roman" w:hAnsi="Times New Roman"/>
                <w:sz w:val="12"/>
                <w:szCs w:val="12"/>
                <w:b w:val="1"/>
                <w:bCs w:val="1"/>
                <w:color w:val="0000EE"/>
              </w:rPr>
            </w:pPr>
            <w:hyperlink r:id="rId184">
              <w:r>
                <w:rPr>
                  <w:rFonts w:ascii="Times New Roman" w:cs="Times New Roman" w:eastAsia="Times New Roman" w:hAnsi="Times New Roman"/>
                  <w:sz w:val="12"/>
                  <w:szCs w:val="12"/>
                  <w:b w:val="1"/>
                  <w:bCs w:val="1"/>
                  <w:color w:val="0000EE"/>
                </w:rPr>
                <w:t>December 31, 2015</w:t>
              </w:r>
              <w:r>
                <w:rPr>
                  <w:rFonts w:ascii="Times New Roman" w:cs="Times New Roman" w:eastAsia="Times New Roman" w:hAnsi="Times New Roman"/>
                  <w:sz w:val="12"/>
                  <w:szCs w:val="12"/>
                  <w:color w:val="000000"/>
                </w:rPr>
                <w:t>, filed on April 29, 2016 and incorporated herein by</w:t>
              </w:r>
            </w:hyperlink>
          </w:p>
        </w:tc>
        <w:tc>
          <w:tcPr>
            <w:tcW w:w="140" w:type="dxa"/>
            <w:vAlign w:val="bottom"/>
          </w:tcPr>
          <w:p>
            <w:pPr>
              <w:spacing w:after="0"/>
              <w:rPr>
                <w:sz w:val="9"/>
                <w:szCs w:val="9"/>
                <w:color w:val="auto"/>
              </w:rPr>
            </w:pPr>
          </w:p>
        </w:tc>
      </w:tr>
      <w:tr>
        <w:trPr>
          <w:trHeight w:val="159"/>
        </w:trPr>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auto"/>
              </w:rPr>
              <w:t>reference.</w:t>
            </w:r>
          </w:p>
        </w:tc>
        <w:tc>
          <w:tcPr>
            <w:tcW w:w="29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r>
      <w:tr>
        <w:trPr>
          <w:trHeight w:val="27"/>
        </w:trPr>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5"/>
        </w:trPr>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w w:val="91"/>
              </w:rPr>
              <w:t>18</w:t>
            </w:r>
          </w:p>
        </w:tc>
        <w:tc>
          <w:tcPr>
            <w:tcW w:w="42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Preferability Letter from Independent Registered Public Accounting Firm,</w:t>
            </w:r>
          </w:p>
        </w:tc>
        <w:tc>
          <w:tcPr>
            <w:tcW w:w="4800" w:type="dxa"/>
            <w:vAlign w:val="bottom"/>
            <w:gridSpan w:val="6"/>
            <w:shd w:val="clear" w:color="auto" w:fill="CCEEFF"/>
          </w:tcPr>
          <w:p>
            <w:pPr>
              <w:ind w:left="100"/>
              <w:spacing w:after="0"/>
              <w:rPr>
                <w:rFonts w:ascii="Times New Roman" w:cs="Times New Roman" w:eastAsia="Times New Roman" w:hAnsi="Times New Roman"/>
                <w:sz w:val="13"/>
                <w:szCs w:val="13"/>
                <w:color w:val="auto"/>
              </w:rPr>
            </w:pPr>
            <w:hyperlink r:id="rId185">
              <w:r>
                <w:rPr>
                  <w:rFonts w:ascii="Times New Roman" w:cs="Times New Roman" w:eastAsia="Times New Roman" w:hAnsi="Times New Roman"/>
                  <w:sz w:val="13"/>
                  <w:szCs w:val="13"/>
                  <w:color w:val="auto"/>
                </w:rPr>
                <w:t xml:space="preserve">Filed as </w:t>
              </w:r>
              <w:r>
                <w:rPr>
                  <w:rFonts w:ascii="Times New Roman" w:cs="Times New Roman" w:eastAsia="Times New Roman" w:hAnsi="Times New Roman"/>
                  <w:sz w:val="13"/>
                  <w:szCs w:val="13"/>
                  <w:b w:val="1"/>
                  <w:bCs w:val="1"/>
                  <w:color w:val="0000EE"/>
                </w:rPr>
                <w:t>Exhibit 18 to the Company’s Annual Report on Form 10-K for the year</w:t>
              </w:r>
            </w:hyperlink>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4280" w:type="dxa"/>
            <w:vAlign w:val="bottom"/>
            <w:tcBorders>
              <w:top w:val="single" w:sz="8" w:color="CCEEFF"/>
            </w:tcBorders>
            <w:gridSpan w:val="10"/>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Grant Thornton LLP.</w:t>
            </w:r>
          </w:p>
        </w:tc>
        <w:tc>
          <w:tcPr>
            <w:tcW w:w="540" w:type="dxa"/>
            <w:vAlign w:val="bottom"/>
            <w:tcBorders>
              <w:top w:val="single" w:sz="8" w:color="CCEEFF"/>
            </w:tcBorders>
            <w:gridSpan w:val="2"/>
            <w:shd w:val="clear" w:color="auto" w:fill="CCEEFF"/>
          </w:tcPr>
          <w:p>
            <w:pPr>
              <w:ind w:left="100"/>
              <w:spacing w:after="0" w:line="110" w:lineRule="exact"/>
              <w:rPr>
                <w:rFonts w:ascii="Times New Roman" w:cs="Times New Roman" w:eastAsia="Times New Roman" w:hAnsi="Times New Roman"/>
                <w:sz w:val="12"/>
                <w:szCs w:val="12"/>
                <w:b w:val="1"/>
                <w:bCs w:val="1"/>
                <w:color w:val="0000EE"/>
              </w:rPr>
            </w:pPr>
            <w:hyperlink r:id="rId185">
              <w:r>
                <w:rPr>
                  <w:rFonts w:ascii="Times New Roman" w:cs="Times New Roman" w:eastAsia="Times New Roman" w:hAnsi="Times New Roman"/>
                  <w:sz w:val="12"/>
                  <w:szCs w:val="12"/>
                  <w:b w:val="1"/>
                  <w:bCs w:val="1"/>
                  <w:color w:val="0000EE"/>
                </w:rPr>
                <w:t>ended</w:t>
              </w:r>
            </w:hyperlink>
          </w:p>
        </w:tc>
        <w:tc>
          <w:tcPr>
            <w:tcW w:w="3960" w:type="dxa"/>
            <w:vAlign w:val="bottom"/>
            <w:tcBorders>
              <w:top w:val="single" w:sz="8" w:color="0000EE"/>
            </w:tcBorders>
            <w:gridSpan w:val="2"/>
            <w:shd w:val="clear" w:color="auto" w:fill="CCEEFF"/>
          </w:tcPr>
          <w:p>
            <w:pPr>
              <w:spacing w:after="0" w:line="110" w:lineRule="exact"/>
              <w:rPr>
                <w:rFonts w:ascii="Times New Roman" w:cs="Times New Roman" w:eastAsia="Times New Roman" w:hAnsi="Times New Roman"/>
                <w:sz w:val="12"/>
                <w:szCs w:val="12"/>
                <w:b w:val="1"/>
                <w:bCs w:val="1"/>
                <w:color w:val="0000EE"/>
              </w:rPr>
            </w:pPr>
            <w:hyperlink r:id="rId185">
              <w:r>
                <w:rPr>
                  <w:rFonts w:ascii="Times New Roman" w:cs="Times New Roman" w:eastAsia="Times New Roman" w:hAnsi="Times New Roman"/>
                  <w:sz w:val="12"/>
                  <w:szCs w:val="12"/>
                  <w:b w:val="1"/>
                  <w:bCs w:val="1"/>
                  <w:color w:val="0000EE"/>
                </w:rPr>
                <w:t xml:space="preserve">December 31, 2016 </w:t>
              </w:r>
              <w:r>
                <w:rPr>
                  <w:rFonts w:ascii="Times New Roman" w:cs="Times New Roman" w:eastAsia="Times New Roman" w:hAnsi="Times New Roman"/>
                  <w:sz w:val="12"/>
                  <w:szCs w:val="12"/>
                  <w:color w:val="000000"/>
                </w:rPr>
                <w:t>filed on March 13, 2017 and incorporated herein by</w:t>
              </w:r>
            </w:hyperlink>
          </w:p>
        </w:tc>
        <w:tc>
          <w:tcPr>
            <w:tcW w:w="300" w:type="dxa"/>
            <w:vAlign w:val="bottom"/>
            <w:tcBorders>
              <w:top w:val="single" w:sz="8" w:color="CCEEFF"/>
            </w:tcBorders>
            <w:gridSpan w:val="2"/>
            <w:shd w:val="clear" w:color="auto" w:fill="CCEEFF"/>
          </w:tcPr>
          <w:p>
            <w:pPr>
              <w:spacing w:after="0"/>
              <w:rPr>
                <w:sz w:val="9"/>
                <w:szCs w:val="9"/>
                <w:color w:val="auto"/>
              </w:rPr>
            </w:pPr>
          </w:p>
        </w:tc>
      </w:tr>
      <w:tr>
        <w:trPr>
          <w:trHeight w:val="166"/>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2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20" w:type="dxa"/>
            <w:vAlign w:val="bottom"/>
            <w:tcBorders>
              <w:top w:val="single" w:sz="8" w:color="0000EE"/>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reference</w:t>
            </w:r>
          </w:p>
        </w:tc>
        <w:tc>
          <w:tcPr>
            <w:tcW w:w="328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95"/>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w w:val="98"/>
              </w:rPr>
              <w:t>21+</w:t>
            </w:r>
          </w:p>
        </w:tc>
        <w:tc>
          <w:tcPr>
            <w:tcW w:w="4280" w:type="dxa"/>
            <w:vAlign w:val="bottom"/>
            <w:gridSpan w:val="10"/>
          </w:tcPr>
          <w:p>
            <w:pPr>
              <w:spacing w:after="0"/>
              <w:rPr>
                <w:rFonts w:ascii="Times New Roman" w:cs="Times New Roman" w:eastAsia="Times New Roman" w:hAnsi="Times New Roman"/>
                <w:sz w:val="13"/>
                <w:szCs w:val="13"/>
                <w:b w:val="1"/>
                <w:bCs w:val="1"/>
                <w:color w:val="0000EE"/>
              </w:rPr>
            </w:pPr>
            <w:hyperlink w:anchor="page169">
              <w:r>
                <w:rPr>
                  <w:rFonts w:ascii="Times New Roman" w:cs="Times New Roman" w:eastAsia="Times New Roman" w:hAnsi="Times New Roman"/>
                  <w:sz w:val="13"/>
                  <w:szCs w:val="13"/>
                  <w:b w:val="1"/>
                  <w:bCs w:val="1"/>
                  <w:color w:val="0000EE"/>
                </w:rPr>
                <w:t>List of Subsidiaries</w:t>
              </w:r>
            </w:hyperlink>
            <w:r>
              <w:rPr>
                <w:rFonts w:ascii="Times New Roman" w:cs="Times New Roman" w:eastAsia="Times New Roman" w:hAnsi="Times New Roman"/>
                <w:sz w:val="13"/>
                <w:szCs w:val="13"/>
                <w:color w:val="000000"/>
              </w:rPr>
              <w:t>,</w:t>
            </w:r>
          </w:p>
        </w:tc>
        <w:tc>
          <w:tcPr>
            <w:tcW w:w="480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N/A</w:t>
            </w:r>
          </w:p>
        </w:tc>
      </w:tr>
      <w:tr>
        <w:trPr>
          <w:trHeight w:val="56"/>
        </w:trPr>
        <w:tc>
          <w:tcPr>
            <w:tcW w:w="10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95"/>
        </w:trPr>
        <w:tc>
          <w:tcPr>
            <w:tcW w:w="108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3"/>
                <w:szCs w:val="13"/>
                <w:color w:val="auto"/>
                <w:w w:val="99"/>
              </w:rPr>
              <w:t>23.1+</w:t>
            </w:r>
          </w:p>
        </w:tc>
        <w:tc>
          <w:tcPr>
            <w:tcW w:w="4280" w:type="dxa"/>
            <w:vAlign w:val="bottom"/>
            <w:gridSpan w:val="10"/>
            <w:shd w:val="clear" w:color="auto" w:fill="CCEEFF"/>
          </w:tcPr>
          <w:p>
            <w:pPr>
              <w:spacing w:after="0"/>
              <w:rPr>
                <w:rFonts w:ascii="Times New Roman" w:cs="Times New Roman" w:eastAsia="Times New Roman" w:hAnsi="Times New Roman"/>
                <w:sz w:val="13"/>
                <w:szCs w:val="13"/>
                <w:b w:val="1"/>
                <w:bCs w:val="1"/>
                <w:color w:val="0000EE"/>
              </w:rPr>
            </w:pPr>
            <w:hyperlink w:anchor="page172">
              <w:r>
                <w:rPr>
                  <w:rFonts w:ascii="Times New Roman" w:cs="Times New Roman" w:eastAsia="Times New Roman" w:hAnsi="Times New Roman"/>
                  <w:sz w:val="13"/>
                  <w:szCs w:val="13"/>
                  <w:b w:val="1"/>
                  <w:bCs w:val="1"/>
                  <w:color w:val="0000EE"/>
                </w:rPr>
                <w:t>Consent of Independent Registered Public Accounting Firm, Grant</w:t>
              </w:r>
            </w:hyperlink>
          </w:p>
        </w:tc>
        <w:tc>
          <w:tcPr>
            <w:tcW w:w="48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w:t>
            </w:r>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3720" w:type="dxa"/>
            <w:vAlign w:val="bottom"/>
            <w:tcBorders>
              <w:top w:val="single" w:sz="8" w:color="0000EE"/>
            </w:tcBorders>
            <w:gridSpan w:val="5"/>
            <w:shd w:val="clear" w:color="auto" w:fill="CCEEFF"/>
          </w:tcPr>
          <w:p>
            <w:pPr>
              <w:spacing w:after="0" w:line="110" w:lineRule="exact"/>
              <w:rPr>
                <w:rFonts w:ascii="Times New Roman" w:cs="Times New Roman" w:eastAsia="Times New Roman" w:hAnsi="Times New Roman"/>
                <w:sz w:val="12"/>
                <w:szCs w:val="12"/>
                <w:b w:val="1"/>
                <w:bCs w:val="1"/>
                <w:color w:val="0000EE"/>
              </w:rPr>
            </w:pPr>
            <w:hyperlink w:anchor="page172">
              <w:r>
                <w:rPr>
                  <w:rFonts w:ascii="Times New Roman" w:cs="Times New Roman" w:eastAsia="Times New Roman" w:hAnsi="Times New Roman"/>
                  <w:sz w:val="12"/>
                  <w:szCs w:val="12"/>
                  <w:b w:val="1"/>
                  <w:bCs w:val="1"/>
                  <w:color w:val="0000EE"/>
                </w:rPr>
                <w:t>Thornton LLP</w:t>
              </w:r>
              <w:r>
                <w:rPr>
                  <w:rFonts w:ascii="Times New Roman" w:cs="Times New Roman" w:eastAsia="Times New Roman" w:hAnsi="Times New Roman"/>
                  <w:sz w:val="12"/>
                  <w:szCs w:val="12"/>
                  <w:color w:val="000000"/>
                </w:rPr>
                <w:t>.</w:t>
              </w:r>
            </w:hyperlink>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29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195"/>
        </w:trPr>
        <w:tc>
          <w:tcPr>
            <w:tcW w:w="108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w w:val="99"/>
              </w:rPr>
              <w:t>31.1+</w:t>
            </w:r>
          </w:p>
        </w:tc>
        <w:tc>
          <w:tcPr>
            <w:tcW w:w="4280" w:type="dxa"/>
            <w:vAlign w:val="bottom"/>
            <w:gridSpan w:val="10"/>
          </w:tcPr>
          <w:p>
            <w:pPr>
              <w:spacing w:after="0"/>
              <w:rPr>
                <w:rFonts w:ascii="Times New Roman" w:cs="Times New Roman" w:eastAsia="Times New Roman" w:hAnsi="Times New Roman"/>
                <w:sz w:val="13"/>
                <w:szCs w:val="13"/>
                <w:b w:val="1"/>
                <w:bCs w:val="1"/>
                <w:color w:val="0000EE"/>
              </w:rPr>
            </w:pPr>
            <w:hyperlink w:anchor="page173">
              <w:r>
                <w:rPr>
                  <w:rFonts w:ascii="Times New Roman" w:cs="Times New Roman" w:eastAsia="Times New Roman" w:hAnsi="Times New Roman"/>
                  <w:sz w:val="13"/>
                  <w:szCs w:val="13"/>
                  <w:b w:val="1"/>
                  <w:bCs w:val="1"/>
                  <w:color w:val="0000EE"/>
                </w:rPr>
                <w:t>Certification of Principal Executive Officer pursuant to Section 302 of the</w:t>
              </w:r>
            </w:hyperlink>
          </w:p>
        </w:tc>
        <w:tc>
          <w:tcPr>
            <w:tcW w:w="480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N/A</w:t>
            </w:r>
          </w:p>
        </w:tc>
      </w:tr>
      <w:tr>
        <w:trPr>
          <w:trHeight w:val="110"/>
        </w:trPr>
        <w:tc>
          <w:tcPr>
            <w:tcW w:w="1080" w:type="dxa"/>
            <w:vAlign w:val="bottom"/>
          </w:tcPr>
          <w:p>
            <w:pPr>
              <w:spacing w:after="0"/>
              <w:rPr>
                <w:sz w:val="9"/>
                <w:szCs w:val="9"/>
                <w:color w:val="auto"/>
              </w:rPr>
            </w:pPr>
          </w:p>
        </w:tc>
        <w:tc>
          <w:tcPr>
            <w:tcW w:w="4100" w:type="dxa"/>
            <w:vAlign w:val="bottom"/>
            <w:tcBorders>
              <w:top w:val="single" w:sz="8" w:color="0000EE"/>
            </w:tcBorders>
            <w:gridSpan w:val="9"/>
          </w:tcPr>
          <w:p>
            <w:pPr>
              <w:spacing w:after="0" w:line="110" w:lineRule="exact"/>
              <w:rPr>
                <w:rFonts w:ascii="Times New Roman" w:cs="Times New Roman" w:eastAsia="Times New Roman" w:hAnsi="Times New Roman"/>
                <w:sz w:val="12"/>
                <w:szCs w:val="12"/>
                <w:b w:val="1"/>
                <w:bCs w:val="1"/>
                <w:color w:val="0000EE"/>
              </w:rPr>
            </w:pPr>
            <w:hyperlink w:anchor="page173">
              <w:r>
                <w:rPr>
                  <w:rFonts w:ascii="Times New Roman" w:cs="Times New Roman" w:eastAsia="Times New Roman" w:hAnsi="Times New Roman"/>
                  <w:sz w:val="12"/>
                  <w:szCs w:val="12"/>
                  <w:b w:val="1"/>
                  <w:bCs w:val="1"/>
                  <w:color w:val="0000EE"/>
                </w:rPr>
                <w:t>Sarbanes-Oxley Act of 2002</w:t>
              </w:r>
              <w:r>
                <w:rPr>
                  <w:rFonts w:ascii="Times New Roman" w:cs="Times New Roman" w:eastAsia="Times New Roman" w:hAnsi="Times New Roman"/>
                  <w:sz w:val="12"/>
                  <w:szCs w:val="12"/>
                  <w:color w:val="000000"/>
                </w:rPr>
                <w:t>,</w:t>
              </w:r>
            </w:hyperlink>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56"/>
        </w:trPr>
        <w:tc>
          <w:tcPr>
            <w:tcW w:w="10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95"/>
        </w:trPr>
        <w:tc>
          <w:tcPr>
            <w:tcW w:w="108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3"/>
                <w:szCs w:val="13"/>
                <w:color w:val="auto"/>
                <w:w w:val="99"/>
              </w:rPr>
              <w:t>31.2+</w:t>
            </w:r>
          </w:p>
        </w:tc>
        <w:tc>
          <w:tcPr>
            <w:tcW w:w="4280" w:type="dxa"/>
            <w:vAlign w:val="bottom"/>
            <w:gridSpan w:val="10"/>
            <w:shd w:val="clear" w:color="auto" w:fill="CCEEFF"/>
          </w:tcPr>
          <w:p>
            <w:pPr>
              <w:spacing w:after="0"/>
              <w:rPr>
                <w:rFonts w:ascii="Times New Roman" w:cs="Times New Roman" w:eastAsia="Times New Roman" w:hAnsi="Times New Roman"/>
                <w:sz w:val="13"/>
                <w:szCs w:val="13"/>
                <w:b w:val="1"/>
                <w:bCs w:val="1"/>
                <w:color w:val="0000EE"/>
              </w:rPr>
            </w:pPr>
            <w:hyperlink w:anchor="page174">
              <w:r>
                <w:rPr>
                  <w:rFonts w:ascii="Times New Roman" w:cs="Times New Roman" w:eastAsia="Times New Roman" w:hAnsi="Times New Roman"/>
                  <w:sz w:val="13"/>
                  <w:szCs w:val="13"/>
                  <w:b w:val="1"/>
                  <w:bCs w:val="1"/>
                  <w:color w:val="0000EE"/>
                </w:rPr>
                <w:t>Certification of Principal Financial Officer pursuant to Section 302 of the</w:t>
              </w:r>
            </w:hyperlink>
          </w:p>
        </w:tc>
        <w:tc>
          <w:tcPr>
            <w:tcW w:w="48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w:t>
            </w:r>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4060" w:type="dxa"/>
            <w:vAlign w:val="bottom"/>
            <w:tcBorders>
              <w:top w:val="single" w:sz="8" w:color="0000EE"/>
            </w:tcBorders>
            <w:gridSpan w:val="8"/>
            <w:shd w:val="clear" w:color="auto" w:fill="CCEEFF"/>
          </w:tcPr>
          <w:p>
            <w:pPr>
              <w:spacing w:after="0" w:line="110" w:lineRule="exact"/>
              <w:rPr>
                <w:rFonts w:ascii="Times New Roman" w:cs="Times New Roman" w:eastAsia="Times New Roman" w:hAnsi="Times New Roman"/>
                <w:sz w:val="12"/>
                <w:szCs w:val="12"/>
                <w:b w:val="1"/>
                <w:bCs w:val="1"/>
                <w:color w:val="0000EE"/>
              </w:rPr>
            </w:pPr>
            <w:hyperlink w:anchor="page174">
              <w:r>
                <w:rPr>
                  <w:rFonts w:ascii="Times New Roman" w:cs="Times New Roman" w:eastAsia="Times New Roman" w:hAnsi="Times New Roman"/>
                  <w:sz w:val="12"/>
                  <w:szCs w:val="12"/>
                  <w:b w:val="1"/>
                  <w:bCs w:val="1"/>
                  <w:color w:val="0000EE"/>
                </w:rPr>
                <w:t>Sarbanes-Oxley Act of 2002</w:t>
              </w:r>
              <w:r>
                <w:rPr>
                  <w:rFonts w:ascii="Times New Roman" w:cs="Times New Roman" w:eastAsia="Times New Roman" w:hAnsi="Times New Roman"/>
                  <w:sz w:val="12"/>
                  <w:szCs w:val="12"/>
                  <w:color w:val="000000"/>
                </w:rPr>
                <w:t>,</w:t>
              </w:r>
            </w:hyperlink>
          </w:p>
        </w:tc>
        <w:tc>
          <w:tcPr>
            <w:tcW w:w="220" w:type="dxa"/>
            <w:vAlign w:val="bottom"/>
            <w:tcBorders>
              <w:top w:val="single" w:sz="8" w:color="CCEEFF"/>
            </w:tcBorders>
            <w:gridSpan w:val="2"/>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29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195"/>
        </w:trPr>
        <w:tc>
          <w:tcPr>
            <w:tcW w:w="108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w w:val="99"/>
              </w:rPr>
              <w:t>32.1+</w:t>
            </w:r>
          </w:p>
        </w:tc>
        <w:tc>
          <w:tcPr>
            <w:tcW w:w="4280" w:type="dxa"/>
            <w:vAlign w:val="bottom"/>
            <w:gridSpan w:val="10"/>
          </w:tcPr>
          <w:p>
            <w:pPr>
              <w:spacing w:after="0"/>
              <w:rPr>
                <w:rFonts w:ascii="Times New Roman" w:cs="Times New Roman" w:eastAsia="Times New Roman" w:hAnsi="Times New Roman"/>
                <w:sz w:val="13"/>
                <w:szCs w:val="13"/>
                <w:b w:val="1"/>
                <w:bCs w:val="1"/>
                <w:color w:val="0000EE"/>
              </w:rPr>
            </w:pPr>
            <w:hyperlink w:anchor="page175">
              <w:r>
                <w:rPr>
                  <w:rFonts w:ascii="Times New Roman" w:cs="Times New Roman" w:eastAsia="Times New Roman" w:hAnsi="Times New Roman"/>
                  <w:sz w:val="13"/>
                  <w:szCs w:val="13"/>
                  <w:b w:val="1"/>
                  <w:bCs w:val="1"/>
                  <w:color w:val="0000EE"/>
                </w:rPr>
                <w:t>Certification of Principal Executive Officer pursuant to 18 U.S.C. Section</w:t>
              </w:r>
            </w:hyperlink>
          </w:p>
        </w:tc>
        <w:tc>
          <w:tcPr>
            <w:tcW w:w="480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N/A</w:t>
            </w:r>
          </w:p>
        </w:tc>
      </w:tr>
      <w:tr>
        <w:trPr>
          <w:trHeight w:val="110"/>
        </w:trPr>
        <w:tc>
          <w:tcPr>
            <w:tcW w:w="1080" w:type="dxa"/>
            <w:vAlign w:val="bottom"/>
          </w:tcPr>
          <w:p>
            <w:pPr>
              <w:spacing w:after="0"/>
              <w:rPr>
                <w:sz w:val="9"/>
                <w:szCs w:val="9"/>
                <w:color w:val="auto"/>
              </w:rPr>
            </w:pPr>
          </w:p>
        </w:tc>
        <w:tc>
          <w:tcPr>
            <w:tcW w:w="4060" w:type="dxa"/>
            <w:vAlign w:val="bottom"/>
            <w:tcBorders>
              <w:top w:val="single" w:sz="8" w:color="0000EE"/>
            </w:tcBorders>
            <w:gridSpan w:val="8"/>
          </w:tcPr>
          <w:p>
            <w:pPr>
              <w:spacing w:after="0" w:line="110" w:lineRule="exact"/>
              <w:rPr>
                <w:rFonts w:ascii="Times New Roman" w:cs="Times New Roman" w:eastAsia="Times New Roman" w:hAnsi="Times New Roman"/>
                <w:sz w:val="12"/>
                <w:szCs w:val="12"/>
                <w:b w:val="1"/>
                <w:bCs w:val="1"/>
                <w:color w:val="0000EE"/>
              </w:rPr>
            </w:pPr>
            <w:hyperlink w:anchor="page175">
              <w:r>
                <w:rPr>
                  <w:rFonts w:ascii="Times New Roman" w:cs="Times New Roman" w:eastAsia="Times New Roman" w:hAnsi="Times New Roman"/>
                  <w:sz w:val="12"/>
                  <w:szCs w:val="12"/>
                  <w:b w:val="1"/>
                  <w:bCs w:val="1"/>
                  <w:color w:val="0000EE"/>
                </w:rPr>
                <w:t>1350, as adopted pursuant to Section 906 of the Sarbanes-Oxley Act of</w:t>
              </w:r>
            </w:hyperlink>
          </w:p>
        </w:tc>
        <w:tc>
          <w:tcPr>
            <w:tcW w:w="2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0"/>
        </w:trPr>
        <w:tc>
          <w:tcPr>
            <w:tcW w:w="1080" w:type="dxa"/>
            <w:vAlign w:val="bottom"/>
          </w:tcPr>
          <w:p>
            <w:pPr>
              <w:spacing w:after="0"/>
              <w:rPr>
                <w:sz w:val="9"/>
                <w:szCs w:val="9"/>
                <w:color w:val="auto"/>
              </w:rPr>
            </w:pPr>
          </w:p>
        </w:tc>
        <w:tc>
          <w:tcPr>
            <w:tcW w:w="820" w:type="dxa"/>
            <w:vAlign w:val="bottom"/>
            <w:tcBorders>
              <w:top w:val="single" w:sz="8" w:color="0000EE"/>
            </w:tcBorders>
            <w:gridSpan w:val="2"/>
          </w:tcPr>
          <w:p>
            <w:pPr>
              <w:spacing w:after="0" w:line="110" w:lineRule="exact"/>
              <w:rPr>
                <w:rFonts w:ascii="Times New Roman" w:cs="Times New Roman" w:eastAsia="Times New Roman" w:hAnsi="Times New Roman"/>
                <w:sz w:val="12"/>
                <w:szCs w:val="12"/>
                <w:b w:val="1"/>
                <w:bCs w:val="1"/>
                <w:color w:val="0000EE"/>
              </w:rPr>
            </w:pPr>
            <w:hyperlink w:anchor="page175">
              <w:r>
                <w:rPr>
                  <w:rFonts w:ascii="Times New Roman" w:cs="Times New Roman" w:eastAsia="Times New Roman" w:hAnsi="Times New Roman"/>
                  <w:sz w:val="12"/>
                  <w:szCs w:val="12"/>
                  <w:b w:val="1"/>
                  <w:bCs w:val="1"/>
                  <w:color w:val="0000EE"/>
                </w:rPr>
                <w:t>2002</w:t>
              </w:r>
              <w:r>
                <w:rPr>
                  <w:rFonts w:ascii="Times New Roman" w:cs="Times New Roman" w:eastAsia="Times New Roman" w:hAnsi="Times New Roman"/>
                  <w:sz w:val="12"/>
                  <w:szCs w:val="12"/>
                  <w:color w:val="000000"/>
                </w:rPr>
                <w:t>.</w:t>
              </w:r>
            </w:hyperlink>
          </w:p>
        </w:tc>
        <w:tc>
          <w:tcPr>
            <w:tcW w:w="240" w:type="dxa"/>
            <w:vAlign w:val="bottom"/>
            <w:tcBorders>
              <w:top w:val="single" w:sz="8" w:color="0000EE"/>
            </w:tcBorders>
          </w:tcPr>
          <w:p>
            <w:pPr>
              <w:spacing w:after="0"/>
              <w:rPr>
                <w:sz w:val="9"/>
                <w:szCs w:val="9"/>
                <w:color w:val="auto"/>
              </w:rPr>
            </w:pPr>
          </w:p>
        </w:tc>
        <w:tc>
          <w:tcPr>
            <w:tcW w:w="480" w:type="dxa"/>
            <w:vAlign w:val="bottom"/>
            <w:tcBorders>
              <w:top w:val="single" w:sz="8" w:color="0000EE"/>
            </w:tcBorders>
          </w:tcPr>
          <w:p>
            <w:pPr>
              <w:spacing w:after="0"/>
              <w:rPr>
                <w:sz w:val="9"/>
                <w:szCs w:val="9"/>
                <w:color w:val="auto"/>
              </w:rPr>
            </w:pPr>
          </w:p>
        </w:tc>
        <w:tc>
          <w:tcPr>
            <w:tcW w:w="218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56"/>
        </w:trPr>
        <w:tc>
          <w:tcPr>
            <w:tcW w:w="10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95"/>
        </w:trPr>
        <w:tc>
          <w:tcPr>
            <w:tcW w:w="108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3"/>
                <w:szCs w:val="13"/>
                <w:color w:val="auto"/>
                <w:w w:val="99"/>
              </w:rPr>
              <w:t>32.2+</w:t>
            </w:r>
          </w:p>
        </w:tc>
        <w:tc>
          <w:tcPr>
            <w:tcW w:w="4280" w:type="dxa"/>
            <w:vAlign w:val="bottom"/>
            <w:gridSpan w:val="10"/>
            <w:shd w:val="clear" w:color="auto" w:fill="CCEEFF"/>
          </w:tcPr>
          <w:p>
            <w:pPr>
              <w:spacing w:after="0"/>
              <w:rPr>
                <w:rFonts w:ascii="Times New Roman" w:cs="Times New Roman" w:eastAsia="Times New Roman" w:hAnsi="Times New Roman"/>
                <w:sz w:val="13"/>
                <w:szCs w:val="13"/>
                <w:b w:val="1"/>
                <w:bCs w:val="1"/>
                <w:color w:val="0000EE"/>
              </w:rPr>
            </w:pPr>
            <w:hyperlink w:anchor="page176">
              <w:r>
                <w:rPr>
                  <w:rFonts w:ascii="Times New Roman" w:cs="Times New Roman" w:eastAsia="Times New Roman" w:hAnsi="Times New Roman"/>
                  <w:sz w:val="13"/>
                  <w:szCs w:val="13"/>
                  <w:b w:val="1"/>
                  <w:bCs w:val="1"/>
                  <w:color w:val="0000EE"/>
                </w:rPr>
                <w:t>Certification of Principal Financial Officer pursuant to 18 U.S.C. Section</w:t>
              </w:r>
            </w:hyperlink>
          </w:p>
        </w:tc>
        <w:tc>
          <w:tcPr>
            <w:tcW w:w="48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w:t>
            </w:r>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4040" w:type="dxa"/>
            <w:vAlign w:val="bottom"/>
            <w:tcBorders>
              <w:top w:val="single" w:sz="8" w:color="0000EE"/>
            </w:tcBorders>
            <w:gridSpan w:val="7"/>
            <w:shd w:val="clear" w:color="auto" w:fill="CCEEFF"/>
          </w:tcPr>
          <w:p>
            <w:pPr>
              <w:spacing w:after="0" w:line="110" w:lineRule="exact"/>
              <w:rPr>
                <w:rFonts w:ascii="Times New Roman" w:cs="Times New Roman" w:eastAsia="Times New Roman" w:hAnsi="Times New Roman"/>
                <w:sz w:val="12"/>
                <w:szCs w:val="12"/>
                <w:b w:val="1"/>
                <w:bCs w:val="1"/>
                <w:color w:val="0000EE"/>
              </w:rPr>
            </w:pPr>
            <w:hyperlink w:anchor="page176">
              <w:r>
                <w:rPr>
                  <w:rFonts w:ascii="Times New Roman" w:cs="Times New Roman" w:eastAsia="Times New Roman" w:hAnsi="Times New Roman"/>
                  <w:sz w:val="12"/>
                  <w:szCs w:val="12"/>
                  <w:b w:val="1"/>
                  <w:bCs w:val="1"/>
                  <w:color w:val="0000EE"/>
                </w:rPr>
                <w:t>1350, as adopted pursuant to Section 906 of the Sarbanes-Oxley Act of</w:t>
              </w:r>
            </w:hyperlink>
          </w:p>
        </w:tc>
        <w:tc>
          <w:tcPr>
            <w:tcW w:w="240" w:type="dxa"/>
            <w:vAlign w:val="bottom"/>
            <w:tcBorders>
              <w:top w:val="single" w:sz="8" w:color="CCEEFF"/>
            </w:tcBorders>
            <w:gridSpan w:val="3"/>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29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110"/>
        </w:trPr>
        <w:tc>
          <w:tcPr>
            <w:tcW w:w="10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0000EE"/>
            </w:tcBorders>
            <w:gridSpan w:val="2"/>
            <w:shd w:val="clear" w:color="auto" w:fill="CCEEFF"/>
          </w:tcPr>
          <w:p>
            <w:pPr>
              <w:spacing w:after="0" w:line="110" w:lineRule="exact"/>
              <w:rPr>
                <w:rFonts w:ascii="Times New Roman" w:cs="Times New Roman" w:eastAsia="Times New Roman" w:hAnsi="Times New Roman"/>
                <w:sz w:val="12"/>
                <w:szCs w:val="12"/>
                <w:b w:val="1"/>
                <w:bCs w:val="1"/>
                <w:color w:val="0000EE"/>
              </w:rPr>
            </w:pPr>
            <w:hyperlink w:anchor="page176">
              <w:r>
                <w:rPr>
                  <w:rFonts w:ascii="Times New Roman" w:cs="Times New Roman" w:eastAsia="Times New Roman" w:hAnsi="Times New Roman"/>
                  <w:sz w:val="12"/>
                  <w:szCs w:val="12"/>
                  <w:b w:val="1"/>
                  <w:bCs w:val="1"/>
                  <w:color w:val="0000EE"/>
                </w:rPr>
                <w:t>2002</w:t>
              </w:r>
              <w:r>
                <w:rPr>
                  <w:rFonts w:ascii="Times New Roman" w:cs="Times New Roman" w:eastAsia="Times New Roman" w:hAnsi="Times New Roman"/>
                  <w:sz w:val="12"/>
                  <w:szCs w:val="12"/>
                  <w:color w:val="000000"/>
                </w:rPr>
                <w:t>.</w:t>
              </w:r>
            </w:hyperlink>
          </w:p>
        </w:tc>
        <w:tc>
          <w:tcPr>
            <w:tcW w:w="240" w:type="dxa"/>
            <w:vAlign w:val="bottom"/>
            <w:tcBorders>
              <w:top w:val="single" w:sz="8" w:color="0000EE"/>
            </w:tcBorders>
            <w:shd w:val="clear" w:color="auto" w:fill="CCEEFF"/>
          </w:tcPr>
          <w:p>
            <w:pPr>
              <w:spacing w:after="0"/>
              <w:rPr>
                <w:sz w:val="9"/>
                <w:szCs w:val="9"/>
                <w:color w:val="auto"/>
              </w:rPr>
            </w:pPr>
          </w:p>
        </w:tc>
        <w:tc>
          <w:tcPr>
            <w:tcW w:w="480" w:type="dxa"/>
            <w:vAlign w:val="bottom"/>
            <w:tcBorders>
              <w:top w:val="single" w:sz="8" w:color="0000EE"/>
            </w:tcBorders>
            <w:shd w:val="clear" w:color="auto" w:fill="CCEEFF"/>
          </w:tcPr>
          <w:p>
            <w:pPr>
              <w:spacing w:after="0"/>
              <w:rPr>
                <w:sz w:val="9"/>
                <w:szCs w:val="9"/>
                <w:color w:val="auto"/>
              </w:rPr>
            </w:pPr>
          </w:p>
        </w:tc>
        <w:tc>
          <w:tcPr>
            <w:tcW w:w="2180" w:type="dxa"/>
            <w:vAlign w:val="bottom"/>
            <w:tcBorders>
              <w:top w:val="single" w:sz="8" w:color="0000EE"/>
            </w:tcBorders>
            <w:shd w:val="clear" w:color="auto" w:fill="CCEEFF"/>
          </w:tcPr>
          <w:p>
            <w:pPr>
              <w:spacing w:after="0"/>
              <w:rPr>
                <w:sz w:val="9"/>
                <w:szCs w:val="9"/>
                <w:color w:val="auto"/>
              </w:rPr>
            </w:pPr>
          </w:p>
        </w:tc>
        <w:tc>
          <w:tcPr>
            <w:tcW w:w="180" w:type="dxa"/>
            <w:vAlign w:val="bottom"/>
            <w:tcBorders>
              <w:top w:val="single" w:sz="8" w:color="0000EE"/>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29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56"/>
        </w:trPr>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22"/>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rPr>
              <w:t>101.INS+</w:t>
            </w:r>
          </w:p>
        </w:tc>
        <w:tc>
          <w:tcPr>
            <w:tcW w:w="428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XBRL Instance Document</w:t>
            </w:r>
          </w:p>
        </w:tc>
        <w:tc>
          <w:tcPr>
            <w:tcW w:w="480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N/A</w:t>
            </w:r>
          </w:p>
        </w:tc>
      </w:tr>
      <w:tr>
        <w:trPr>
          <w:trHeight w:val="49"/>
        </w:trPr>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1"/>
        </w:trPr>
        <w:tc>
          <w:tcPr>
            <w:tcW w:w="108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3"/>
                <w:szCs w:val="13"/>
                <w:color w:val="auto"/>
              </w:rPr>
              <w:t>101.SCH+</w:t>
            </w:r>
          </w:p>
        </w:tc>
        <w:tc>
          <w:tcPr>
            <w:tcW w:w="428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auto"/>
              </w:rPr>
              <w:t>XBRL Taxonomy Extension Schema</w:t>
            </w:r>
          </w:p>
        </w:tc>
        <w:tc>
          <w:tcPr>
            <w:tcW w:w="48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N/A</w:t>
            </w:r>
          </w:p>
        </w:tc>
      </w:tr>
      <w:tr>
        <w:trPr>
          <w:trHeight w:val="222"/>
        </w:trPr>
        <w:tc>
          <w:tcPr>
            <w:tcW w:w="108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auto"/>
                <w:w w:val="99"/>
              </w:rPr>
              <w:t>101.CAL+</w:t>
            </w:r>
          </w:p>
        </w:tc>
        <w:tc>
          <w:tcPr>
            <w:tcW w:w="428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XBRL Taxonomy Extension Calculation</w:t>
            </w:r>
          </w:p>
        </w:tc>
        <w:tc>
          <w:tcPr>
            <w:tcW w:w="480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N/A</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348" w:right="7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51"/>
        </w:trPr>
        <w:tc>
          <w:tcPr>
            <w:tcW w:w="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101.DEF+</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XBRL Taxonomy Extension Definition</w:t>
            </w:r>
          </w:p>
        </w:tc>
        <w:tc>
          <w:tcPr>
            <w:tcW w:w="58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N/A</w:t>
            </w:r>
          </w:p>
        </w:tc>
      </w:tr>
      <w:tr>
        <w:trPr>
          <w:trHeight w:val="222"/>
        </w:trPr>
        <w:tc>
          <w:tcPr>
            <w:tcW w:w="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101.LAB+</w:t>
            </w:r>
          </w:p>
        </w:tc>
        <w:tc>
          <w:tcPr>
            <w:tcW w:w="3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XBRL Taxonomy Extension Labels</w:t>
            </w:r>
          </w:p>
        </w:tc>
        <w:tc>
          <w:tcPr>
            <w:tcW w:w="580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N/A</w:t>
            </w:r>
          </w:p>
        </w:tc>
      </w:tr>
      <w:tr>
        <w:trPr>
          <w:trHeight w:val="49"/>
        </w:trPr>
        <w:tc>
          <w:tcPr>
            <w:tcW w:w="9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5800" w:type="dxa"/>
            <w:vAlign w:val="bottom"/>
          </w:tcPr>
          <w:p>
            <w:pPr>
              <w:spacing w:after="0"/>
              <w:rPr>
                <w:sz w:val="4"/>
                <w:szCs w:val="4"/>
                <w:color w:val="auto"/>
              </w:rPr>
            </w:pPr>
          </w:p>
        </w:tc>
      </w:tr>
      <w:tr>
        <w:trPr>
          <w:trHeight w:val="222"/>
        </w:trPr>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101.PRE+</w:t>
            </w:r>
          </w:p>
        </w:tc>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XBRL Taxonomy Extension Presentation</w:t>
            </w:r>
          </w:p>
        </w:tc>
        <w:tc>
          <w:tcPr>
            <w:tcW w:w="58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N/A</w:t>
            </w:r>
          </w:p>
        </w:tc>
      </w:tr>
      <w:tr>
        <w:trPr>
          <w:trHeight w:val="49"/>
        </w:trPr>
        <w:tc>
          <w:tcPr>
            <w:tcW w:w="920" w:type="dxa"/>
            <w:vAlign w:val="bottom"/>
            <w:shd w:val="clear" w:color="auto" w:fill="CCEEFF"/>
          </w:tcPr>
          <w:p>
            <w:pPr>
              <w:spacing w:after="0"/>
              <w:rPr>
                <w:sz w:val="4"/>
                <w:szCs w:val="4"/>
                <w:color w:val="auto"/>
              </w:rPr>
            </w:pPr>
          </w:p>
        </w:tc>
        <w:tc>
          <w:tcPr>
            <w:tcW w:w="3440" w:type="dxa"/>
            <w:vAlign w:val="bottom"/>
            <w:shd w:val="clear" w:color="auto" w:fill="CCEEFF"/>
          </w:tcPr>
          <w:p>
            <w:pPr>
              <w:spacing w:after="0"/>
              <w:rPr>
                <w:sz w:val="4"/>
                <w:szCs w:val="4"/>
                <w:color w:val="auto"/>
              </w:rPr>
            </w:pPr>
          </w:p>
        </w:tc>
        <w:tc>
          <w:tcPr>
            <w:tcW w:w="5800" w:type="dxa"/>
            <w:vAlign w:val="bottom"/>
            <w:shd w:val="clear" w:color="auto" w:fill="CCEEFF"/>
          </w:tcPr>
          <w:p>
            <w:pPr>
              <w:spacing w:after="0"/>
              <w:rPr>
                <w:sz w:val="4"/>
                <w:szCs w:val="4"/>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485890" cy="46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6485890" cy="46355"/>
                    </a:xfrm>
                    <a:prstGeom prst="rect">
                      <a:avLst/>
                    </a:prstGeom>
                    <a:noFill/>
                  </pic:spPr>
                </pic:pic>
              </a:graphicData>
            </a:graphic>
          </wp:anchor>
        </w:drawing>
      </w:r>
    </w:p>
    <w:p>
      <w:pPr>
        <w:sectPr>
          <w:pgSz w:w="11900" w:h="16838" w:orient="portrait"/>
          <w:cols w:equalWidth="0" w:num="1">
            <w:col w:w="10160"/>
          </w:cols>
          <w:pgMar w:left="1000" w:top="313" w:right="739" w:bottom="1440" w:gutter="0" w:footer="0" w:header="0"/>
        </w:sectPr>
      </w:pPr>
    </w:p>
    <w:bookmarkStart w:id="115" w:name="page116"/>
    <w:bookmarkEnd w:id="115"/>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90"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4"/>
          <w:szCs w:val="14"/>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7620" w:type="dxa"/>
            <w:vAlign w:val="bottom"/>
            <w:gridSpan w:val="2"/>
          </w:tcPr>
          <w:p>
            <w:pPr>
              <w:jc w:val="center"/>
              <w:ind w:right="2468"/>
              <w:spacing w:after="0"/>
              <w:rPr>
                <w:sz w:val="20"/>
                <w:szCs w:val="20"/>
                <w:color w:val="auto"/>
              </w:rPr>
            </w:pPr>
            <w:r>
              <w:rPr>
                <w:rFonts w:ascii="Times New Roman" w:cs="Times New Roman" w:eastAsia="Times New Roman" w:hAnsi="Times New Roman"/>
                <w:sz w:val="20"/>
                <w:szCs w:val="20"/>
                <w:b w:val="1"/>
                <w:bCs w:val="1"/>
                <w:color w:val="auto"/>
              </w:rPr>
              <w:t>READING INTERNATIONAL, INC.</w:t>
            </w:r>
          </w:p>
        </w:tc>
      </w:tr>
      <w:tr>
        <w:trPr>
          <w:trHeight w:val="233"/>
        </w:trPr>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620" w:type="dxa"/>
            <w:vAlign w:val="bottom"/>
            <w:gridSpan w:val="2"/>
          </w:tcPr>
          <w:p>
            <w:pPr>
              <w:jc w:val="center"/>
              <w:ind w:right="2468"/>
              <w:spacing w:after="0"/>
              <w:rPr>
                <w:sz w:val="20"/>
                <w:szCs w:val="20"/>
                <w:color w:val="auto"/>
              </w:rPr>
            </w:pPr>
            <w:r>
              <w:rPr>
                <w:rFonts w:ascii="Times New Roman" w:cs="Times New Roman" w:eastAsia="Times New Roman" w:hAnsi="Times New Roman"/>
                <w:sz w:val="14"/>
                <w:szCs w:val="14"/>
                <w:color w:val="auto"/>
              </w:rPr>
              <w:t>(Registrant)</w:t>
            </w:r>
          </w:p>
        </w:tc>
      </w:tr>
      <w:tr>
        <w:trPr>
          <w:trHeight w:val="392"/>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March 15, 2018</w:t>
            </w:r>
          </w:p>
        </w:tc>
        <w:tc>
          <w:tcPr>
            <w:tcW w:w="762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By:/s/ Devasis Ghose</w:t>
            </w:r>
          </w:p>
        </w:tc>
      </w:tr>
      <w:tr>
        <w:trPr>
          <w:trHeight w:val="170"/>
        </w:trPr>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Devasis Ghose</w:t>
            </w:r>
          </w:p>
        </w:tc>
      </w:tr>
      <w:tr>
        <w:trPr>
          <w:trHeight w:val="189"/>
        </w:trPr>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95"/>
        </w:trPr>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59"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4"/>
          <w:szCs w:val="14"/>
          <w:b w:val="1"/>
          <w:bCs w:val="1"/>
          <w:color w:val="auto"/>
        </w:rPr>
        <w:t>Pursuant to the requirements of the Securities and Exchange Act of 1934, this report has been signed below by the following persons on behalf of Registrant and in capacities and on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440" w:type="dxa"/>
            <w:vAlign w:val="bottom"/>
            <w:gridSpan w:val="3"/>
          </w:tcPr>
          <w:p>
            <w:pPr>
              <w:ind w:left="2920"/>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73"/>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Ellen M. Cotter</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President, Chief Executive Officer and Chairman of the Board and 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Ellen M. Cotter</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Devasis Ghose</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Devasis Ghose</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Steve Lucas</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Vice President, Controller and Chief Accounting Officer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Steve Lucas</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Margaret Cotter</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Vice Chairman of the Board and 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Margaret Cotter</w:t>
            </w:r>
          </w:p>
        </w:tc>
        <w:tc>
          <w:tcPr>
            <w:tcW w:w="2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James J. Cotter</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J. Cotter</w:t>
            </w:r>
          </w:p>
        </w:tc>
        <w:tc>
          <w:tcPr>
            <w:tcW w:w="2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Guy W. Adams</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Guy W. Adams</w:t>
            </w:r>
          </w:p>
        </w:tc>
        <w:tc>
          <w:tcPr>
            <w:tcW w:w="2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William D. Gould</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D. Gould</w:t>
            </w:r>
          </w:p>
        </w:tc>
        <w:tc>
          <w:tcPr>
            <w:tcW w:w="2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Edward L. Kane</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Edward L Kane</w:t>
            </w:r>
          </w:p>
        </w:tc>
        <w:tc>
          <w:tcPr>
            <w:tcW w:w="2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Douglas J. McEachern</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J. McEachern</w:t>
            </w:r>
          </w:p>
        </w:tc>
        <w:tc>
          <w:tcPr>
            <w:tcW w:w="2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Dr. Judy Codding</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Judy Codding</w:t>
            </w:r>
          </w:p>
        </w:tc>
        <w:tc>
          <w:tcPr>
            <w:tcW w:w="2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5"/>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Michael Wrotniak</w:t>
            </w:r>
          </w:p>
        </w:tc>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March 15, 2018</w:t>
            </w:r>
          </w:p>
        </w:tc>
      </w:tr>
      <w:tr>
        <w:trPr>
          <w:trHeight w:val="180"/>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Wrotniak</w:t>
            </w:r>
          </w:p>
        </w:tc>
        <w:tc>
          <w:tcPr>
            <w:tcW w:w="2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799"/>
        </w:trPr>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116</w:t>
            </w:r>
          </w:p>
        </w:tc>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6"/>
        </w:trPr>
        <w:tc>
          <w:tcPr>
            <w:tcW w:w="6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r>
      <w:tr>
        <w:trPr>
          <w:trHeight w:val="20"/>
        </w:trPr>
        <w:tc>
          <w:tcPr>
            <w:tcW w:w="600" w:type="dxa"/>
            <w:vAlign w:val="bottom"/>
            <w:tcBorders>
              <w:bottom w:val="single" w:sz="8" w:color="EEEEEE"/>
            </w:tcBorders>
          </w:tcPr>
          <w:p>
            <w:pPr>
              <w:spacing w:after="0" w:line="20" w:lineRule="exact"/>
              <w:rPr>
                <w:sz w:val="1"/>
                <w:szCs w:val="1"/>
                <w:color w:val="auto"/>
              </w:rPr>
            </w:pPr>
          </w:p>
        </w:tc>
        <w:tc>
          <w:tcPr>
            <w:tcW w:w="186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6445885</wp:posOffset>
            </wp:positionH>
            <wp:positionV relativeFrom="paragraph">
              <wp:posOffset>-33020</wp:posOffset>
            </wp:positionV>
            <wp:extent cx="32385" cy="46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32385" cy="463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10180"/>
          </w:cols>
          <w:pgMar w:left="1000" w:top="432" w:right="7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Nevada Corporation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FF0000"/>
        </w:rPr>
        <w:t>(Amended as of November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492125</wp:posOffset>
            </wp:positionV>
            <wp:extent cx="5990590" cy="46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9"/>
        </w:trPr>
        <w:tc>
          <w:tcPr>
            <w:tcW w:w="7340" w:type="dxa"/>
            <w:vAlign w:val="bottom"/>
          </w:tcPr>
          <w:p>
            <w:pPr>
              <w:ind w:left="37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060" w:type="dxa"/>
            <w:vAlign w:val="bottom"/>
          </w:tcPr>
          <w:p>
            <w:pPr>
              <w:spacing w:after="0"/>
              <w:rPr>
                <w:sz w:val="19"/>
                <w:szCs w:val="19"/>
                <w:color w:val="auto"/>
              </w:rPr>
            </w:pPr>
          </w:p>
        </w:tc>
      </w:tr>
      <w:tr>
        <w:trPr>
          <w:trHeight w:val="347"/>
        </w:trPr>
        <w:tc>
          <w:tcPr>
            <w:tcW w:w="7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Page</w:t>
            </w:r>
          </w:p>
        </w:tc>
      </w:tr>
      <w:tr>
        <w:trPr>
          <w:trHeight w:val="489"/>
        </w:trPr>
        <w:tc>
          <w:tcPr>
            <w:tcW w:w="7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 I STOCKHOLDERS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 Annual Meeting</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2 Special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3 Notice of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4 Place of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5 Stockholder Lists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6 Quorum; Adjourned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7 Voting</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8 Proxies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9 Action Without Meeting</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10 Certain Limitations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95"/>
        </w:trPr>
        <w:tc>
          <w:tcPr>
            <w:tcW w:w="7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 II DIRECTORS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 Management of Corporation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2 Number, Tenure, and Qualifications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3 Chairman and Vice Chairman of the Board</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4 Vacancies; Removal</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5 Annual and Regular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6 First Meeting</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7 Special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8 Business of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9 Quorum; Adjourned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10 Committees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11 Action Without Meeting; Telephone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12 Special Compensation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195"/>
        </w:trPr>
        <w:tc>
          <w:tcPr>
            <w:tcW w:w="7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 III NOTICES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 Notice of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2 Effect of Irregularly Called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3 Waiver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195"/>
        </w:trPr>
        <w:tc>
          <w:tcPr>
            <w:tcW w:w="7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 IV OFFICERS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 Election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2 Chairman and Vice Chairman of the Board</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3 President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4 Vice-President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5 Secretary</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95"/>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6 Assistant Secretaries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7"/>
        </w:trPr>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7 Treasurer</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328"/>
        </w:trPr>
        <w:tc>
          <w:tcPr>
            <w:tcW w:w="73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r>
        <w:trPr>
          <w:trHeight w:val="20"/>
        </w:trPr>
        <w:tc>
          <w:tcPr>
            <w:tcW w:w="7340" w:type="dxa"/>
            <w:vAlign w:val="bottom"/>
            <w:tcBorders>
              <w:bottom w:val="single" w:sz="8" w:color="EEEEEE"/>
            </w:tcBorders>
          </w:tcPr>
          <w:p>
            <w:pPr>
              <w:spacing w:after="0" w:line="20" w:lineRule="exact"/>
              <w:rPr>
                <w:sz w:val="1"/>
                <w:szCs w:val="1"/>
                <w:color w:val="auto"/>
              </w:rPr>
            </w:pPr>
          </w:p>
        </w:tc>
        <w:tc>
          <w:tcPr>
            <w:tcW w:w="20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-33020</wp:posOffset>
            </wp:positionV>
            <wp:extent cx="32385" cy="463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32385" cy="46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400"/>
          </w:cols>
          <w:pgMar w:left="1260" w:top="104" w:right="1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8 Assistant Treasurers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9 Compensation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10 Removal; Resignation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195"/>
        </w:trPr>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 V CAPITAL STOCK</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 Certificates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2 Surrendered; Lost or Destroyed Certificates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3 Regulations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4 Record Date</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5 Registered Owner</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195"/>
        </w:trPr>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 VI GENERAL PROVISIONS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 Registered Office</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2 Checks; Notes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3 Fiscal Year</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4 Stock of Other Corporations or Other Interests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5 Corporate Seal</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6 Annual Statement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7 Dividends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8 Conflicts of Interest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95"/>
        </w:trPr>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 VII INDEMNIFICATION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 Indemnification of Officers and Directors, Employees and Agents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2 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3 Further Bylaws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195"/>
        </w:trPr>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Article VIII AMENDMENTS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195"/>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1 Amendments by Stockholders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7"/>
        </w:trPr>
        <w:tc>
          <w:tcPr>
            <w:tcW w:w="7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Section 2 Amendments by Board of Directors</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924"/>
        </w:trPr>
        <w:tc>
          <w:tcPr>
            <w:tcW w:w="73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r>
        <w:trPr>
          <w:trHeight w:val="20"/>
        </w:trPr>
        <w:tc>
          <w:tcPr>
            <w:tcW w:w="7360" w:type="dxa"/>
            <w:vAlign w:val="bottom"/>
            <w:tcBorders>
              <w:bottom w:val="single" w:sz="8" w:color="EEEEEE"/>
            </w:tcBorders>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-33020</wp:posOffset>
            </wp:positionV>
            <wp:extent cx="32385" cy="46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32385" cy="46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400"/>
          </w:cols>
          <w:pgMar w:left="1260" w:top="399" w:right="1239" w:bottom="1440" w:gutter="0" w:footer="0" w:header="0"/>
        </w:sectPr>
      </w:pPr>
    </w:p>
    <w:bookmarkStart w:id="119" w:name="page120"/>
    <w:bookmarkEnd w:id="119"/>
    <w:p>
      <w:pPr>
        <w:jc w:val="center"/>
        <w:ind w:right="-39"/>
        <w:spacing w:after="0"/>
        <w:rPr>
          <w:sz w:val="20"/>
          <w:szCs w:val="20"/>
          <w:color w:val="auto"/>
        </w:rPr>
      </w:pPr>
      <w:r>
        <w:rPr>
          <w:rFonts w:ascii="Times New Roman" w:cs="Times New Roman" w:eastAsia="Times New Roman" w:hAnsi="Times New Roman"/>
          <w:sz w:val="17"/>
          <w:szCs w:val="17"/>
          <w:color w:val="auto"/>
        </w:rPr>
        <w:t>BYLAWS</w:t>
      </w:r>
      <w:r>
        <w:rPr>
          <w:rFonts w:ascii="Times New Roman" w:cs="Times New Roman" w:eastAsia="Times New Roman" w:hAnsi="Times New Roman"/>
          <w:sz w:val="17"/>
          <w:szCs w:val="17"/>
          <w:color w:val="auto"/>
          <w:vertAlign w:val="superscript"/>
        </w:rPr>
        <w:t>1</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OF</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READING INTERNATIONAL, INC.</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 Nevada Corporation</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STOCKHOLDERS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  Annual Meeting</w:t>
      </w:r>
    </w:p>
    <w:p>
      <w:pPr>
        <w:spacing w:after="0" w:line="152" w:lineRule="exact"/>
        <w:rPr>
          <w:sz w:val="20"/>
          <w:szCs w:val="20"/>
          <w:color w:val="auto"/>
        </w:rPr>
      </w:pPr>
    </w:p>
    <w:p>
      <w:pPr>
        <w:ind w:right="100" w:firstLine="521"/>
        <w:spacing w:after="0" w:line="234" w:lineRule="auto"/>
        <w:rPr>
          <w:sz w:val="20"/>
          <w:szCs w:val="20"/>
          <w:color w:val="auto"/>
        </w:rPr>
      </w:pPr>
      <w:r>
        <w:rPr>
          <w:rFonts w:ascii="Times New Roman" w:cs="Times New Roman" w:eastAsia="Times New Roman" w:hAnsi="Times New Roman"/>
          <w:sz w:val="17"/>
          <w:szCs w:val="17"/>
          <w:color w:val="auto"/>
        </w:rPr>
        <w:t>Annual meetings of the stockholders, commencing with the year 2000, shall be held each year within 150 days of the end of the fiscal year on the third Thursday in May if not a legal holiday, and if a legal holiday, then on the next secular day following at ten o’clock</w:t>
      </w:r>
    </w:p>
    <w:p>
      <w:pPr>
        <w:spacing w:after="0" w:line="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a.m., or such other date and time as may be set by the Board of Directors</w:t>
      </w:r>
      <w:r>
        <w:rPr>
          <w:rFonts w:ascii="Times New Roman" w:cs="Times New Roman" w:eastAsia="Times New Roman" w:hAnsi="Times New Roman"/>
          <w:sz w:val="8"/>
          <w:szCs w:val="8"/>
          <w:color w:val="auto"/>
        </w:rPr>
        <w:t>2</w:t>
      </w:r>
      <w:r>
        <w:rPr>
          <w:rFonts w:ascii="Times New Roman" w:cs="Times New Roman" w:eastAsia="Times New Roman" w:hAnsi="Times New Roman"/>
          <w:sz w:val="17"/>
          <w:szCs w:val="17"/>
          <w:color w:val="auto"/>
        </w:rPr>
        <w:t xml:space="preserve"> from time to time and stated in the notice of the meeting, at which the stockholders shall elect by a plurality vote a Board of Directors and transact such other business as may properly be brought before the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  Special Meetings</w:t>
      </w:r>
    </w:p>
    <w:p>
      <w:pPr>
        <w:spacing w:after="0" w:line="152" w:lineRule="exact"/>
        <w:rPr>
          <w:sz w:val="20"/>
          <w:szCs w:val="20"/>
          <w:color w:val="auto"/>
        </w:rPr>
      </w:pPr>
    </w:p>
    <w:p>
      <w:pPr>
        <w:ind w:right="80" w:firstLine="521"/>
        <w:spacing w:after="0" w:line="226" w:lineRule="auto"/>
        <w:rPr>
          <w:sz w:val="20"/>
          <w:szCs w:val="20"/>
          <w:color w:val="auto"/>
        </w:rPr>
      </w:pPr>
      <w:r>
        <w:rPr>
          <w:rFonts w:ascii="Times New Roman" w:cs="Times New Roman" w:eastAsia="Times New Roman" w:hAnsi="Times New Roman"/>
          <w:sz w:val="17"/>
          <w:szCs w:val="17"/>
          <w:color w:val="auto"/>
        </w:rPr>
        <w:t>Special meetings of the stockholders, for any purpose or purposes, unless otherwise prescribed by statute or by the Articles of Incorporation, may be called by the Chairman or Vice Chairman of the Board or the President, and shall be called by the Chairman, Vice Chairman or President at the written request of a majority of the Board of Directors or at the written request of stockholders owning outstanding shares representing a majority of the voting power of the Corporation. Such request shall state the purpose or purposes of such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  Notice of Meetings</w:t>
      </w:r>
    </w:p>
    <w:p>
      <w:pPr>
        <w:spacing w:after="0" w:line="152" w:lineRule="exact"/>
        <w:rPr>
          <w:sz w:val="20"/>
          <w:szCs w:val="20"/>
          <w:color w:val="auto"/>
        </w:rPr>
      </w:pPr>
    </w:p>
    <w:p>
      <w:pPr>
        <w:ind w:right="20" w:firstLine="521"/>
        <w:spacing w:after="0" w:line="229" w:lineRule="auto"/>
        <w:rPr>
          <w:sz w:val="20"/>
          <w:szCs w:val="20"/>
          <w:color w:val="auto"/>
        </w:rPr>
      </w:pPr>
      <w:r>
        <w:rPr>
          <w:rFonts w:ascii="Times New Roman" w:cs="Times New Roman" w:eastAsia="Times New Roman" w:hAnsi="Times New Roman"/>
          <w:sz w:val="17"/>
          <w:szCs w:val="17"/>
          <w:color w:val="auto"/>
        </w:rPr>
        <w:t>Written notice of stockholders meetings, stating the place, date and hour thereof, and, in the case of a special meeting, the purpose or purposes for which the meeting is called, shall be given to each stockholder entitled to vote thereat at least ten days but not more than sixty days before the date of the meeting, unless a different period is prescribed by statute. Business transacted any special meeting of the stockholders shall be limited to the purpose or purposes stated in the notice.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128" w:lineRule="exact"/>
        <w:rPr>
          <w:sz w:val="20"/>
          <w:szCs w:val="20"/>
          <w:color w:val="auto"/>
        </w:rPr>
      </w:pPr>
    </w:p>
    <w:p>
      <w:pPr>
        <w:ind w:left="80" w:hanging="72"/>
        <w:spacing w:after="0"/>
        <w:tabs>
          <w:tab w:leader="none" w:pos="80" w:val="left"/>
        </w:tabs>
        <w:numPr>
          <w:ilvl w:val="0"/>
          <w:numId w:val="10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3"/>
          <w:szCs w:val="13"/>
          <w:color w:val="auto"/>
        </w:rPr>
        <w:t>These Amended and Restated Bylaws are hereinafter referred to as the Bylaws.</w:t>
      </w:r>
    </w:p>
    <w:p>
      <w:pPr>
        <w:spacing w:after="0" w:line="99" w:lineRule="exact"/>
        <w:rPr>
          <w:sz w:val="20"/>
          <w:szCs w:val="20"/>
          <w:color w:val="auto"/>
        </w:rPr>
      </w:pPr>
    </w:p>
    <w:p>
      <w:pPr>
        <w:ind w:left="80" w:hanging="72"/>
        <w:spacing w:after="0"/>
        <w:tabs>
          <w:tab w:leader="none" w:pos="80" w:val="left"/>
        </w:tabs>
        <w:numPr>
          <w:ilvl w:val="0"/>
          <w:numId w:val="10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3"/>
          <w:szCs w:val="13"/>
          <w:color w:val="auto"/>
        </w:rPr>
        <w:t xml:space="preserve">The </w:t>
      </w:r>
      <w:r>
        <w:rPr>
          <w:rFonts w:ascii="Times New Roman" w:cs="Times New Roman" w:eastAsia="Times New Roman" w:hAnsi="Times New Roman"/>
          <w:sz w:val="13"/>
          <w:szCs w:val="13"/>
          <w:color w:val="FF0000"/>
          <w:strike w:val="1"/>
        </w:rPr>
        <w:t>“</w:t>
      </w:r>
      <w:r>
        <w:rPr>
          <w:rFonts w:ascii="Times New Roman" w:cs="Times New Roman" w:eastAsia="Times New Roman" w:hAnsi="Times New Roman"/>
          <w:sz w:val="13"/>
          <w:szCs w:val="13"/>
          <w:color w:val="auto"/>
        </w:rPr>
        <w:t>Board</w:t>
      </w:r>
      <w:r>
        <w:rPr>
          <w:rFonts w:ascii="Times New Roman" w:cs="Times New Roman" w:eastAsia="Times New Roman" w:hAnsi="Times New Roman"/>
          <w:sz w:val="13"/>
          <w:szCs w:val="13"/>
          <w:color w:val="FF0000"/>
          <w:strike w:val="1"/>
        </w:rPr>
        <w:t>”</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color w:val="FF0000"/>
          <w:strike w:val="1"/>
        </w:rPr>
        <w:t>“</w:t>
      </w:r>
      <w:r>
        <w:rPr>
          <w:rFonts w:ascii="Times New Roman" w:cs="Times New Roman" w:eastAsia="Times New Roman" w:hAnsi="Times New Roman"/>
          <w:sz w:val="13"/>
          <w:szCs w:val="13"/>
          <w:color w:val="auto"/>
        </w:rPr>
        <w:t>Board of Directors</w:t>
      </w:r>
      <w:r>
        <w:rPr>
          <w:rFonts w:ascii="Times New Roman" w:cs="Times New Roman" w:eastAsia="Times New Roman" w:hAnsi="Times New Roman"/>
          <w:sz w:val="13"/>
          <w:szCs w:val="13"/>
          <w:color w:val="FF0000"/>
          <w:strike w:val="1"/>
        </w:rPr>
        <w:t>”</w:t>
      </w:r>
      <w:r>
        <w:rPr>
          <w:rFonts w:ascii="Times New Roman" w:cs="Times New Roman" w:eastAsia="Times New Roman" w:hAnsi="Times New Roman"/>
          <w:sz w:val="13"/>
          <w:szCs w:val="13"/>
          <w:color w:val="auto"/>
        </w:rPr>
        <w:t xml:space="preserve"> are hereinafter used in reference to the Board of Directors of Reading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5990590" cy="463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40"/>
          </w:cols>
          <w:pgMar w:left="1260" w:top="108" w:right="1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b w:val="1"/>
          <w:bCs w:val="1"/>
          <w:color w:val="auto"/>
        </w:rPr>
        <w:t>PLACE OF MEETINGS</w:t>
      </w:r>
    </w:p>
    <w:p>
      <w:pPr>
        <w:spacing w:after="0" w:line="154" w:lineRule="exact"/>
        <w:rPr>
          <w:sz w:val="20"/>
          <w:szCs w:val="20"/>
          <w:color w:val="auto"/>
        </w:rPr>
      </w:pPr>
    </w:p>
    <w:p>
      <w:pPr>
        <w:ind w:right="40" w:firstLine="521"/>
        <w:spacing w:after="0" w:line="226" w:lineRule="auto"/>
        <w:rPr>
          <w:sz w:val="20"/>
          <w:szCs w:val="20"/>
          <w:color w:val="auto"/>
        </w:rPr>
      </w:pPr>
      <w:r>
        <w:rPr>
          <w:rFonts w:ascii="Times New Roman" w:cs="Times New Roman" w:eastAsia="Times New Roman" w:hAnsi="Times New Roman"/>
          <w:sz w:val="17"/>
          <w:szCs w:val="17"/>
          <w:color w:val="auto"/>
        </w:rPr>
        <w:t>All annual meetings of the stockholders shall be held in the County of Los Angeles, State of California, at such place as may be fixed from time to time by the Board of Directors, or at such other place within or without the State of Nevada as the directors shall determine. Special meetings of the stockholders may be held at such time and place within or without the State of Nevada as shall be stated in the notice of the meeting, or in a duly executed waiver of notice thereof. Business transacted at any special meeting of stockholders shall be limited to the purposes stated in the notice.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  Stockholder Lists</w:t>
      </w:r>
    </w:p>
    <w:p>
      <w:pPr>
        <w:spacing w:after="0" w:line="152" w:lineRule="exact"/>
        <w:rPr>
          <w:sz w:val="20"/>
          <w:szCs w:val="20"/>
          <w:color w:val="auto"/>
        </w:rPr>
      </w:pPr>
    </w:p>
    <w:p>
      <w:pPr>
        <w:ind w:firstLine="521"/>
        <w:spacing w:after="0"/>
        <w:rPr>
          <w:sz w:val="20"/>
          <w:szCs w:val="20"/>
          <w:color w:val="auto"/>
        </w:rPr>
      </w:pPr>
      <w:r>
        <w:rPr>
          <w:rFonts w:ascii="Times New Roman" w:cs="Times New Roman" w:eastAsia="Times New Roman" w:hAnsi="Times New Roman"/>
          <w:sz w:val="17"/>
          <w:szCs w:val="17"/>
          <w:color w:val="auto"/>
        </w:rPr>
        <w:t>The officer who has charge of the stock ledger of the Corporation shall prepare and make, not less than ten nor more than sixty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proper purpose germane to the meeting, during ordinary business hours for a period not less than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  Quorum; Adjourned Meetings</w:t>
      </w:r>
    </w:p>
    <w:p>
      <w:pPr>
        <w:spacing w:after="0" w:line="152" w:lineRule="exact"/>
        <w:rPr>
          <w:sz w:val="20"/>
          <w:szCs w:val="20"/>
          <w:color w:val="auto"/>
        </w:rPr>
      </w:pPr>
    </w:p>
    <w:p>
      <w:pPr>
        <w:ind w:right="80" w:firstLine="521"/>
        <w:spacing w:after="0" w:line="220" w:lineRule="auto"/>
        <w:rPr>
          <w:sz w:val="20"/>
          <w:szCs w:val="20"/>
          <w:color w:val="auto"/>
        </w:rPr>
      </w:pPr>
      <w:r>
        <w:rPr>
          <w:rFonts w:ascii="Times New Roman" w:cs="Times New Roman" w:eastAsia="Times New Roman" w:hAnsi="Times New Roman"/>
          <w:sz w:val="17"/>
          <w:szCs w:val="17"/>
          <w:color w:val="auto"/>
        </w:rPr>
        <w:t>The holders of a majority of the stock issued and outstanding and entitled to vote thereat, present in person or represented by proxy, shall constitute a quorum at all meetings of the stockholders for the transaction of business except as otherwise provided by statute or by the Articles of Incorporation. If, however, such quorum shall not be present or represented at any meeting of the stockholders,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7  Voting</w:t>
      </w:r>
    </w:p>
    <w:p>
      <w:pPr>
        <w:spacing w:after="0" w:line="152" w:lineRule="exact"/>
        <w:rPr>
          <w:sz w:val="20"/>
          <w:szCs w:val="20"/>
          <w:color w:val="auto"/>
        </w:rPr>
      </w:pPr>
    </w:p>
    <w:p>
      <w:pPr>
        <w:ind w:right="100" w:firstLine="521"/>
        <w:spacing w:after="0" w:line="223" w:lineRule="auto"/>
        <w:rPr>
          <w:sz w:val="20"/>
          <w:szCs w:val="20"/>
          <w:color w:val="auto"/>
        </w:rPr>
      </w:pPr>
      <w:r>
        <w:rPr>
          <w:rFonts w:ascii="Times New Roman" w:cs="Times New Roman" w:eastAsia="Times New Roman" w:hAnsi="Times New Roman"/>
          <w:sz w:val="17"/>
          <w:szCs w:val="17"/>
          <w:color w:val="auto"/>
        </w:rPr>
        <w:t>Except as otherwise provided by statute or the Articles of Incorporation or these Bylaws, and except for the election of directors, at any meeting duly called and held at which a quorum is present, a majority of the votes cast at such meeting upon a given matter by the holders of outstanding shares of stock of all classes of stock of the Corporation entitled to vote thereon who are present in person or by proxy shall decide such matter. At any meeting duly called and held for the election of directors at which a quorum is present, directors shall be elected by a plurality of the votes cast by the holders (acting as such) of shares of stock of the Corporation entitled to elect such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5990590" cy="463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4" w:right="12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Section 8  Proxies</w:t>
      </w:r>
    </w:p>
    <w:p>
      <w:pPr>
        <w:spacing w:after="0" w:line="150" w:lineRule="exact"/>
        <w:rPr>
          <w:sz w:val="20"/>
          <w:szCs w:val="20"/>
          <w:color w:val="auto"/>
        </w:rPr>
      </w:pPr>
    </w:p>
    <w:p>
      <w:pPr>
        <w:ind w:right="40" w:firstLine="521"/>
        <w:spacing w:after="0" w:line="220" w:lineRule="auto"/>
        <w:rPr>
          <w:sz w:val="20"/>
          <w:szCs w:val="20"/>
          <w:color w:val="auto"/>
        </w:rPr>
      </w:pPr>
      <w:r>
        <w:rPr>
          <w:rFonts w:ascii="Times New Roman" w:cs="Times New Roman" w:eastAsia="Times New Roman" w:hAnsi="Times New Roman"/>
          <w:sz w:val="17"/>
          <w:szCs w:val="17"/>
          <w:color w:val="auto"/>
        </w:rPr>
        <w:t>At any meeting of the stockholders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of the powers conferred by such written instrument upon all of the persons so designated unless the instrument shall otherwise provide. No proxy, proxy revocation or power of attorney to vote shall be used at a meeting of the stockholders unless it shall have been filed with the secretary of the meeting; provided, however, nothing contained herein shall prevent any stockholder from attending any meeting and voting in person. All questions regarding the qualification of voters, the validity of proxies and the acceptance or rejection of votes shall be decided by the inspectors of election who shall be appointed by the Board of Directors, or if not so appointed, then by the presiding officer of the meeting.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  Action Without Meeting</w:t>
      </w:r>
    </w:p>
    <w:p>
      <w:pPr>
        <w:spacing w:after="0" w:line="152" w:lineRule="exact"/>
        <w:rPr>
          <w:sz w:val="20"/>
          <w:szCs w:val="20"/>
          <w:color w:val="auto"/>
        </w:rPr>
      </w:pPr>
    </w:p>
    <w:p>
      <w:pPr>
        <w:ind w:right="100" w:firstLine="521"/>
        <w:spacing w:after="0" w:line="226" w:lineRule="auto"/>
        <w:rPr>
          <w:sz w:val="20"/>
          <w:szCs w:val="20"/>
          <w:color w:val="auto"/>
        </w:rPr>
      </w:pPr>
      <w:r>
        <w:rPr>
          <w:rFonts w:ascii="Times New Roman" w:cs="Times New Roman" w:eastAsia="Times New Roman" w:hAnsi="Times New Roman"/>
          <w:sz w:val="17"/>
          <w:szCs w:val="17"/>
          <w:color w:val="auto"/>
        </w:rPr>
        <w:t>Any action which may be taken by the vote of the stockholders at a meeting may be taken without a meeting if authorized by the written consent of stockholders holding at least a majority of the voting power, unless the provisions of the statutes governing the Corporation or of the Articles of Incorporation require a different proportion of voting power to authorize such action in which case such proportion of written consents shall be required. Prompt notice of the taking of the corporate action without a meeting by less than unanimous written consent shall be given to those stockholders who have not consented in writing.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10  Certain Limitations</w:t>
      </w:r>
    </w:p>
    <w:p>
      <w:pPr>
        <w:spacing w:after="0" w:line="152" w:lineRule="exact"/>
        <w:rPr>
          <w:sz w:val="20"/>
          <w:szCs w:val="20"/>
          <w:color w:val="auto"/>
        </w:rPr>
      </w:pPr>
    </w:p>
    <w:p>
      <w:pPr>
        <w:ind w:right="160" w:firstLine="521"/>
        <w:spacing w:after="0" w:line="229" w:lineRule="auto"/>
        <w:rPr>
          <w:sz w:val="20"/>
          <w:szCs w:val="20"/>
          <w:color w:val="auto"/>
        </w:rPr>
      </w:pPr>
      <w:r>
        <w:rPr>
          <w:rFonts w:ascii="Times New Roman" w:cs="Times New Roman" w:eastAsia="Times New Roman" w:hAnsi="Times New Roman"/>
          <w:sz w:val="17"/>
          <w:szCs w:val="17"/>
          <w:color w:val="auto"/>
        </w:rPr>
        <w:t>The Board of Directors shall not, without the prior approval of the stockholders, adopt any procedures, rules or requirements which restrict a stockholders right to (i) vote, whether in person, by proxy or by written consent; (ii) elect, nominate or remove directors; (iii) call a special meeting; or (iv) to bring new business before the stockholders,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-245110</wp:posOffset>
            </wp:positionV>
            <wp:extent cx="2730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-245110</wp:posOffset>
            </wp:positionV>
            <wp:extent cx="2730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-135255</wp:posOffset>
            </wp:positionV>
            <wp:extent cx="2730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-135255</wp:posOffset>
            </wp:positionV>
            <wp:extent cx="2730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27305" cy="6985"/>
                    </a:xfrm>
                    <a:prstGeom prst="rect">
                      <a:avLst/>
                    </a:prstGeom>
                    <a:noFill/>
                  </pic:spPr>
                </pic:pic>
              </a:graphicData>
            </a:graphic>
          </wp:anchor>
        </w:drawing>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  Management of Corporation</w:t>
      </w:r>
    </w:p>
    <w:p>
      <w:pPr>
        <w:spacing w:after="0" w:line="152" w:lineRule="exact"/>
        <w:rPr>
          <w:sz w:val="20"/>
          <w:szCs w:val="20"/>
          <w:color w:val="auto"/>
        </w:rPr>
      </w:pPr>
    </w:p>
    <w:p>
      <w:pPr>
        <w:ind w:right="20" w:firstLine="521"/>
        <w:spacing w:after="0" w:line="234" w:lineRule="auto"/>
        <w:rPr>
          <w:sz w:val="20"/>
          <w:szCs w:val="20"/>
          <w:color w:val="auto"/>
        </w:rPr>
      </w:pPr>
      <w:r>
        <w:rPr>
          <w:rFonts w:ascii="Times New Roman" w:cs="Times New Roman" w:eastAsia="Times New Roman" w:hAnsi="Times New Roman"/>
          <w:sz w:val="17"/>
          <w:szCs w:val="17"/>
          <w:color w:val="auto"/>
        </w:rPr>
        <w:t>The business of the Corporation shall be managed by its Board of Directors, which may exercise all such powers of the Corporation and do all such lawful acts and things as are not by statute or by the Articles of Incorporation or by these Bylaws directed or required to be exercised or done by the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  Number, Tenure, and Qualifications</w:t>
      </w:r>
    </w:p>
    <w:p>
      <w:pPr>
        <w:spacing w:after="0" w:line="152" w:lineRule="exact"/>
        <w:rPr>
          <w:sz w:val="20"/>
          <w:szCs w:val="20"/>
          <w:color w:val="auto"/>
        </w:rPr>
      </w:pPr>
    </w:p>
    <w:p>
      <w:pPr>
        <w:ind w:firstLine="521"/>
        <w:spacing w:after="0" w:line="229" w:lineRule="auto"/>
        <w:rPr>
          <w:sz w:val="20"/>
          <w:szCs w:val="20"/>
          <w:color w:val="auto"/>
        </w:rPr>
      </w:pPr>
      <w:r>
        <w:rPr>
          <w:rFonts w:ascii="Times New Roman" w:cs="Times New Roman" w:eastAsia="Times New Roman" w:hAnsi="Times New Roman"/>
          <w:sz w:val="17"/>
          <w:szCs w:val="17"/>
          <w:color w:val="auto"/>
        </w:rPr>
        <w:t xml:space="preserve">The number of directors, which shall constitute the whole board, shall be nine (9). </w:t>
      </w:r>
      <w:r>
        <w:rPr>
          <w:rFonts w:ascii="Times New Roman" w:cs="Times New Roman" w:eastAsia="Times New Roman" w:hAnsi="Times New Roman"/>
          <w:sz w:val="17"/>
          <w:szCs w:val="17"/>
          <w:color w:val="FF0000"/>
          <w:strike w:val="1"/>
        </w:rPr>
        <w:t>Thereafter</w:t>
      </w:r>
      <w:r>
        <w:rPr>
          <w:rFonts w:ascii="Times New Roman" w:cs="Times New Roman" w:eastAsia="Times New Roman" w:hAnsi="Times New Roman"/>
          <w:sz w:val="17"/>
          <w:szCs w:val="17"/>
          <w:u w:val="single" w:color="auto"/>
          <w:color w:val="FF0000"/>
        </w:rPr>
        <w:t>After the completion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FF0000"/>
        </w:rPr>
        <w:t>Annual Meeting of Stockholders on November 7, 2017</w:t>
      </w:r>
      <w:r>
        <w:rPr>
          <w:rFonts w:ascii="Times New Roman" w:cs="Times New Roman" w:eastAsia="Times New Roman" w:hAnsi="Times New Roman"/>
          <w:sz w:val="17"/>
          <w:szCs w:val="17"/>
          <w:color w:val="000000"/>
        </w:rPr>
        <w:t>, the number of directors may from time to time be increased or decreased to</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not less than one nor more than ten by action of the Board of Directors. The directors shall be elected by the holders of shares entitled to vote thereon at the annual meeting of </w:t>
      </w:r>
      <w:r>
        <w:rPr>
          <w:rFonts w:ascii="Times New Roman" w:cs="Times New Roman" w:eastAsia="Times New Roman" w:hAnsi="Times New Roman"/>
          <w:sz w:val="17"/>
          <w:szCs w:val="17"/>
          <w:color w:val="FF0000"/>
          <w:strike w:val="1"/>
        </w:rPr>
        <w:t>the</w:t>
      </w:r>
      <w:r>
        <w:rPr>
          <w:rFonts w:ascii="Times New Roman" w:cs="Times New Roman" w:eastAsia="Times New Roman" w:hAnsi="Times New Roman"/>
          <w:sz w:val="17"/>
          <w:szCs w:val="17"/>
          <w:color w:val="000000"/>
        </w:rPr>
        <w:t xml:space="preserve"> stockholders</w:t>
      </w:r>
      <w:r>
        <w:rPr>
          <w:rFonts w:ascii="Times New Roman" w:cs="Times New Roman" w:eastAsia="Times New Roman" w:hAnsi="Times New Roman"/>
          <w:sz w:val="17"/>
          <w:szCs w:val="17"/>
          <w:u w:val="single" w:color="auto"/>
          <w:color w:val="FF0000"/>
        </w:rPr>
        <w:t>,</w:t>
      </w:r>
      <w:r>
        <w:rPr>
          <w:rFonts w:ascii="Times New Roman" w:cs="Times New Roman" w:eastAsia="Times New Roman" w:hAnsi="Times New Roman"/>
          <w:sz w:val="17"/>
          <w:szCs w:val="17"/>
          <w:color w:val="000000"/>
        </w:rPr>
        <w:t xml:space="preserve"> and</w:t>
      </w:r>
      <w:r>
        <w:rPr>
          <w:rFonts w:ascii="Times New Roman" w:cs="Times New Roman" w:eastAsia="Times New Roman" w:hAnsi="Times New Roman"/>
          <w:sz w:val="17"/>
          <w:szCs w:val="17"/>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990590" cy="463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40"/>
          </w:cols>
          <w:pgMar w:left="1260" w:top="108" w:right="1299" w:bottom="1440" w:gutter="0" w:footer="0" w:header="0"/>
        </w:sectPr>
      </w:pPr>
    </w:p>
    <w:bookmarkStart w:id="122" w:name="page123"/>
    <w:bookmarkEnd w:id="122"/>
    <w:p>
      <w:pPr>
        <w:ind w:right="1180"/>
        <w:spacing w:after="0" w:line="249" w:lineRule="auto"/>
        <w:rPr>
          <w:sz w:val="20"/>
          <w:szCs w:val="20"/>
          <w:color w:val="auto"/>
        </w:rPr>
      </w:pPr>
      <w:r>
        <w:rPr>
          <w:rFonts w:ascii="Times New Roman" w:cs="Times New Roman" w:eastAsia="Times New Roman" w:hAnsi="Times New Roman"/>
          <w:sz w:val="17"/>
          <w:szCs w:val="17"/>
          <w:color w:val="auto"/>
        </w:rPr>
        <w:t>except as provided in Section 4 of this Article, each director elected shall hold office until his successor is elected and qualified. Directors need not be stockholders.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  Chairman and Vice Chairman of the Board</w:t>
      </w:r>
    </w:p>
    <w:p>
      <w:pPr>
        <w:spacing w:after="0" w:line="152" w:lineRule="exact"/>
        <w:rPr>
          <w:sz w:val="20"/>
          <w:szCs w:val="20"/>
          <w:color w:val="auto"/>
        </w:rPr>
      </w:pPr>
    </w:p>
    <w:p>
      <w:pPr>
        <w:jc w:val="both"/>
        <w:ind w:right="60" w:firstLine="521"/>
        <w:spacing w:after="0" w:line="229" w:lineRule="auto"/>
        <w:rPr>
          <w:sz w:val="20"/>
          <w:szCs w:val="20"/>
          <w:color w:val="auto"/>
        </w:rPr>
      </w:pPr>
      <w:r>
        <w:rPr>
          <w:rFonts w:ascii="Times New Roman" w:cs="Times New Roman" w:eastAsia="Times New Roman" w:hAnsi="Times New Roman"/>
          <w:sz w:val="17"/>
          <w:szCs w:val="17"/>
          <w:color w:val="auto"/>
        </w:rPr>
        <w:t>The directors may elect one of their members to be Chairman of the Board of Directors and one of their members to be Vice Chairman of the Board of Directors. The Chairman and Vice Chairman shall be subject to the control of and may be removed by the Board of Directors. The Chairman and Vice Chairman shall perform such duties as may from time to time be assigned to them by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  Vacancies; Removal</w:t>
      </w:r>
    </w:p>
    <w:p>
      <w:pPr>
        <w:spacing w:after="0" w:line="152" w:lineRule="exact"/>
        <w:rPr>
          <w:sz w:val="20"/>
          <w:szCs w:val="20"/>
          <w:color w:val="auto"/>
        </w:rPr>
      </w:pPr>
    </w:p>
    <w:p>
      <w:pPr>
        <w:ind w:right="20" w:firstLine="521"/>
        <w:spacing w:after="0" w:line="223" w:lineRule="auto"/>
        <w:rPr>
          <w:sz w:val="20"/>
          <w:szCs w:val="20"/>
          <w:color w:val="auto"/>
        </w:rPr>
      </w:pPr>
      <w:r>
        <w:rPr>
          <w:rFonts w:ascii="Times New Roman" w:cs="Times New Roman" w:eastAsia="Times New Roman" w:hAnsi="Times New Roman"/>
          <w:sz w:val="17"/>
          <w:szCs w:val="17"/>
          <w:color w:val="auto"/>
        </w:rPr>
        <w:t>Vacancies in the Board of Directors, including those caused by an increase in the number of directors, may be filled by a majority of the remaining directors, though less than a quorum, or by a sole remaining director, and each director so elected shall hold office until his successor is elected at an annual or a special meeting of the stockholders. The holders of no less than two-thirds of the outstanding shares of stock entitled to vote may at any time peremptorily terminate the term of office of all or any of the directors by vote at a meeting called for such purpose or by written consent filed with the Secretary or, in his absence, with any other officer. Such removal shall be effective immediately, even if successors are not elected simultaneously.</w:t>
      </w:r>
    </w:p>
    <w:p>
      <w:pPr>
        <w:spacing w:after="0" w:line="125" w:lineRule="exact"/>
        <w:rPr>
          <w:sz w:val="20"/>
          <w:szCs w:val="20"/>
          <w:color w:val="auto"/>
        </w:rPr>
      </w:pPr>
    </w:p>
    <w:p>
      <w:pPr>
        <w:ind w:right="180" w:firstLine="521"/>
        <w:spacing w:after="0" w:line="229" w:lineRule="auto"/>
        <w:rPr>
          <w:sz w:val="20"/>
          <w:szCs w:val="20"/>
          <w:color w:val="auto"/>
        </w:rPr>
      </w:pPr>
      <w:r>
        <w:rPr>
          <w:rFonts w:ascii="Times New Roman" w:cs="Times New Roman" w:eastAsia="Times New Roman" w:hAnsi="Times New Roman"/>
          <w:sz w:val="17"/>
          <w:szCs w:val="17"/>
          <w:color w:val="auto"/>
        </w:rPr>
        <w:t>A vacancy or vacancies in the Board of Directors shall be deemed to exist in case of the death, resignation or removal of any directors, or if the authorized number of directors be increased, or if the stockholders fail at any annual or special meeting of stockholders at which any director or directors are elected to elect the full authorized number of directors to be voted for at that meeting.</w:t>
      </w:r>
    </w:p>
    <w:p>
      <w:pPr>
        <w:spacing w:after="0" w:line="122" w:lineRule="exact"/>
        <w:rPr>
          <w:sz w:val="20"/>
          <w:szCs w:val="20"/>
          <w:color w:val="auto"/>
        </w:rPr>
      </w:pPr>
    </w:p>
    <w:p>
      <w:pPr>
        <w:ind w:right="700" w:firstLine="521"/>
        <w:spacing w:after="0" w:line="251" w:lineRule="auto"/>
        <w:rPr>
          <w:sz w:val="20"/>
          <w:szCs w:val="20"/>
          <w:color w:val="auto"/>
        </w:rPr>
      </w:pPr>
      <w:r>
        <w:rPr>
          <w:rFonts w:ascii="Times New Roman" w:cs="Times New Roman" w:eastAsia="Times New Roman" w:hAnsi="Times New Roman"/>
          <w:sz w:val="17"/>
          <w:szCs w:val="17"/>
          <w:color w:val="auto"/>
        </w:rPr>
        <w:t>If the Board of Directors accepts the resignation of a director tendered to take effect at a future time, the Board or the stockholders shall have power to elect a successor to take office when the resignation is to become effective.</w:t>
      </w:r>
    </w:p>
    <w:p>
      <w:pPr>
        <w:spacing w:after="0" w:line="112" w:lineRule="exact"/>
        <w:rPr>
          <w:sz w:val="20"/>
          <w:szCs w:val="20"/>
          <w:color w:val="auto"/>
        </w:rPr>
      </w:pPr>
    </w:p>
    <w:p>
      <w:pPr>
        <w:ind w:right="80" w:firstLine="521"/>
        <w:spacing w:after="0" w:line="251" w:lineRule="auto"/>
        <w:rPr>
          <w:sz w:val="20"/>
          <w:szCs w:val="20"/>
          <w:color w:val="auto"/>
        </w:rPr>
      </w:pPr>
      <w:r>
        <w:rPr>
          <w:rFonts w:ascii="Times New Roman" w:cs="Times New Roman" w:eastAsia="Times New Roman" w:hAnsi="Times New Roman"/>
          <w:sz w:val="17"/>
          <w:szCs w:val="17"/>
          <w:color w:val="auto"/>
        </w:rPr>
        <w:t>No reduction of the authorized number of directors shall have the effect of removing any director prior to the expiration of his term of office.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  Annual and Regular Meetings</w:t>
      </w:r>
    </w:p>
    <w:p>
      <w:pPr>
        <w:spacing w:after="0" w:line="152" w:lineRule="exact"/>
        <w:rPr>
          <w:sz w:val="20"/>
          <w:szCs w:val="20"/>
          <w:color w:val="auto"/>
        </w:rPr>
      </w:pPr>
    </w:p>
    <w:p>
      <w:pPr>
        <w:ind w:firstLine="521"/>
        <w:spacing w:after="0" w:line="226" w:lineRule="auto"/>
        <w:rPr>
          <w:sz w:val="20"/>
          <w:szCs w:val="20"/>
          <w:color w:val="auto"/>
        </w:rPr>
      </w:pPr>
      <w:r>
        <w:rPr>
          <w:rFonts w:ascii="Times New Roman" w:cs="Times New Roman" w:eastAsia="Times New Roman" w:hAnsi="Times New Roman"/>
          <w:sz w:val="17"/>
          <w:szCs w:val="17"/>
          <w:color w:val="auto"/>
        </w:rPr>
        <w:t>Annual and regular meetings of the Board of Directors shall be held at any place within or without the State of Nevada that has been designated from time to time by resolution of the Board of Directors or by written consent of all members of the Board of Directors. In the absence of such designation, annual and regular meetings shall be held at the registered office of the Corporation. Regular meetings of the Board of Directors may be held without call or notice at such time and at such place as shall from time to time be fixed and determined by the Board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  First Meeting</w:t>
      </w:r>
    </w:p>
    <w:p>
      <w:pPr>
        <w:spacing w:after="0" w:line="152" w:lineRule="exact"/>
        <w:rPr>
          <w:sz w:val="20"/>
          <w:szCs w:val="20"/>
          <w:color w:val="auto"/>
        </w:rPr>
      </w:pPr>
    </w:p>
    <w:p>
      <w:pPr>
        <w:ind w:right="60" w:firstLine="521"/>
        <w:spacing w:after="0" w:line="234" w:lineRule="auto"/>
        <w:rPr>
          <w:sz w:val="20"/>
          <w:szCs w:val="20"/>
          <w:color w:val="auto"/>
        </w:rPr>
      </w:pPr>
      <w:r>
        <w:rPr>
          <w:rFonts w:ascii="Times New Roman" w:cs="Times New Roman" w:eastAsia="Times New Roman" w:hAnsi="Times New Roman"/>
          <w:sz w:val="17"/>
          <w:szCs w:val="17"/>
          <w:color w:val="auto"/>
        </w:rPr>
        <w:t>The first meeting of each newly elected Board of Directors shall be held at such time and place as shall be fixed by the vote of the stockholders at the annual meeting and no notice of such meeting shall be necessary to the directors in order legally to constitute the meeting, provided a quorum is present. In the event of the failure of the stockholders to fix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5990590" cy="46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123" w:name="page124"/>
    <w:bookmarkEnd w:id="123"/>
    <w:p>
      <w:pPr>
        <w:ind w:right="80"/>
        <w:spacing w:after="0" w:line="234" w:lineRule="auto"/>
        <w:rPr>
          <w:sz w:val="20"/>
          <w:szCs w:val="20"/>
          <w:color w:val="auto"/>
        </w:rPr>
      </w:pPr>
      <w:r>
        <w:rPr>
          <w:rFonts w:ascii="Times New Roman" w:cs="Times New Roman" w:eastAsia="Times New Roman" w:hAnsi="Times New Roman"/>
          <w:sz w:val="17"/>
          <w:szCs w:val="17"/>
          <w:color w:val="auto"/>
        </w:rPr>
        <w:t>and place of such first meeting, or in the event such meeting is not so held, the meeting may be held at such time and place as shall be specified in a notice given as hereinafter provided for special meetings of the Board of Directors, or as shall be specified in a written waiver signed by all of the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7  Special Meetings</w:t>
      </w:r>
    </w:p>
    <w:p>
      <w:pPr>
        <w:spacing w:after="0" w:line="152" w:lineRule="exact"/>
        <w:rPr>
          <w:sz w:val="20"/>
          <w:szCs w:val="20"/>
          <w:color w:val="auto"/>
        </w:rPr>
      </w:pPr>
    </w:p>
    <w:p>
      <w:pPr>
        <w:ind w:right="200" w:firstLine="521"/>
        <w:spacing w:after="0" w:line="229" w:lineRule="auto"/>
        <w:rPr>
          <w:sz w:val="20"/>
          <w:szCs w:val="20"/>
          <w:color w:val="auto"/>
        </w:rPr>
      </w:pPr>
      <w:r>
        <w:rPr>
          <w:rFonts w:ascii="Times New Roman" w:cs="Times New Roman" w:eastAsia="Times New Roman" w:hAnsi="Times New Roman"/>
          <w:sz w:val="17"/>
          <w:szCs w:val="17"/>
          <w:color w:val="auto"/>
        </w:rPr>
        <w:t>Special meetings of the Board of Directors may be called by the Chairman or Vice Chairman of the Board or the President upon notice to each director, either personally or by mail or by telegram. Upon the written request of a majority of the directors, the Chairman or Vice Chairman of the Board or the President shall call a special meeting of the Board to be held within two days of the receipt of such request and shall provide notice thereof to each director, either personally or by mail or by telegram.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8  Business of Meetings</w:t>
      </w:r>
    </w:p>
    <w:p>
      <w:pPr>
        <w:spacing w:after="0" w:line="152" w:lineRule="exact"/>
        <w:rPr>
          <w:sz w:val="20"/>
          <w:szCs w:val="20"/>
          <w:color w:val="auto"/>
        </w:rPr>
      </w:pPr>
    </w:p>
    <w:p>
      <w:pPr>
        <w:ind w:right="40" w:firstLine="521"/>
        <w:spacing w:after="0" w:line="229" w:lineRule="auto"/>
        <w:rPr>
          <w:sz w:val="20"/>
          <w:szCs w:val="20"/>
          <w:color w:val="auto"/>
        </w:rPr>
      </w:pPr>
      <w:r>
        <w:rPr>
          <w:rFonts w:ascii="Times New Roman" w:cs="Times New Roman" w:eastAsia="Times New Roman" w:hAnsi="Times New Roman"/>
          <w:sz w:val="17"/>
          <w:szCs w:val="17"/>
          <w:color w:val="auto"/>
        </w:rPr>
        <w:t>The transactions of any meeting of the Board of Directors, however called and noticed or wherever held, shall be as valid as though had at a meeting duly held after regular call and notice, if a quorum be present, and if, either before or after the meeting, each of the directors not present signs a written waiver of notice, or a consent to holding such meeting, or an approval of the minutes thereof. All such waivers, consents or approvals shall be filed with the corporate records or made a part of the minutes of the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  Quorum; Adjourned Meetings</w:t>
      </w:r>
    </w:p>
    <w:p>
      <w:pPr>
        <w:spacing w:after="0" w:line="152" w:lineRule="exact"/>
        <w:rPr>
          <w:sz w:val="20"/>
          <w:szCs w:val="20"/>
          <w:color w:val="auto"/>
        </w:rPr>
      </w:pPr>
    </w:p>
    <w:p>
      <w:pPr>
        <w:ind w:right="60" w:firstLine="521"/>
        <w:spacing w:after="0" w:line="223" w:lineRule="auto"/>
        <w:rPr>
          <w:sz w:val="20"/>
          <w:szCs w:val="20"/>
          <w:color w:val="auto"/>
        </w:rPr>
      </w:pPr>
      <w:r>
        <w:rPr>
          <w:rFonts w:ascii="Times New Roman" w:cs="Times New Roman" w:eastAsia="Times New Roman" w:hAnsi="Times New Roman"/>
          <w:sz w:val="17"/>
          <w:szCs w:val="17"/>
          <w:color w:val="auto"/>
        </w:rPr>
        <w:t>A majority of the authorized number of directors shall constitute a quorum for the transaction of business, except to adjourn as hereinafter provided. Every act or decision done or made by a majority of the directors present at a meeting duly held at which a quorum is present shall be regarded as the act of the Board of Directors, unless a greater number is required by law or by the Articles of Incorporation. Any action of a majority, although not at a regularly called meeting, and the record thereof, if assented to in writing by all of the other members of the Board shall be as valid and effective in all respects as if passed by the Board of Directors in a regular meeting.</w:t>
      </w:r>
    </w:p>
    <w:p>
      <w:pPr>
        <w:spacing w:after="0" w:line="125" w:lineRule="exact"/>
        <w:rPr>
          <w:sz w:val="20"/>
          <w:szCs w:val="20"/>
          <w:color w:val="auto"/>
        </w:rPr>
      </w:pPr>
    </w:p>
    <w:p>
      <w:pPr>
        <w:jc w:val="both"/>
        <w:ind w:firstLine="521"/>
        <w:spacing w:after="0" w:line="234" w:lineRule="auto"/>
        <w:rPr>
          <w:sz w:val="20"/>
          <w:szCs w:val="20"/>
          <w:color w:val="auto"/>
        </w:rPr>
      </w:pPr>
      <w:r>
        <w:rPr>
          <w:rFonts w:ascii="Times New Roman" w:cs="Times New Roman" w:eastAsia="Times New Roman" w:hAnsi="Times New Roman"/>
          <w:sz w:val="17"/>
          <w:szCs w:val="17"/>
          <w:color w:val="auto"/>
        </w:rPr>
        <w:t>A quorum of the directors may adjourn any directors meeting to meet again at a stated day and hour; provided, however, that in the absence of a quorum, a majority of the directors present at any directors’ meeting, either regular or special, may adjourn from time to time, without notice other than announcement at the meeting, until a quorum is present.</w:t>
      </w:r>
    </w:p>
    <w:p>
      <w:pPr>
        <w:spacing w:after="0" w:line="122" w:lineRule="exact"/>
        <w:rPr>
          <w:sz w:val="20"/>
          <w:szCs w:val="20"/>
          <w:color w:val="auto"/>
        </w:rPr>
      </w:pPr>
    </w:p>
    <w:p>
      <w:pPr>
        <w:jc w:val="both"/>
        <w:ind w:right="20" w:firstLine="521"/>
        <w:spacing w:after="0" w:line="251" w:lineRule="auto"/>
        <w:rPr>
          <w:sz w:val="20"/>
          <w:szCs w:val="20"/>
          <w:color w:val="auto"/>
        </w:rPr>
      </w:pPr>
      <w:r>
        <w:rPr>
          <w:rFonts w:ascii="Times New Roman" w:cs="Times New Roman" w:eastAsia="Times New Roman" w:hAnsi="Times New Roman"/>
          <w:sz w:val="17"/>
          <w:szCs w:val="17"/>
          <w:color w:val="auto"/>
        </w:rPr>
        <w:t>Notice of the time and place of holding an adjourned meeting need not be given to the absent directors if the time and place are fixed at the meeting adjourned.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10  Committees</w:t>
      </w:r>
    </w:p>
    <w:p>
      <w:pPr>
        <w:spacing w:after="0" w:line="152" w:lineRule="exact"/>
        <w:rPr>
          <w:sz w:val="20"/>
          <w:szCs w:val="20"/>
          <w:color w:val="auto"/>
        </w:rPr>
      </w:pPr>
    </w:p>
    <w:p>
      <w:pPr>
        <w:ind w:right="60" w:firstLine="521"/>
        <w:spacing w:after="0" w:line="226" w:lineRule="auto"/>
        <w:rPr>
          <w:sz w:val="20"/>
          <w:szCs w:val="20"/>
          <w:color w:val="auto"/>
        </w:rPr>
      </w:pPr>
      <w:r>
        <w:rPr>
          <w:rFonts w:ascii="Times New Roman" w:cs="Times New Roman" w:eastAsia="Times New Roman" w:hAnsi="Times New Roman"/>
          <w:sz w:val="17"/>
          <w:szCs w:val="17"/>
          <w:color w:val="auto"/>
        </w:rPr>
        <w:t>The Board of Directors may, by resolution adopted by a majority of the whole Board, designate one or more committees of the Board of Directors, each committee to consist of at least one or more directors of the Corporation which, to the extent provided in the resolution, shall have and may exercise the power of the Board of Directors in the management of the business and affairs of the Corporation and may have power to authorize the seal of the Corporation to be affixed to all papers which may require it; but no such committee shall have the power to amend the Articles of Incorporation, to adopt an agreement or plan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990590" cy="46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4" w:name="page125"/>
    <w:bookmarkEnd w:id="124"/>
    <w:p>
      <w:pPr>
        <w:spacing w:after="0" w:line="219" w:lineRule="auto"/>
        <w:rPr>
          <w:sz w:val="20"/>
          <w:szCs w:val="20"/>
          <w:color w:val="auto"/>
        </w:rPr>
      </w:pPr>
      <w:r>
        <w:rPr>
          <w:rFonts w:ascii="Times New Roman" w:cs="Times New Roman" w:eastAsia="Times New Roman" w:hAnsi="Times New Roman"/>
          <w:sz w:val="17"/>
          <w:szCs w:val="17"/>
          <w:color w:val="auto"/>
        </w:rPr>
        <w:t>merger or consolidation, to recommend to the stockholders a sale, lease or exchange of all or substantially all of the Corporation’s assets, to recommend to the stockholders dissolution or revocation of dissolution, or to amend these Bylaws, and, unless the resolution or the Articles of Incorporation expressly so provide, no such committee shall have the power or authority to declare a dividend or to authorize the issuance of stock. Such committee or committees shall have such name or names as may be determined from time to time by the Board of Directors. The Board may designate one or more directors as alternate members of any committee, who may replace any absent or disqualified member at any meeting of the committee. The members of any such committee present at any meeting and not disqualified from voting may, whether or not they constitute a quorum, unanimously appoint another member of the Board of Directors to act at the meeting in the place of any absent or disqualified member. At meetings of such committees, a majority of the members or alternate members shall constitute a quorum for the transaction of business, and the act of a majority of the members or alternate members at any meeting at which there is a quorum shall be the act of the committee.</w:t>
      </w:r>
    </w:p>
    <w:p>
      <w:pPr>
        <w:spacing w:after="0" w:line="124" w:lineRule="exact"/>
        <w:rPr>
          <w:sz w:val="20"/>
          <w:szCs w:val="20"/>
          <w:color w:val="auto"/>
        </w:rPr>
      </w:pPr>
    </w:p>
    <w:p>
      <w:pPr>
        <w:ind w:right="140" w:firstLine="521"/>
        <w:spacing w:after="0" w:line="251" w:lineRule="auto"/>
        <w:rPr>
          <w:sz w:val="20"/>
          <w:szCs w:val="20"/>
          <w:color w:val="auto"/>
        </w:rPr>
      </w:pPr>
      <w:r>
        <w:rPr>
          <w:rFonts w:ascii="Times New Roman" w:cs="Times New Roman" w:eastAsia="Times New Roman" w:hAnsi="Times New Roman"/>
          <w:sz w:val="17"/>
          <w:szCs w:val="17"/>
          <w:color w:val="auto"/>
        </w:rPr>
        <w:t>The committees, if required by the Board, shall keep regular minutes of their proceedings and report the same to the Board of Directors.</w:t>
      </w:r>
    </w:p>
    <w:p>
      <w:pPr>
        <w:spacing w:after="0" w:line="1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Section 11</w:t>
        <w:tab/>
        <w:t>Action Without Meeting; Telephone Meetings</w:t>
      </w:r>
    </w:p>
    <w:p>
      <w:pPr>
        <w:spacing w:after="0" w:line="152" w:lineRule="exact"/>
        <w:rPr>
          <w:sz w:val="20"/>
          <w:szCs w:val="20"/>
          <w:color w:val="auto"/>
        </w:rPr>
      </w:pPr>
    </w:p>
    <w:p>
      <w:pPr>
        <w:ind w:right="240" w:firstLine="521"/>
        <w:spacing w:after="0" w:line="234" w:lineRule="auto"/>
        <w:rPr>
          <w:sz w:val="20"/>
          <w:szCs w:val="20"/>
          <w:color w:val="auto"/>
        </w:rPr>
      </w:pPr>
      <w:r>
        <w:rPr>
          <w:rFonts w:ascii="Times New Roman" w:cs="Times New Roman" w:eastAsia="Times New Roman" w:hAnsi="Times New Roman"/>
          <w:sz w:val="17"/>
          <w:szCs w:val="17"/>
          <w:color w:val="auto"/>
        </w:rPr>
        <w:t>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or committee.</w:t>
      </w:r>
    </w:p>
    <w:p>
      <w:pPr>
        <w:spacing w:after="0" w:line="122" w:lineRule="exact"/>
        <w:rPr>
          <w:sz w:val="20"/>
          <w:szCs w:val="20"/>
          <w:color w:val="auto"/>
        </w:rPr>
      </w:pPr>
    </w:p>
    <w:p>
      <w:pPr>
        <w:ind w:right="20" w:firstLine="521"/>
        <w:spacing w:after="0" w:line="234" w:lineRule="auto"/>
        <w:rPr>
          <w:sz w:val="20"/>
          <w:szCs w:val="20"/>
          <w:color w:val="auto"/>
        </w:rPr>
      </w:pPr>
      <w:r>
        <w:rPr>
          <w:rFonts w:ascii="Times New Roman" w:cs="Times New Roman" w:eastAsia="Times New Roman" w:hAnsi="Times New Roman"/>
          <w:sz w:val="17"/>
          <w:szCs w:val="17"/>
          <w:color w:val="auto"/>
        </w:rPr>
        <w:t>Nothing contained in these Bylaws shall be deemed to restrict the powers of members of the Board of Directors, or any committee thereof, to participate in a meeting of the Board or committee by means of telephone conference or similar communications equipment whereby all persons participating in the meeting can hear each other.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  Special Compensation</w:t>
      </w:r>
    </w:p>
    <w:p>
      <w:pPr>
        <w:spacing w:after="0" w:line="152" w:lineRule="exact"/>
        <w:rPr>
          <w:sz w:val="20"/>
          <w:szCs w:val="20"/>
          <w:color w:val="auto"/>
        </w:rPr>
      </w:pPr>
    </w:p>
    <w:p>
      <w:pPr>
        <w:ind w:right="80" w:firstLine="521"/>
        <w:spacing w:after="0" w:line="229" w:lineRule="auto"/>
        <w:rPr>
          <w:sz w:val="20"/>
          <w:szCs w:val="20"/>
          <w:color w:val="auto"/>
        </w:rPr>
      </w:pPr>
      <w:r>
        <w:rPr>
          <w:rFonts w:ascii="Times New Roman" w:cs="Times New Roman" w:eastAsia="Times New Roman" w:hAnsi="Times New Roman"/>
          <w:sz w:val="17"/>
          <w:szCs w:val="17"/>
          <w:color w:val="auto"/>
        </w:rPr>
        <w:t>The directors may be paid their expenses of attendance at each meeting of the Board of Directors and may be paid a fixed sum for attendance at each meeting of the Board of Directors or a stated salary as director as fixed by the Board of Directors. No such payment shall preclude any director from serving the Corporation in any other capacity and receiving compensation therefor. Members of committees may be allowed like reimbursement and compensation for attending committee meetings.</w:t>
      </w:r>
    </w:p>
    <w:p>
      <w:pPr>
        <w:spacing w:after="0" w:line="1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  Notice of Meetings</w:t>
      </w:r>
    </w:p>
    <w:p>
      <w:pPr>
        <w:spacing w:after="0" w:line="152" w:lineRule="exact"/>
        <w:rPr>
          <w:sz w:val="20"/>
          <w:szCs w:val="20"/>
          <w:color w:val="auto"/>
        </w:rPr>
      </w:pPr>
    </w:p>
    <w:p>
      <w:pPr>
        <w:ind w:right="260" w:firstLine="521"/>
        <w:spacing w:after="0" w:line="229" w:lineRule="auto"/>
        <w:rPr>
          <w:sz w:val="20"/>
          <w:szCs w:val="20"/>
          <w:color w:val="auto"/>
        </w:rPr>
      </w:pPr>
      <w:r>
        <w:rPr>
          <w:rFonts w:ascii="Times New Roman" w:cs="Times New Roman" w:eastAsia="Times New Roman" w:hAnsi="Times New Roman"/>
          <w:sz w:val="17"/>
          <w:szCs w:val="17"/>
          <w:color w:val="auto"/>
        </w:rPr>
        <w:t>Whenever, under the provisions of the Articles of Incorporation or applicable law or these Bylaws, notice is required to be given to any director or stockholder, it shall not be construed to mean personal notice, but such notice may be given in writing, by mail, addressed to such director or stockholders, at his address as it appears on the records of the Corporation, postage prepaid, and such notice shall be deemed to be given at the time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990590" cy="46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color w:val="auto"/>
        </w:rPr>
        <w:t>the same shall be deposited in the United States mail. Notice to directors may also be given by telegram.</w:t>
      </w:r>
    </w:p>
    <w:p>
      <w:pPr>
        <w:spacing w:after="0" w:line="150" w:lineRule="exact"/>
        <w:rPr>
          <w:sz w:val="20"/>
          <w:szCs w:val="20"/>
          <w:color w:val="auto"/>
        </w:rPr>
      </w:pPr>
    </w:p>
    <w:p>
      <w:pPr>
        <w:ind w:right="40" w:firstLine="521"/>
        <w:spacing w:after="0" w:line="223" w:lineRule="auto"/>
        <w:rPr>
          <w:sz w:val="20"/>
          <w:szCs w:val="20"/>
          <w:color w:val="auto"/>
        </w:rPr>
      </w:pPr>
      <w:r>
        <w:rPr>
          <w:rFonts w:ascii="Times New Roman" w:cs="Times New Roman" w:eastAsia="Times New Roman" w:hAnsi="Times New Roman"/>
          <w:sz w:val="17"/>
          <w:szCs w:val="17"/>
          <w:color w:val="auto"/>
        </w:rPr>
        <w:t>Notices of meetings of stockholders shall be in writing and signed by the President or a Vice-President or the Secretary or an Assistant Secretary or by such other person or persons as the directors shall designate. Such notice shall state the purpose or purposes for which the meeting is called and the time and the place, which may be within or without this State, where it is to be held. Personal delivery of any notice to any officer of a corporation or association, or to any member of a partnership, shall constitute delivery of such notice to such corporation, association or partnership. In the event of the transfer of stock after delivery of such notice of and prior to the holding of the meeting it shall not be necessary to deliver or mail notice of the meeting to the transferee.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  Effect of Irregularly Called Meetings</w:t>
      </w:r>
    </w:p>
    <w:p>
      <w:pPr>
        <w:spacing w:after="0" w:line="152" w:lineRule="exact"/>
        <w:rPr>
          <w:sz w:val="20"/>
          <w:szCs w:val="20"/>
          <w:color w:val="auto"/>
        </w:rPr>
      </w:pPr>
    </w:p>
    <w:p>
      <w:pPr>
        <w:ind w:firstLine="521"/>
        <w:spacing w:after="0"/>
        <w:rPr>
          <w:sz w:val="20"/>
          <w:szCs w:val="20"/>
          <w:color w:val="auto"/>
        </w:rPr>
      </w:pPr>
      <w:r>
        <w:rPr>
          <w:rFonts w:ascii="Times New Roman" w:cs="Times New Roman" w:eastAsia="Times New Roman" w:hAnsi="Times New Roman"/>
          <w:sz w:val="17"/>
          <w:szCs w:val="17"/>
          <w:color w:val="auto"/>
        </w:rPr>
        <w:t>Whenever all parties entitled to vote at any meeting, whether of directors or stockholders, consent, either by a writing on the records of the meeting or filed with the secretary, or by presence at such meeting and oral consent entered on the minutes, or by taking part in the deliberations at such meeting without objection, the doings of such meeting shall be as valid as if had at a meeting regularly called and noticed, and at such meeting any business may be transacted which is not excepted from the written consent or to the consideration of which no objection for want of notice is made at the time, and if any meeting be irregular for want of notice or of such consent, provided a quorum was present at such meeting, the proceedings of said meeting may be ratified and approved and rendered likewise valid and the irregularity or defect therein waived by a writing signed by all parties having the right to vote at such meeting; and such consent or approval of stockholders may be by proxy or attorney, but all such proxies and powers of attorney must be in writing.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  Waiver of Notice</w:t>
      </w:r>
    </w:p>
    <w:p>
      <w:pPr>
        <w:spacing w:after="0" w:line="152" w:lineRule="exact"/>
        <w:rPr>
          <w:sz w:val="20"/>
          <w:szCs w:val="20"/>
          <w:color w:val="auto"/>
        </w:rPr>
      </w:pPr>
    </w:p>
    <w:p>
      <w:pPr>
        <w:jc w:val="both"/>
        <w:ind w:right="360" w:firstLine="521"/>
        <w:spacing w:after="0" w:line="234" w:lineRule="auto"/>
        <w:rPr>
          <w:sz w:val="20"/>
          <w:szCs w:val="20"/>
          <w:color w:val="auto"/>
        </w:rPr>
      </w:pPr>
      <w:r>
        <w:rPr>
          <w:rFonts w:ascii="Times New Roman" w:cs="Times New Roman" w:eastAsia="Times New Roman" w:hAnsi="Times New Roman"/>
          <w:sz w:val="17"/>
          <w:szCs w:val="17"/>
          <w:color w:val="auto"/>
        </w:rPr>
        <w:t>Whenever any notice whatever is required to be given under the provisions of the statutes, the Articles of Incorporation or these Bylaws, a waiver thereof in writing, signed by the person or persons entitled to said notice, whether before or after the time stated therein, shall be deemed equivalent thereto.</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  Election</w:t>
      </w:r>
    </w:p>
    <w:p>
      <w:pPr>
        <w:spacing w:after="0" w:line="152" w:lineRule="exact"/>
        <w:rPr>
          <w:sz w:val="20"/>
          <w:szCs w:val="20"/>
          <w:color w:val="auto"/>
        </w:rPr>
      </w:pPr>
    </w:p>
    <w:p>
      <w:pPr>
        <w:ind w:right="20" w:firstLine="521"/>
        <w:spacing w:after="0" w:line="222" w:lineRule="auto"/>
        <w:rPr>
          <w:sz w:val="20"/>
          <w:szCs w:val="20"/>
          <w:color w:val="auto"/>
        </w:rPr>
      </w:pPr>
      <w:r>
        <w:rPr>
          <w:rFonts w:ascii="Times New Roman" w:cs="Times New Roman" w:eastAsia="Times New Roman" w:hAnsi="Times New Roman"/>
          <w:sz w:val="17"/>
          <w:szCs w:val="17"/>
          <w:color w:val="auto"/>
        </w:rPr>
        <w:t>The officers of the Corporation shall be elected annually at the first meeting by the Board of Directors held after each annual meeting of the stockholders and shall be a President, one or more Vice Presidents, a Treasurer and a Secretary, and such other officers with such titles and duties as the Board of Directors may determine, none of whom need be directors. The President shall be the Chief Executive Officer, unless the Board designates the Chairman of the Board as Chief Executive Officer. Any person may hold one or more offices and each officer shall hold office until his successor shall have been duly elected and qualified or until his death or until he shall resign or is removed in the manner as hereinafter provided for such term as may be prescribed by the Board of Directors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5990590" cy="463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color w:val="auto"/>
        </w:rPr>
        <w:t>Section 2  Chairman and Vice Chairman of the Board</w:t>
      </w:r>
    </w:p>
    <w:p>
      <w:pPr>
        <w:spacing w:after="0" w:line="150" w:lineRule="exact"/>
        <w:rPr>
          <w:sz w:val="20"/>
          <w:szCs w:val="20"/>
          <w:color w:val="auto"/>
        </w:rPr>
      </w:pPr>
    </w:p>
    <w:p>
      <w:pPr>
        <w:ind w:right="140" w:firstLine="521"/>
        <w:spacing w:after="0" w:line="229" w:lineRule="auto"/>
        <w:rPr>
          <w:sz w:val="20"/>
          <w:szCs w:val="20"/>
          <w:color w:val="auto"/>
        </w:rPr>
      </w:pPr>
      <w:r>
        <w:rPr>
          <w:rFonts w:ascii="Times New Roman" w:cs="Times New Roman" w:eastAsia="Times New Roman" w:hAnsi="Times New Roman"/>
          <w:sz w:val="17"/>
          <w:szCs w:val="17"/>
          <w:color w:val="auto"/>
        </w:rPr>
        <w:t>The Board of Directors at its first annual meeting after each annual meeting of the stockholders may choose a Chairman and Vice Chairman of the Board from among the directors of the Corporation. The Chairman of the Board, and in his absence the Vice Chairman, shall preside at meetings of the stockholders and the Board of Directors and shall see that all orders and resolutions of the Board of Directors are carried into effect.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  President</w:t>
      </w:r>
    </w:p>
    <w:p>
      <w:pPr>
        <w:spacing w:after="0" w:line="152" w:lineRule="exact"/>
        <w:rPr>
          <w:sz w:val="20"/>
          <w:szCs w:val="20"/>
          <w:color w:val="auto"/>
        </w:rPr>
      </w:pPr>
    </w:p>
    <w:p>
      <w:pPr>
        <w:jc w:val="both"/>
        <w:ind w:right="40" w:firstLine="521"/>
        <w:spacing w:after="0" w:line="229" w:lineRule="auto"/>
        <w:rPr>
          <w:sz w:val="20"/>
          <w:szCs w:val="20"/>
          <w:color w:val="auto"/>
        </w:rPr>
      </w:pPr>
      <w:r>
        <w:rPr>
          <w:rFonts w:ascii="Times New Roman" w:cs="Times New Roman" w:eastAsia="Times New Roman" w:hAnsi="Times New Roman"/>
          <w:sz w:val="17"/>
          <w:szCs w:val="17"/>
          <w:color w:val="auto"/>
        </w:rPr>
        <w:t>The President shall be the chief operating officer of the Corporation, shall also be a director and shall have active management of the business of the Corporation. The President shall execute on behalf of the Corporation all instruments requiring such execution except to the extent the signing and execution thereof shall be expressly designated by the Board of Directors to some other officer or agent of the Corporation.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  Vice-President</w:t>
      </w:r>
    </w:p>
    <w:p>
      <w:pPr>
        <w:spacing w:after="0" w:line="152" w:lineRule="exact"/>
        <w:rPr>
          <w:sz w:val="20"/>
          <w:szCs w:val="20"/>
          <w:color w:val="auto"/>
        </w:rPr>
      </w:pPr>
    </w:p>
    <w:p>
      <w:pPr>
        <w:ind w:right="20" w:firstLine="521"/>
        <w:spacing w:after="0" w:line="226" w:lineRule="auto"/>
        <w:rPr>
          <w:sz w:val="20"/>
          <w:szCs w:val="20"/>
          <w:color w:val="auto"/>
        </w:rPr>
      </w:pPr>
      <w:r>
        <w:rPr>
          <w:rFonts w:ascii="Times New Roman" w:cs="Times New Roman" w:eastAsia="Times New Roman" w:hAnsi="Times New Roman"/>
          <w:sz w:val="17"/>
          <w:szCs w:val="17"/>
          <w:color w:val="auto"/>
        </w:rPr>
        <w:t>The Vice-President shall act under the direction of the President and in the absence or disability of the President shall perform the duties and exercise the powers of the President. The Vice-President shall perform such other duties and have such other powers as the President or the Board of Directors may from time to time prescribe. The Board of Directors may designate one or more Executive Vice-Presidents or may otherwise specify the order of seniority of the Vice- Presidents. The duties and powers of the President shall descend to the Vice-Presidents in such specified order of seniority.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  Secretary</w:t>
      </w:r>
    </w:p>
    <w:p>
      <w:pPr>
        <w:spacing w:after="0" w:line="152" w:lineRule="exact"/>
        <w:rPr>
          <w:sz w:val="20"/>
          <w:szCs w:val="20"/>
          <w:color w:val="auto"/>
        </w:rPr>
      </w:pPr>
    </w:p>
    <w:p>
      <w:pPr>
        <w:ind w:firstLine="521"/>
        <w:spacing w:after="0" w:line="226" w:lineRule="auto"/>
        <w:rPr>
          <w:sz w:val="20"/>
          <w:szCs w:val="20"/>
          <w:color w:val="auto"/>
        </w:rPr>
      </w:pPr>
      <w:r>
        <w:rPr>
          <w:rFonts w:ascii="Times New Roman" w:cs="Times New Roman" w:eastAsia="Times New Roman" w:hAnsi="Times New Roman"/>
          <w:sz w:val="17"/>
          <w:szCs w:val="17"/>
          <w:color w:val="auto"/>
        </w:rPr>
        <w:t>The Secretary shall act under the direction of the President. Subject to the direction of the President, the Secretary shall attend all meetings of the Board of Directors and all meetings of the stockholders and record the proceedings. The Secretary shall perform like duties for the standing committees when required. The Secretary shall give, or cause to be given, notice of all meetings of the stockholders and special meetings of the Board of Directors, and shall perform such other duties as may be prescribed by the President or the Board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  Assistant Secretaries</w:t>
      </w:r>
    </w:p>
    <w:p>
      <w:pPr>
        <w:spacing w:after="0" w:line="152" w:lineRule="exact"/>
        <w:rPr>
          <w:sz w:val="20"/>
          <w:szCs w:val="20"/>
          <w:color w:val="auto"/>
        </w:rPr>
      </w:pPr>
    </w:p>
    <w:p>
      <w:pPr>
        <w:ind w:right="40" w:firstLine="521"/>
        <w:spacing w:after="0" w:line="229" w:lineRule="auto"/>
        <w:rPr>
          <w:sz w:val="20"/>
          <w:szCs w:val="20"/>
          <w:color w:val="auto"/>
        </w:rPr>
      </w:pPr>
      <w:r>
        <w:rPr>
          <w:rFonts w:ascii="Times New Roman" w:cs="Times New Roman" w:eastAsia="Times New Roman" w:hAnsi="Times New Roman"/>
          <w:sz w:val="17"/>
          <w:szCs w:val="17"/>
          <w:color w:val="auto"/>
        </w:rPr>
        <w:t>The Assistant Secretaries shall act under the direction of the President. In order of their seniority, unless otherwise determined by the President or the Board of Directors, they shall, in the absence or disability of the Secretary, perform the duties and exercise the powers of the Secretary. They shall perform such other duties and have such other powers as the President or the Board of Directors may from time to time prescribe.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7  Treasurer</w:t>
      </w:r>
    </w:p>
    <w:p>
      <w:pPr>
        <w:spacing w:after="0" w:line="152" w:lineRule="exact"/>
        <w:rPr>
          <w:sz w:val="20"/>
          <w:szCs w:val="20"/>
          <w:color w:val="auto"/>
        </w:rPr>
      </w:pPr>
    </w:p>
    <w:p>
      <w:pPr>
        <w:ind w:right="20" w:firstLine="521"/>
        <w:spacing w:after="0" w:line="226" w:lineRule="auto"/>
        <w:rPr>
          <w:sz w:val="20"/>
          <w:szCs w:val="20"/>
          <w:color w:val="auto"/>
        </w:rPr>
      </w:pPr>
      <w:r>
        <w:rPr>
          <w:rFonts w:ascii="Times New Roman" w:cs="Times New Roman" w:eastAsia="Times New Roman" w:hAnsi="Times New Roman"/>
          <w:sz w:val="17"/>
          <w:szCs w:val="17"/>
          <w:color w:val="auto"/>
        </w:rPr>
        <w:t>The Treasurer shall act under the direction of the President. Subject to the direction of the President, the Treasurer shall have custody of the corporate funds and securities and shall keep full and accurate accounts of receipts and disbursements in books belonging to the Corporation and shall deposit all monies and other valuable effects in the name and to the credit of the Corporation in such depositories as may be designated by the Board of Directors. The Treasurer shall disburse the funds of the Corporation as may be ordered by the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990590" cy="46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127" w:name="page128"/>
    <w:bookmarkEnd w:id="127"/>
    <w:p>
      <w:pPr>
        <w:ind w:right="40"/>
        <w:spacing w:after="0" w:line="234" w:lineRule="auto"/>
        <w:rPr>
          <w:sz w:val="20"/>
          <w:szCs w:val="20"/>
          <w:color w:val="auto"/>
        </w:rPr>
      </w:pPr>
      <w:r>
        <w:rPr>
          <w:rFonts w:ascii="Times New Roman" w:cs="Times New Roman" w:eastAsia="Times New Roman" w:hAnsi="Times New Roman"/>
          <w:sz w:val="17"/>
          <w:szCs w:val="17"/>
          <w:color w:val="auto"/>
        </w:rPr>
        <w:t>or the Board of Directors, taking proper vouchers for such disbursements, and shall render to the President and the Board of Directors, at its regular meetings, or when the Board of Directors so requires, an account of all transactions as Treasurer and of the financial condition of the Corporation.</w:t>
      </w:r>
    </w:p>
    <w:p>
      <w:pPr>
        <w:spacing w:after="0" w:line="121" w:lineRule="exact"/>
        <w:rPr>
          <w:sz w:val="20"/>
          <w:szCs w:val="20"/>
          <w:color w:val="auto"/>
        </w:rPr>
      </w:pPr>
    </w:p>
    <w:p>
      <w:pPr>
        <w:ind w:right="160" w:firstLine="521"/>
        <w:spacing w:after="0" w:line="226" w:lineRule="auto"/>
        <w:rPr>
          <w:sz w:val="20"/>
          <w:szCs w:val="20"/>
          <w:color w:val="auto"/>
        </w:rPr>
      </w:pPr>
      <w:r>
        <w:rPr>
          <w:rFonts w:ascii="Times New Roman" w:cs="Times New Roman" w:eastAsia="Times New Roman" w:hAnsi="Times New Roman"/>
          <w:sz w:val="17"/>
          <w:szCs w:val="17"/>
          <w:color w:val="auto"/>
        </w:rPr>
        <w:t>If required by the Board of Directors, the Treasurer shall give the Corporation a bond in such sum and with such surety or sureties as shall be satisfactory to the Board of Directors for the faithful performance of the duties of such person’s office and for the restoration to the Corporation, in case of such person’s death, resignation, retirement or removal from office, of all books, papers, vouchers, money and other property of whatever kind in such person’s possession or under such person’s control belonging to the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8  Assistant Treasurers</w:t>
      </w:r>
    </w:p>
    <w:p>
      <w:pPr>
        <w:spacing w:after="0" w:line="152" w:lineRule="exact"/>
        <w:rPr>
          <w:sz w:val="20"/>
          <w:szCs w:val="20"/>
          <w:color w:val="auto"/>
        </w:rPr>
      </w:pPr>
    </w:p>
    <w:p>
      <w:pPr>
        <w:ind w:right="40" w:firstLine="521"/>
        <w:spacing w:after="0" w:line="234" w:lineRule="auto"/>
        <w:rPr>
          <w:sz w:val="20"/>
          <w:szCs w:val="20"/>
          <w:color w:val="auto"/>
        </w:rPr>
      </w:pPr>
      <w:r>
        <w:rPr>
          <w:rFonts w:ascii="Times New Roman" w:cs="Times New Roman" w:eastAsia="Times New Roman" w:hAnsi="Times New Roman"/>
          <w:sz w:val="17"/>
          <w:szCs w:val="17"/>
          <w:color w:val="auto"/>
        </w:rPr>
        <w:t>The Assistant Treasurers in the order of their seniority, unless otherwise determined by the President or the Board of Directors, shall, in the absence or disability of the Treasurer, perform the duties and exercise the powers of the Treasurer. They shall perform such other duties and have such other powers as the President or the Board of Directors may from time to time prescribe.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  Compensation</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Board of Directors shall fix the salaries and compensation of all officers of the Corporation.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10  Removal; Resignation</w:t>
      </w:r>
    </w:p>
    <w:p>
      <w:pPr>
        <w:spacing w:after="0" w:line="152" w:lineRule="exact"/>
        <w:rPr>
          <w:sz w:val="20"/>
          <w:szCs w:val="20"/>
          <w:color w:val="auto"/>
        </w:rPr>
      </w:pPr>
    </w:p>
    <w:p>
      <w:pPr>
        <w:ind w:firstLine="521"/>
        <w:spacing w:after="0" w:line="226" w:lineRule="auto"/>
        <w:rPr>
          <w:sz w:val="20"/>
          <w:szCs w:val="20"/>
          <w:color w:val="auto"/>
        </w:rPr>
      </w:pPr>
      <w:r>
        <w:rPr>
          <w:rFonts w:ascii="Times New Roman" w:cs="Times New Roman" w:eastAsia="Times New Roman" w:hAnsi="Times New Roman"/>
          <w:sz w:val="17"/>
          <w:szCs w:val="17"/>
          <w:color w:val="auto"/>
        </w:rPr>
        <w:t>The officers of the Corporation shall hold office at the pleasure of the Board of Directors. Any officer elected or appointed by the Board of Directors, or any member of a committee, may be removed at any time, with or without cause, by the Board of Directors by a vote of not less than a majority of the entire Board at any meeting thereof or by written consent. Any vacancy occurring in any office of the Corporation by death, resignation, removal or otherwise shall be filled by the Board of Directors for the unexpired portion of the term.</w:t>
      </w:r>
    </w:p>
    <w:p>
      <w:pPr>
        <w:spacing w:after="0" w:line="121" w:lineRule="exact"/>
        <w:rPr>
          <w:sz w:val="20"/>
          <w:szCs w:val="20"/>
          <w:color w:val="auto"/>
        </w:rPr>
      </w:pPr>
    </w:p>
    <w:p>
      <w:pPr>
        <w:ind w:firstLine="521"/>
        <w:spacing w:after="0" w:line="229" w:lineRule="auto"/>
        <w:rPr>
          <w:sz w:val="20"/>
          <w:szCs w:val="20"/>
          <w:color w:val="auto"/>
        </w:rPr>
      </w:pPr>
      <w:r>
        <w:rPr>
          <w:rFonts w:ascii="Times New Roman" w:cs="Times New Roman" w:eastAsia="Times New Roman" w:hAnsi="Times New Roman"/>
          <w:sz w:val="17"/>
          <w:szCs w:val="17"/>
          <w:color w:val="auto"/>
        </w:rPr>
        <w:t>Any director or officer of the Corporation, or any member of any committee, may resign at any time by giving written notice to the Board of Directors, the Chairman of the Board, the President, or the Secretary of the Corporation. Any such resignation shall take effect at the time specified therein or, if the time is not specified, then upon receipt thereof. The acceptance of such resignation shall not be necessary to make it effective.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15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color w:val="auto"/>
        </w:rPr>
        <w:t>Certficated and Uncertificated Shares of Stock</w:t>
      </w:r>
    </w:p>
    <w:p>
      <w:pPr>
        <w:spacing w:after="0" w:line="15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Section 1 Shares of stock in the Corporation shall be represented by certificates, or shall be uncertificated, as determined by the Board of Directors in its discretion. As to any shares represented by certificates, every stockholder shall be entitled to have a certificate signed by the Chairman or Vice Chairman of the Board of Directors, the President or a Vice-President and the Treasurer or an Assistant Treasurer, or the Secretary or an Assistant Secretary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990590" cy="46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8" w:name="page129"/>
    <w:bookmarkEnd w:id="128"/>
    <w:p>
      <w:pPr>
        <w:ind w:right="20"/>
        <w:spacing w:after="0" w:line="220" w:lineRule="auto"/>
        <w:rPr>
          <w:sz w:val="20"/>
          <w:szCs w:val="20"/>
          <w:color w:val="auto"/>
        </w:rPr>
      </w:pPr>
      <w:r>
        <w:rPr>
          <w:rFonts w:ascii="Times New Roman" w:cs="Times New Roman" w:eastAsia="Times New Roman" w:hAnsi="Times New Roman"/>
          <w:sz w:val="17"/>
          <w:szCs w:val="17"/>
          <w:color w:val="auto"/>
        </w:rPr>
        <w:t xml:space="preserve">Corporation, certifying the number of shares owned by such person in the Corporation. If the Corporation shall be authorized to issue more than one class of stock or more than one series of any class, the designations, preferences and relative, participating, optional or other special rights of the various classes of stock or series thereof and the qualifications, limitations or restrictions of such rights, shall be set forth in full or summarized on the face or back of </w:t>
      </w:r>
      <w:r>
        <w:rPr>
          <w:rFonts w:ascii="Times New Roman" w:cs="Times New Roman" w:eastAsia="Times New Roman" w:hAnsi="Times New Roman"/>
          <w:sz w:val="17"/>
          <w:szCs w:val="17"/>
          <w:color w:val="FF0000"/>
          <w:strike w:val="1"/>
        </w:rPr>
        <w:t>any</w:t>
      </w:r>
      <w:r>
        <w:rPr>
          <w:rFonts w:ascii="Times New Roman" w:cs="Times New Roman" w:eastAsia="Times New Roman" w:hAnsi="Times New Roman"/>
          <w:sz w:val="17"/>
          <w:szCs w:val="17"/>
          <w:u w:val="single" w:color="auto"/>
          <w:color w:val="FF0000"/>
        </w:rPr>
        <w:t>the</w:t>
      </w:r>
      <w:r>
        <w:rPr>
          <w:rFonts w:ascii="Times New Roman" w:cs="Times New Roman" w:eastAsia="Times New Roman" w:hAnsi="Times New Roman"/>
          <w:sz w:val="17"/>
          <w:szCs w:val="17"/>
          <w:color w:val="auto"/>
        </w:rPr>
        <w:t xml:space="preserve"> certificate which the Corporation shall issue to represent such stock; provided, however, that except as otherwise provided in NRS 78.242, in lieu of the foregoing requirements, there may be set forth on the face or back of any certificate which the Corporation shall issue to represent such class or series of stock, a statement that the Corporation will furnish without charge to each stockholder who so requests, the designations, preferences and relative, participating, optional or other special rights of the various classes or series thereof and the qualifications, limitations or restrictions of such preferences and/or rights.</w:t>
      </w:r>
    </w:p>
    <w:p>
      <w:pPr>
        <w:spacing w:after="0" w:line="121" w:lineRule="exact"/>
        <w:rPr>
          <w:sz w:val="20"/>
          <w:szCs w:val="20"/>
          <w:color w:val="auto"/>
        </w:rPr>
      </w:pPr>
    </w:p>
    <w:p>
      <w:pPr>
        <w:ind w:right="120" w:firstLine="521"/>
        <w:spacing w:after="0" w:line="226" w:lineRule="auto"/>
        <w:rPr>
          <w:sz w:val="20"/>
          <w:szCs w:val="20"/>
          <w:color w:val="auto"/>
        </w:rPr>
      </w:pPr>
      <w:r>
        <w:rPr>
          <w:rFonts w:ascii="Times New Roman" w:cs="Times New Roman" w:eastAsia="Times New Roman" w:hAnsi="Times New Roman"/>
          <w:sz w:val="17"/>
          <w:szCs w:val="17"/>
          <w:color w:val="auto"/>
        </w:rPr>
        <w:t>If a certificate representing stock is signed (1) by a transfer agent other than the Corporation or its employees or (2) by a registrar other than the Corporation or its employees, the signatures of the officers of the Corporation may be facsimiles. In case any officer who has signed or whose facsimile signature has been placed upon a certificate shall cease to be such officer before such certificate is issued, such certificate may be issued with the same effect as though the person had not ceased to be such officer. The seal of the Corporation, or a facsimile thereof, may, but need not be, affixed to any certificates representing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 Surrendered; Lost or Destroyed Certificates</w:t>
      </w:r>
    </w:p>
    <w:p>
      <w:pPr>
        <w:spacing w:after="0" w:line="152" w:lineRule="exact"/>
        <w:rPr>
          <w:sz w:val="20"/>
          <w:szCs w:val="20"/>
          <w:color w:val="auto"/>
        </w:rPr>
      </w:pPr>
    </w:p>
    <w:p>
      <w:pPr>
        <w:ind w:firstLine="521"/>
        <w:spacing w:after="0" w:line="220" w:lineRule="auto"/>
        <w:rPr>
          <w:sz w:val="20"/>
          <w:szCs w:val="20"/>
          <w:color w:val="auto"/>
        </w:rPr>
      </w:pPr>
      <w:r>
        <w:rPr>
          <w:rFonts w:ascii="Times New Roman" w:cs="Times New Roman" w:eastAsia="Times New Roman" w:hAnsi="Times New Roman"/>
          <w:sz w:val="17"/>
          <w:szCs w:val="17"/>
          <w:color w:val="auto"/>
        </w:rPr>
        <w:t>The Board of Directors or any transfer agent of the Corporation may direct a new certificate or certificates to be issued, or, if such stock is no longer certificated, a registration of such stock,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or new registration of uncertificated stock, the Board of Directors (or any transfer agent of the Corporation authorized to do so by a resolution of the Board of Directors) may, in its discretion and as a condition precedent to the issuance or registration thereof, require the owner</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of such lost or destroyed certificate or certificates, or the owner’s legal representative, to advertise the same in such manner as it shall require and/or give the Corporation a bond in such sum as it may direct as indemnity against any claim that may be made against the Corporation with respect to the certificate alleged to have been lost or destroyed.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  Regulations</w:t>
      </w:r>
    </w:p>
    <w:p>
      <w:pPr>
        <w:spacing w:after="0" w:line="152" w:lineRule="exact"/>
        <w:rPr>
          <w:sz w:val="20"/>
          <w:szCs w:val="20"/>
          <w:color w:val="auto"/>
        </w:rPr>
      </w:pPr>
    </w:p>
    <w:p>
      <w:pPr>
        <w:ind w:right="200" w:firstLine="521"/>
        <w:spacing w:after="0" w:line="234" w:lineRule="auto"/>
        <w:rPr>
          <w:sz w:val="20"/>
          <w:szCs w:val="20"/>
          <w:color w:val="auto"/>
        </w:rPr>
      </w:pPr>
      <w:r>
        <w:rPr>
          <w:rFonts w:ascii="Times New Roman" w:cs="Times New Roman" w:eastAsia="Times New Roman" w:hAnsi="Times New Roman"/>
          <w:sz w:val="17"/>
          <w:szCs w:val="17"/>
          <w:color w:val="auto"/>
        </w:rPr>
        <w:t>The Board of Directors shall have the power and authority to make all such rules and regulations and procedures as it may deem expedient concerning the issue, transfer and cancellation of stock of the Corporation and replacement of any stock certificates representing stock and registration and re-registration of any uncertificated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  Record Date</w:t>
      </w:r>
    </w:p>
    <w:p>
      <w:pPr>
        <w:spacing w:after="0" w:line="152" w:lineRule="exact"/>
        <w:rPr>
          <w:sz w:val="20"/>
          <w:szCs w:val="20"/>
          <w:color w:val="auto"/>
        </w:rPr>
      </w:pPr>
    </w:p>
    <w:p>
      <w:pPr>
        <w:ind w:right="220" w:firstLine="521"/>
        <w:spacing w:after="0" w:line="234" w:lineRule="auto"/>
        <w:rPr>
          <w:sz w:val="20"/>
          <w:szCs w:val="20"/>
          <w:color w:val="auto"/>
        </w:rPr>
      </w:pPr>
      <w:r>
        <w:rPr>
          <w:rFonts w:ascii="Times New Roman" w:cs="Times New Roman" w:eastAsia="Times New Roman" w:hAnsi="Times New Roman"/>
          <w:sz w:val="17"/>
          <w:szCs w:val="17"/>
          <w:color w:val="auto"/>
        </w:rPr>
        <w:t>The Board of Directors may fix in advance a date not more than sixty days nor less than ten days preceding the date of any meeting of stockholders, or the date for the payment of any distribution, or the date for the allotment of rights, or the date when any change or conversion or exchange of capital stock shall go into effect, or a date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5990590" cy="46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129" w:name="page130"/>
    <w:bookmarkEnd w:id="129"/>
    <w:p>
      <w:pPr>
        <w:ind w:right="120"/>
        <w:spacing w:after="0" w:line="223" w:lineRule="auto"/>
        <w:rPr>
          <w:sz w:val="20"/>
          <w:szCs w:val="20"/>
          <w:color w:val="auto"/>
        </w:rPr>
      </w:pPr>
      <w:r>
        <w:rPr>
          <w:rFonts w:ascii="Times New Roman" w:cs="Times New Roman" w:eastAsia="Times New Roman" w:hAnsi="Times New Roman"/>
          <w:sz w:val="17"/>
          <w:szCs w:val="17"/>
          <w:color w:val="auto"/>
        </w:rPr>
        <w:t>obtaining the consent of stockholders for any purpose, as a record date for the determination of the stockholders entitled to notice of and to vote at any such meeting, and any adjournment thereof, or entitled to receive payment of any such distribution, or to give such consent, and in such case, such stockholders, and only such stockholders as shall be stockholders of record on the date so fixed, shall be entitled to notice of and to vote at such meeting, or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  Registered Owner</w:t>
      </w:r>
    </w:p>
    <w:p>
      <w:pPr>
        <w:spacing w:after="0" w:line="152" w:lineRule="exact"/>
        <w:rPr>
          <w:sz w:val="20"/>
          <w:szCs w:val="20"/>
          <w:color w:val="auto"/>
        </w:rPr>
      </w:pPr>
    </w:p>
    <w:p>
      <w:pPr>
        <w:ind w:right="100" w:firstLine="521"/>
        <w:spacing w:after="0" w:line="229" w:lineRule="auto"/>
        <w:rPr>
          <w:sz w:val="20"/>
          <w:szCs w:val="20"/>
          <w:color w:val="auto"/>
        </w:rPr>
      </w:pPr>
      <w:r>
        <w:rPr>
          <w:rFonts w:ascii="Times New Roman" w:cs="Times New Roman" w:eastAsia="Times New Roman" w:hAnsi="Times New Roman"/>
          <w:sz w:val="17"/>
          <w:szCs w:val="17"/>
          <w:color w:val="auto"/>
        </w:rPr>
        <w:t>The Corporation shall be entitled to recognize the person registered on its books as the owner of the shares to be the exclusive owner for all purposes</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including voting and distribution, and the Corporation shall not be bound to recognize any equitable or other claim to or interest in such share or shares on the part of any other person, whether or not it shall have express or other notice thereof, except as otherwise provided by the laws of Nevada.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PROVISIONS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  Registered Office</w:t>
      </w:r>
    </w:p>
    <w:p>
      <w:pPr>
        <w:spacing w:after="0" w:line="152" w:lineRule="exact"/>
        <w:rPr>
          <w:sz w:val="20"/>
          <w:szCs w:val="20"/>
          <w:color w:val="auto"/>
        </w:rPr>
      </w:pPr>
    </w:p>
    <w:p>
      <w:pPr>
        <w:ind w:right="760" w:firstLine="521"/>
        <w:spacing w:after="0" w:line="251" w:lineRule="auto"/>
        <w:rPr>
          <w:sz w:val="20"/>
          <w:szCs w:val="20"/>
          <w:color w:val="auto"/>
        </w:rPr>
      </w:pPr>
      <w:r>
        <w:rPr>
          <w:rFonts w:ascii="Times New Roman" w:cs="Times New Roman" w:eastAsia="Times New Roman" w:hAnsi="Times New Roman"/>
          <w:sz w:val="17"/>
          <w:szCs w:val="17"/>
          <w:color w:val="auto"/>
        </w:rPr>
        <w:t>The registered office of the Corporation shall be in the County of Clark, State of Nevada. The principal office of the Corporation shall be located in the County of Los Angeles, State of California.</w:t>
      </w:r>
    </w:p>
    <w:p>
      <w:pPr>
        <w:spacing w:after="0" w:line="112" w:lineRule="exact"/>
        <w:rPr>
          <w:sz w:val="20"/>
          <w:szCs w:val="20"/>
          <w:color w:val="auto"/>
        </w:rPr>
      </w:pPr>
    </w:p>
    <w:p>
      <w:pPr>
        <w:ind w:right="540" w:firstLine="521"/>
        <w:spacing w:after="0" w:line="251" w:lineRule="auto"/>
        <w:rPr>
          <w:sz w:val="20"/>
          <w:szCs w:val="20"/>
          <w:color w:val="auto"/>
        </w:rPr>
      </w:pPr>
      <w:r>
        <w:rPr>
          <w:rFonts w:ascii="Times New Roman" w:cs="Times New Roman" w:eastAsia="Times New Roman" w:hAnsi="Times New Roman"/>
          <w:sz w:val="17"/>
          <w:szCs w:val="17"/>
          <w:color w:val="auto"/>
        </w:rPr>
        <w:t>The Corporation may also have offices at such other places both within and without the State of Nevada as the Board of Directors may from time to time determine or the business of the Corporation may require.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  Checks; Notes</w:t>
      </w:r>
    </w:p>
    <w:p>
      <w:pPr>
        <w:spacing w:after="0" w:line="152" w:lineRule="exact"/>
        <w:rPr>
          <w:sz w:val="20"/>
          <w:szCs w:val="20"/>
          <w:color w:val="auto"/>
        </w:rPr>
      </w:pPr>
    </w:p>
    <w:p>
      <w:pPr>
        <w:ind w:right="100" w:firstLine="521"/>
        <w:spacing w:after="0" w:line="251" w:lineRule="auto"/>
        <w:rPr>
          <w:sz w:val="20"/>
          <w:szCs w:val="20"/>
          <w:color w:val="auto"/>
        </w:rPr>
      </w:pPr>
      <w:r>
        <w:rPr>
          <w:rFonts w:ascii="Times New Roman" w:cs="Times New Roman" w:eastAsia="Times New Roman" w:hAnsi="Times New Roman"/>
          <w:sz w:val="17"/>
          <w:szCs w:val="17"/>
          <w:color w:val="auto"/>
        </w:rPr>
        <w:t>All checks or demands for money and notes of the Corporation shall be signed by such officer or officers or such other person or persons as the Board of Directors may from time to time designate.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  Fiscal Year</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fiscal year of the Corporation shall be fixed by resolution of the Board of Directors.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  Stock of Other Corporations or Other Interests</w:t>
      </w:r>
    </w:p>
    <w:p>
      <w:pPr>
        <w:spacing w:after="0" w:line="152" w:lineRule="exact"/>
        <w:rPr>
          <w:sz w:val="20"/>
          <w:szCs w:val="20"/>
          <w:color w:val="auto"/>
        </w:rPr>
      </w:pPr>
    </w:p>
    <w:p>
      <w:pPr>
        <w:ind w:firstLine="521"/>
        <w:spacing w:after="0" w:line="226" w:lineRule="auto"/>
        <w:rPr>
          <w:sz w:val="20"/>
          <w:szCs w:val="20"/>
          <w:color w:val="auto"/>
        </w:rPr>
      </w:pPr>
      <w:r>
        <w:rPr>
          <w:rFonts w:ascii="Times New Roman" w:cs="Times New Roman" w:eastAsia="Times New Roman" w:hAnsi="Times New Roman"/>
          <w:sz w:val="17"/>
          <w:szCs w:val="17"/>
          <w:color w:val="auto"/>
        </w:rPr>
        <w:t>Unless otherwise ordered by the Board of Directors, the President, the Secretary, and such other attorneys or agents of the Corporation as may be from time to time authorized by the Board of Directors or the President, shall have full power and authority on behalf of the Corporation to attend and to act an vote in person or by proxy at any meeting of the holders of securities of any corporation or other entity in which the Corporation may own or hold shares or other securities, and at such meetings shall possess and may exercise all the rights and powers incident to the ownership of such shares or other securities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990590" cy="46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30" w:name="page131"/>
    <w:bookmarkEnd w:id="130"/>
    <w:p>
      <w:pPr>
        <w:jc w:val="both"/>
        <w:spacing w:after="0" w:line="234" w:lineRule="auto"/>
        <w:rPr>
          <w:sz w:val="20"/>
          <w:szCs w:val="20"/>
          <w:color w:val="auto"/>
        </w:rPr>
      </w:pPr>
      <w:r>
        <w:rPr>
          <w:rFonts w:ascii="Times New Roman" w:cs="Times New Roman" w:eastAsia="Times New Roman" w:hAnsi="Times New Roman"/>
          <w:sz w:val="17"/>
          <w:szCs w:val="17"/>
          <w:color w:val="auto"/>
        </w:rPr>
        <w:t>Corporation, as the owner or holder thereof, might have possessed and exercised if present. The President, the Secretary or other such attorneys or agents may also execute and deliver on behalf of the Corporation, powers of attorney, proxies, consents, waivers and other instruments relating to the shares or securities owned or held by the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  Corporate Seal</w:t>
      </w:r>
    </w:p>
    <w:p>
      <w:pPr>
        <w:spacing w:after="0" w:line="152" w:lineRule="exact"/>
        <w:rPr>
          <w:sz w:val="20"/>
          <w:szCs w:val="20"/>
          <w:color w:val="auto"/>
        </w:rPr>
      </w:pPr>
    </w:p>
    <w:p>
      <w:pPr>
        <w:ind w:right="60" w:firstLine="521"/>
        <w:spacing w:after="0" w:line="234" w:lineRule="auto"/>
        <w:rPr>
          <w:sz w:val="20"/>
          <w:szCs w:val="20"/>
          <w:color w:val="auto"/>
        </w:rPr>
      </w:pPr>
      <w:r>
        <w:rPr>
          <w:rFonts w:ascii="Times New Roman" w:cs="Times New Roman" w:eastAsia="Times New Roman" w:hAnsi="Times New Roman"/>
          <w:sz w:val="17"/>
          <w:szCs w:val="17"/>
          <w:color w:val="auto"/>
        </w:rPr>
        <w:t>The corporation will have a corporate seal, as may from time to time be determined by resolution of the Board of Directors. If a corporate seal is adopted, it shall have inscribed thereon the name of the corporation and the words “Corporate Seal” and “Nevada.” The seal may be used by causing it or a facsimile thereof to be impressed or affixed or in any manner reproduced.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  Annual Statement</w:t>
      </w:r>
    </w:p>
    <w:p>
      <w:pPr>
        <w:spacing w:after="0" w:line="152" w:lineRule="exact"/>
        <w:rPr>
          <w:sz w:val="20"/>
          <w:szCs w:val="20"/>
          <w:color w:val="auto"/>
        </w:rPr>
      </w:pPr>
    </w:p>
    <w:p>
      <w:pPr>
        <w:ind w:right="60" w:firstLine="521"/>
        <w:spacing w:after="0" w:line="251" w:lineRule="auto"/>
        <w:rPr>
          <w:sz w:val="20"/>
          <w:szCs w:val="20"/>
          <w:color w:val="auto"/>
        </w:rPr>
      </w:pPr>
      <w:r>
        <w:rPr>
          <w:rFonts w:ascii="Times New Roman" w:cs="Times New Roman" w:eastAsia="Times New Roman" w:hAnsi="Times New Roman"/>
          <w:sz w:val="17"/>
          <w:szCs w:val="17"/>
          <w:color w:val="auto"/>
        </w:rPr>
        <w:t>The Board of Directors shall present at each annual meeting, and at any special meeting of the stockholders when called for by a vote of the stockholders, a full and clear statement of the business and condition of the Corporation.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7  Dividends</w:t>
      </w:r>
    </w:p>
    <w:p>
      <w:pPr>
        <w:spacing w:after="0" w:line="152" w:lineRule="exact"/>
        <w:rPr>
          <w:sz w:val="20"/>
          <w:szCs w:val="20"/>
          <w:color w:val="auto"/>
        </w:rPr>
      </w:pPr>
    </w:p>
    <w:p>
      <w:pPr>
        <w:ind w:right="40" w:firstLine="521"/>
        <w:spacing w:after="0" w:line="234" w:lineRule="auto"/>
        <w:rPr>
          <w:sz w:val="20"/>
          <w:szCs w:val="20"/>
          <w:color w:val="auto"/>
        </w:rPr>
      </w:pPr>
      <w:r>
        <w:rPr>
          <w:rFonts w:ascii="Times New Roman" w:cs="Times New Roman" w:eastAsia="Times New Roman" w:hAnsi="Times New Roman"/>
          <w:sz w:val="17"/>
          <w:szCs w:val="17"/>
          <w:color w:val="auto"/>
        </w:rPr>
        <w:t>Dividends upon the capital stock of the Corporation, subject to the provision of the Articles of Incorporation, if any, may be declared by the Board of Directors at any regular or special meeting pursuant to law. Dividends may be paid in cash, in property, or in shares of the capital stock of the Corporation, subject to the provisions of the Articles of Incorporation.</w:t>
      </w:r>
    </w:p>
    <w:p>
      <w:pPr>
        <w:spacing w:after="0" w:line="122" w:lineRule="exact"/>
        <w:rPr>
          <w:sz w:val="20"/>
          <w:szCs w:val="20"/>
          <w:color w:val="auto"/>
        </w:rPr>
      </w:pPr>
    </w:p>
    <w:p>
      <w:pPr>
        <w:ind w:right="160" w:firstLine="521"/>
        <w:spacing w:after="0" w:line="226" w:lineRule="auto"/>
        <w:rPr>
          <w:sz w:val="20"/>
          <w:szCs w:val="20"/>
          <w:color w:val="auto"/>
        </w:rPr>
      </w:pPr>
      <w:r>
        <w:rPr>
          <w:rFonts w:ascii="Times New Roman" w:cs="Times New Roman" w:eastAsia="Times New Roman" w:hAnsi="Times New Roman"/>
          <w:sz w:val="17"/>
          <w:szCs w:val="17"/>
          <w:color w:val="auto"/>
        </w:rPr>
        <w:t>Before payment of any dividend, there may be set aside out of any funds of the Corporation available for dividends such sum or sums as the directors from time to time, in their absolute and sole discretion, think proper as a reserve or reserves to meet contingencies, or for equalizing dividends, or for repairing or maintaining any property or the Corporation, or for such other purpose or purposes as the directors believe to be in the interest of the Corporation, and the directors may modify or abolish any such reserve in the manner in which it was created.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8  Conflicts of Interest</w:t>
      </w:r>
    </w:p>
    <w:p>
      <w:pPr>
        <w:spacing w:after="0" w:line="152" w:lineRule="exact"/>
        <w:rPr>
          <w:sz w:val="20"/>
          <w:szCs w:val="20"/>
          <w:color w:val="auto"/>
        </w:rPr>
      </w:pPr>
    </w:p>
    <w:p>
      <w:pPr>
        <w:ind w:right="20" w:firstLine="521"/>
        <w:spacing w:after="0" w:line="220" w:lineRule="auto"/>
        <w:rPr>
          <w:sz w:val="20"/>
          <w:szCs w:val="20"/>
          <w:color w:val="auto"/>
        </w:rPr>
      </w:pPr>
      <w:r>
        <w:rPr>
          <w:rFonts w:ascii="Times New Roman" w:cs="Times New Roman" w:eastAsia="Times New Roman" w:hAnsi="Times New Roman"/>
          <w:sz w:val="17"/>
          <w:szCs w:val="17"/>
          <w:color w:val="auto"/>
        </w:rPr>
        <w:t>In the event of any proposed transaction which would result in the merger of the Corporation with or into any other company or entity, or the sale, dividend, spin-off or transfer of all or substantially all of the assets of the Corporation, whether in one or more related transactions (a “Covered Transaction”), such Covered Transaction shall require the approval of a two-thirds majority of the Board of Directors after a review and written report of the terms and fairness of such transaction have been conducted and prepared by a special committee of the Board appointed to conduct such review. Such special committee shall consist of not less than two directors and shall be composed entirely of directors who are neither employees, directors, officers, agents or appointees or representatives of any company or entity affiliated with any party to the Covered Transaction, other than the Corporation. Such special committee is authorized to retain such professional advisors, including investment bankers, attorneys, and accountants as it may determine, in its sole discretion, to be appropriate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5990590" cy="46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31" w:name="page132"/>
    <w:bookmarkEnd w:id="131"/>
    <w:p>
      <w:pPr>
        <w:ind w:left="428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5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  Indemnification of Officers and Directors, Employees and Agents</w:t>
      </w:r>
    </w:p>
    <w:p>
      <w:pPr>
        <w:spacing w:after="0" w:line="152" w:lineRule="exact"/>
        <w:rPr>
          <w:sz w:val="20"/>
          <w:szCs w:val="20"/>
          <w:color w:val="auto"/>
        </w:rPr>
      </w:pPr>
    </w:p>
    <w:p>
      <w:pPr>
        <w:ind w:firstLine="521"/>
        <w:spacing w:after="0" w:line="232" w:lineRule="auto"/>
        <w:rPr>
          <w:sz w:val="20"/>
          <w:szCs w:val="20"/>
          <w:color w:val="auto"/>
        </w:rPr>
      </w:pPr>
      <w:r>
        <w:rPr>
          <w:rFonts w:ascii="Times New Roman" w:cs="Times New Roman" w:eastAsia="Times New Roman" w:hAnsi="Times New Roman"/>
          <w:sz w:val="17"/>
          <w:szCs w:val="17"/>
          <w:color w:val="auto"/>
        </w:rPr>
        <w:t>Every person who was or is a party or is threatened to be made a party to or is involved in any action, suit or proceeding, whether civil, criminal, administrative or investigative, by reason of the fact that such person or a person of whom that person is the legal representative is or was a director, officer, employee or agent of the Corporation or is or was serving at the request of the Corporation or for its benefit as a director, officer, employee or agent of another corporation, or as its representative in a partnership, joint venture, trust or other enterprise, shall be indemnified and held harmless to the fullest extent legally permissible under the NRS from time to time against all expenses, liability and loss (including attorneys’ fees, judgments, fines and amounts paid or to be paid in settlement) reasonably incurred or suffered by such person in connection therewith. The expenses of officers, directors, employee or agents incurred in defending a civil or criminal action, suit or proceeding must be paid by the Corporation as they are incurred and in advance of the final disposition of the action, suit or proceeding upon receipt of an undertaking by or on behalf of the director, officer, employee or agent to repay the amount if it is ultimately determined by a court of competent jurisdiction that such person is not entitled to be indemnified by the Corporation. Such right of indemnification shall be a contract right, which may be enforced in any manner desired by such person. Such right of indemnification shall not be exclusive of any other right which such directors, officers, employees or agents may have or hereafter acquire and, without limiting the generality of such statement, they shall be entitled to their respective rights of indemnification under any bylaw, agreement, vote of stockholders, provision of law or otherwise, as well as their rights under this Article VII.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  Insurance</w:t>
      </w:r>
    </w:p>
    <w:p>
      <w:pPr>
        <w:spacing w:after="0" w:line="152" w:lineRule="exact"/>
        <w:rPr>
          <w:sz w:val="20"/>
          <w:szCs w:val="20"/>
          <w:color w:val="auto"/>
        </w:rPr>
      </w:pPr>
    </w:p>
    <w:p>
      <w:pPr>
        <w:ind w:right="20" w:firstLine="521"/>
        <w:spacing w:after="0" w:line="226" w:lineRule="auto"/>
        <w:rPr>
          <w:sz w:val="20"/>
          <w:szCs w:val="20"/>
          <w:color w:val="auto"/>
        </w:rPr>
      </w:pPr>
      <w:r>
        <w:rPr>
          <w:rFonts w:ascii="Times New Roman" w:cs="Times New Roman" w:eastAsia="Times New Roman" w:hAnsi="Times New Roman"/>
          <w:sz w:val="17"/>
          <w:szCs w:val="17"/>
          <w:color w:val="auto"/>
        </w:rPr>
        <w:t>The Board of Directors may cause the Corporation to purchase and maintain insurance on behalf of any person who is or was a director, officer, employee or agent of the Corporation, or is or was serving at the request of the Corporation as a director, officer, employee or agent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  Further Bylaws</w:t>
      </w:r>
    </w:p>
    <w:p>
      <w:pPr>
        <w:spacing w:after="0" w:line="152" w:lineRule="exact"/>
        <w:rPr>
          <w:sz w:val="20"/>
          <w:szCs w:val="20"/>
          <w:color w:val="auto"/>
        </w:rPr>
      </w:pPr>
    </w:p>
    <w:p>
      <w:pPr>
        <w:ind w:right="60" w:firstLine="521"/>
        <w:spacing w:after="0" w:line="251" w:lineRule="auto"/>
        <w:rPr>
          <w:sz w:val="20"/>
          <w:szCs w:val="20"/>
          <w:color w:val="auto"/>
        </w:rPr>
      </w:pPr>
      <w:r>
        <w:rPr>
          <w:rFonts w:ascii="Times New Roman" w:cs="Times New Roman" w:eastAsia="Times New Roman" w:hAnsi="Times New Roman"/>
          <w:sz w:val="17"/>
          <w:szCs w:val="17"/>
          <w:color w:val="auto"/>
        </w:rPr>
        <w:t>The Board of Directors may from time to time adopt further Bylaws with respect to indemnification and may amend these and such Bylaws to provide at all times the fullest indemnification permitted by the laws of the State of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5990590" cy="46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60"/>
          </w:cols>
          <w:pgMar w:left="1260" w:top="104" w:right="1279" w:bottom="1440" w:gutter="0" w:footer="0" w:header="0"/>
        </w:sectPr>
      </w:pPr>
    </w:p>
    <w:bookmarkStart w:id="132" w:name="page133"/>
    <w:bookmarkEnd w:id="132"/>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  Amendments by Stockholders</w:t>
      </w:r>
    </w:p>
    <w:p>
      <w:pPr>
        <w:spacing w:after="0" w:line="152" w:lineRule="exact"/>
        <w:rPr>
          <w:sz w:val="20"/>
          <w:szCs w:val="20"/>
          <w:color w:val="auto"/>
        </w:rPr>
      </w:pPr>
    </w:p>
    <w:p>
      <w:pPr>
        <w:ind w:right="300" w:firstLine="521"/>
        <w:spacing w:after="0" w:line="251" w:lineRule="auto"/>
        <w:rPr>
          <w:sz w:val="20"/>
          <w:szCs w:val="20"/>
          <w:color w:val="auto"/>
        </w:rPr>
      </w:pPr>
      <w:r>
        <w:rPr>
          <w:rFonts w:ascii="Times New Roman" w:cs="Times New Roman" w:eastAsia="Times New Roman" w:hAnsi="Times New Roman"/>
          <w:sz w:val="17"/>
          <w:szCs w:val="17"/>
          <w:color w:val="auto"/>
        </w:rPr>
        <w:t>The Bylaws may be amended by the stockholders at any annual or special meeting of the stockholders by a majority vote, provided notice of intention to amend or repeal shall have been contained in the notice of such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  Amendments by Board of Directors</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The Board of Directors at any regular or special meeting by a majority vote may amend these Bylaws, including Bylaws adopted by the stockholders, but the stockholders may from time to time specify particular provisions of the Bylaws, which shall not be amended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5990590" cy="463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80"/>
          </w:cols>
          <w:pgMar w:left="1260" w:top="104" w:right="135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6"/>
          <w:szCs w:val="16"/>
          <w:color w:val="auto"/>
        </w:rPr>
        <w:t>READING INTERNATIONAL, INC.</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RESTATED 2010 STOCK INCENTIVE PLAN</w:t>
      </w:r>
      <w:r>
        <w:rPr>
          <w:rFonts w:ascii="Times New Roman" w:cs="Times New Roman" w:eastAsia="Times New Roman" w:hAnsi="Times New Roman"/>
          <w:sz w:val="16"/>
          <w:szCs w:val="16"/>
          <w:color w:val="auto"/>
          <w:vertAlign w:val="superscript"/>
        </w:rPr>
        <w:t>1</w:t>
      </w:r>
    </w:p>
    <w:p>
      <w:pPr>
        <w:spacing w:after="0" w:line="139" w:lineRule="exact"/>
        <w:rPr>
          <w:sz w:val="20"/>
          <w:szCs w:val="20"/>
          <w:color w:val="auto"/>
        </w:rPr>
      </w:pPr>
    </w:p>
    <w:p>
      <w:pPr>
        <w:ind w:left="260" w:hanging="252"/>
        <w:spacing w:after="0"/>
        <w:tabs>
          <w:tab w:leader="none" w:pos="2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PURPOSE</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ind w:left="1040" w:right="40" w:hanging="511"/>
        <w:spacing w:after="0" w:line="234" w:lineRule="auto"/>
        <w:tabs>
          <w:tab w:leader="none" w:pos="10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of the Plan is to provide to eligible recipients an opportunity to benefit from increases in value of the Common Stock through Stock Awards.</w:t>
      </w:r>
    </w:p>
    <w:p>
      <w:pPr>
        <w:spacing w:after="0" w:line="118" w:lineRule="exact"/>
        <w:rPr>
          <w:rFonts w:ascii="Times New Roman" w:cs="Times New Roman" w:eastAsia="Times New Roman" w:hAnsi="Times New Roman"/>
          <w:sz w:val="16"/>
          <w:szCs w:val="16"/>
          <w:color w:val="auto"/>
        </w:rPr>
      </w:pPr>
    </w:p>
    <w:p>
      <w:pPr>
        <w:jc w:val="both"/>
        <w:ind w:left="1040" w:right="40" w:hanging="511"/>
        <w:spacing w:after="0" w:line="216" w:lineRule="auto"/>
        <w:tabs>
          <w:tab w:leader="none" w:pos="10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by means of the Plan, seeks to attract and retain the services of persons eligible to receive Stock Awards, to bind the interests of eligible recipients more closely to the Company’s own interests by offering them opportunities to acquire Common Stock and/or cash and to afford eligible recipients stock-based compensation opportunities that are competitive with those afforded by similar businesses.</w:t>
      </w:r>
    </w:p>
    <w:p>
      <w:pPr>
        <w:spacing w:after="0" w:line="118" w:lineRule="exact"/>
        <w:rPr>
          <w:rFonts w:ascii="Times New Roman" w:cs="Times New Roman" w:eastAsia="Times New Roman" w:hAnsi="Times New Roman"/>
          <w:sz w:val="16"/>
          <w:szCs w:val="16"/>
          <w:color w:val="auto"/>
        </w:rPr>
      </w:pPr>
    </w:p>
    <w:p>
      <w:pPr>
        <w:ind w:left="1040" w:hanging="511"/>
        <w:spacing w:after="0"/>
        <w:tabs>
          <w:tab w:leader="none" w:pos="10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persons eligible to receive Stock Awards are the Directors, Employees and Consultants of the Company and of its Affiliates.</w:t>
      </w:r>
    </w:p>
    <w:p>
      <w:pPr>
        <w:spacing w:after="0" w:line="13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DEFINITIONS</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ind w:left="1040" w:right="40" w:hanging="511"/>
        <w:spacing w:after="0" w:line="234" w:lineRule="auto"/>
        <w:tabs>
          <w:tab w:leader="none" w:pos="10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any “parent corporation” or “subsidiary corporation” of the Company, whether now or hereafter existing, as those terms are defined in Sections 424(e) and (f), respectively, of the Code.</w:t>
      </w:r>
    </w:p>
    <w:p>
      <w:pPr>
        <w:spacing w:after="0" w:line="118" w:lineRule="exact"/>
        <w:rPr>
          <w:rFonts w:ascii="Times New Roman" w:cs="Times New Roman" w:eastAsia="Times New Roman" w:hAnsi="Times New Roman"/>
          <w:sz w:val="16"/>
          <w:szCs w:val="16"/>
          <w:color w:val="auto"/>
        </w:rPr>
      </w:pPr>
    </w:p>
    <w:p>
      <w:pPr>
        <w:ind w:left="1040" w:right="40" w:hanging="511"/>
        <w:spacing w:after="0" w:line="234" w:lineRule="auto"/>
        <w:tabs>
          <w:tab w:leader="none" w:pos="10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Approved Cashless Exercises</w:t>
      </w:r>
      <w:r>
        <w:rPr>
          <w:rFonts w:ascii="Times New Roman" w:cs="Times New Roman" w:eastAsia="Times New Roman" w:hAnsi="Times New Roman"/>
          <w:sz w:val="16"/>
          <w:szCs w:val="16"/>
          <w:color w:val="auto"/>
        </w:rPr>
        <w:t>” for purposes of Section 6(a)(iv) shall include, without limitation to the authority of the Board or Committee, including to approve other methods of exercise, the following:</w:t>
      </w:r>
    </w:p>
    <w:p>
      <w:pPr>
        <w:spacing w:after="0" w:line="118" w:lineRule="exact"/>
        <w:rPr>
          <w:rFonts w:ascii="Times New Roman" w:cs="Times New Roman" w:eastAsia="Times New Roman" w:hAnsi="Times New Roman"/>
          <w:sz w:val="16"/>
          <w:szCs w:val="16"/>
          <w:color w:val="auto"/>
        </w:rPr>
      </w:pPr>
    </w:p>
    <w:p>
      <w:pPr>
        <w:jc w:val="both"/>
        <w:ind w:left="1580" w:hanging="531"/>
        <w:spacing w:after="0" w:line="216" w:lineRule="auto"/>
        <w:tabs>
          <w:tab w:leader="none" w:pos="158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written election of the holder of Nonstatutory Stock Options awarded after the date of the Second Amendment to the Plan</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6"/>
          <w:szCs w:val="16"/>
          <w:color w:val="auto"/>
        </w:rPr>
        <w:t xml:space="preserve"> to receive, instead of shares, cash in an amount equal to the aggregate Fair Market Value of shares of such Common Stock on the date of exercise of such Options, less the aggregate exercise price of the shares to be issued upon exercise of such Options and the aggregate applicable withholding taxes, if any; or</w:t>
      </w:r>
    </w:p>
    <w:p>
      <w:pPr>
        <w:spacing w:after="0" w:line="118" w:lineRule="exact"/>
        <w:rPr>
          <w:rFonts w:ascii="Times New Roman" w:cs="Times New Roman" w:eastAsia="Times New Roman" w:hAnsi="Times New Roman"/>
          <w:sz w:val="16"/>
          <w:szCs w:val="16"/>
          <w:color w:val="auto"/>
        </w:rPr>
      </w:pPr>
    </w:p>
    <w:p>
      <w:pPr>
        <w:jc w:val="both"/>
        <w:ind w:left="1580" w:hanging="531"/>
        <w:spacing w:after="0" w:line="222" w:lineRule="auto"/>
        <w:tabs>
          <w:tab w:leader="none" w:pos="158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written election of the holder of Options to surrender in payment (in whole or in part) of the exercise price of such Options of shares of the same class of Common Stock as the shares to be issued upon exercise of such Options, valued at the same value as the shares to be issued upon exercise of such Options.</w:t>
      </w:r>
    </w:p>
    <w:p>
      <w:pPr>
        <w:spacing w:after="0" w:line="118" w:lineRule="exact"/>
        <w:rPr>
          <w:rFonts w:ascii="Times New Roman" w:cs="Times New Roman" w:eastAsia="Times New Roman" w:hAnsi="Times New Roman"/>
          <w:sz w:val="16"/>
          <w:szCs w:val="16"/>
          <w:color w:val="auto"/>
        </w:rPr>
      </w:pPr>
    </w:p>
    <w:p>
      <w:pPr>
        <w:ind w:left="1040" w:hanging="511"/>
        <w:spacing w:after="0"/>
        <w:tabs>
          <w:tab w:leader="none" w:pos="10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the Board of Directors of the Company.</w:t>
      </w:r>
    </w:p>
    <w:p>
      <w:pPr>
        <w:spacing w:after="0" w:line="141" w:lineRule="exact"/>
        <w:rPr>
          <w:rFonts w:ascii="Times New Roman" w:cs="Times New Roman" w:eastAsia="Times New Roman" w:hAnsi="Times New Roman"/>
          <w:sz w:val="16"/>
          <w:szCs w:val="16"/>
          <w:color w:val="auto"/>
        </w:rPr>
      </w:pPr>
    </w:p>
    <w:p>
      <w:pPr>
        <w:ind w:left="1040" w:hanging="511"/>
        <w:spacing w:after="0"/>
        <w:tabs>
          <w:tab w:leader="none" w:pos="10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as amended.</w:t>
      </w:r>
    </w:p>
    <w:p>
      <w:pPr>
        <w:spacing w:after="0" w:line="141" w:lineRule="exact"/>
        <w:rPr>
          <w:rFonts w:ascii="Times New Roman" w:cs="Times New Roman" w:eastAsia="Times New Roman" w:hAnsi="Times New Roman"/>
          <w:sz w:val="16"/>
          <w:szCs w:val="16"/>
          <w:color w:val="auto"/>
        </w:rPr>
      </w:pPr>
    </w:p>
    <w:p>
      <w:pPr>
        <w:ind w:left="1040" w:right="20" w:hanging="511"/>
        <w:spacing w:after="0" w:line="234" w:lineRule="auto"/>
        <w:tabs>
          <w:tab w:leader="none" w:pos="10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means a committee of one or more members of the Board appointed by the Board in accordance with subsection 3(c).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102" w:lineRule="exact"/>
        <w:rPr>
          <w:sz w:val="20"/>
          <w:szCs w:val="20"/>
          <w:color w:val="auto"/>
        </w:rPr>
      </w:pPr>
    </w:p>
    <w:p>
      <w:pPr>
        <w:jc w:val="both"/>
        <w:ind w:firstLine="8"/>
        <w:spacing w:after="0" w:line="233" w:lineRule="auto"/>
        <w:tabs>
          <w:tab w:leader="none" w:pos="72" w:val="left"/>
        </w:tabs>
        <w:numPr>
          <w:ilvl w:val="0"/>
          <w:numId w:val="109"/>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Restates the 2010 Stock Incentive Plan as originally adopted by the Board on March 11, 2010, and as approved by the stockholders of May 13, 2010 (the "</w:t>
      </w:r>
      <w:r>
        <w:rPr>
          <w:rFonts w:ascii="Times New Roman" w:cs="Times New Roman" w:eastAsia="Times New Roman" w:hAnsi="Times New Roman"/>
          <w:sz w:val="14"/>
          <w:szCs w:val="14"/>
          <w:u w:val="single" w:color="auto"/>
          <w:color w:val="auto"/>
        </w:rPr>
        <w:t>2010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to incorporate the following amendments: (i) Amendment to the 2010 Plan effective May 19, 2011; (ii) First Amendment to the 2010 Plan effective March 10, 2016; (iii) Second Amendment to the 2010 Plan effective as of April 26, 2017; and (iv) amendment to the 2010 Plan effective as of November 7, 2017.</w:t>
      </w:r>
    </w:p>
    <w:p>
      <w:pPr>
        <w:spacing w:after="0" w:line="41" w:lineRule="exact"/>
        <w:rPr>
          <w:sz w:val="20"/>
          <w:szCs w:val="20"/>
          <w:color w:val="auto"/>
        </w:rPr>
      </w:pPr>
    </w:p>
    <w:p>
      <w:pPr>
        <w:ind w:left="80" w:hanging="72"/>
        <w:spacing w:after="0"/>
        <w:tabs>
          <w:tab w:leader="none" w:pos="80" w:val="left"/>
        </w:tabs>
        <w:numPr>
          <w:ilvl w:val="0"/>
          <w:numId w:val="110"/>
        </w:numPr>
        <w:rPr>
          <w:rFonts w:ascii="Times New Roman" w:cs="Times New Roman" w:eastAsia="Times New Roman" w:hAnsi="Times New Roman"/>
          <w:sz w:val="7"/>
          <w:szCs w:val="7"/>
          <w:color w:val="auto"/>
        </w:rPr>
      </w:pPr>
      <w:r>
        <w:rPr>
          <w:rFonts w:ascii="Times New Roman" w:cs="Times New Roman" w:eastAsia="Times New Roman" w:hAnsi="Times New Roman"/>
          <w:sz w:val="14"/>
          <w:szCs w:val="14"/>
          <w:color w:val="auto"/>
        </w:rPr>
        <w:t>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5990590" cy="46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10" w:right="1259" w:bottom="1440" w:gutter="0" w:footer="0" w:header="0"/>
        </w:sectPr>
      </w:pPr>
    </w:p>
    <w:bookmarkStart w:id="134" w:name="page135"/>
    <w:bookmarkEnd w:id="134"/>
    <w:p>
      <w:pPr>
        <w:ind w:left="860" w:right="40" w:hanging="511"/>
        <w:spacing w:after="0" w:line="234"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Class A Non-voting Common Stock, $0.01 par value per share (“</w:t>
      </w:r>
      <w:r>
        <w:rPr>
          <w:rFonts w:ascii="Times New Roman" w:cs="Times New Roman" w:eastAsia="Times New Roman" w:hAnsi="Times New Roman"/>
          <w:sz w:val="16"/>
          <w:szCs w:val="16"/>
          <w:u w:val="single" w:color="auto"/>
          <w:color w:val="auto"/>
        </w:rPr>
        <w:t>Class A Stock</w:t>
      </w:r>
      <w:r>
        <w:rPr>
          <w:rFonts w:ascii="Times New Roman" w:cs="Times New Roman" w:eastAsia="Times New Roman" w:hAnsi="Times New Roman"/>
          <w:sz w:val="16"/>
          <w:szCs w:val="16"/>
          <w:color w:val="auto"/>
        </w:rPr>
        <w:t>”), and the Class B Voting Common Stock, $0.01 par value per share (“</w:t>
      </w:r>
      <w:r>
        <w:rPr>
          <w:rFonts w:ascii="Times New Roman" w:cs="Times New Roman" w:eastAsia="Times New Roman" w:hAnsi="Times New Roman"/>
          <w:sz w:val="16"/>
          <w:szCs w:val="16"/>
          <w:u w:val="single" w:color="auto"/>
          <w:color w:val="auto"/>
        </w:rPr>
        <w:t>Class B Stock</w:t>
      </w:r>
      <w:r>
        <w:rPr>
          <w:rFonts w:ascii="Times New Roman" w:cs="Times New Roman" w:eastAsia="Times New Roman" w:hAnsi="Times New Roman"/>
          <w:sz w:val="16"/>
          <w:szCs w:val="16"/>
          <w:color w:val="auto"/>
        </w:rPr>
        <w:t>”), of the Company.</w:t>
      </w:r>
    </w:p>
    <w:p>
      <w:pPr>
        <w:spacing w:after="0" w:line="118"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means Reading International, Inc., a Nevada corporation.</w:t>
      </w:r>
    </w:p>
    <w:p>
      <w:pPr>
        <w:spacing w:after="0" w:line="141" w:lineRule="exact"/>
        <w:rPr>
          <w:rFonts w:ascii="Times New Roman" w:cs="Times New Roman" w:eastAsia="Times New Roman" w:hAnsi="Times New Roman"/>
          <w:sz w:val="16"/>
          <w:szCs w:val="16"/>
          <w:color w:val="auto"/>
        </w:rPr>
      </w:pPr>
    </w:p>
    <w:p>
      <w:pPr>
        <w:jc w:val="both"/>
        <w:ind w:left="860" w:right="20" w:hanging="511"/>
        <w:spacing w:after="0" w:line="216"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Consultant</w:t>
      </w:r>
      <w:r>
        <w:rPr>
          <w:rFonts w:ascii="Times New Roman" w:cs="Times New Roman" w:eastAsia="Times New Roman" w:hAnsi="Times New Roman"/>
          <w:sz w:val="16"/>
          <w:szCs w:val="16"/>
          <w:color w:val="auto"/>
        </w:rPr>
        <w:t>” means any individual engaged by the Company or by an Affiliate to render consulting or advisory services, and who is compensated for such services, or who is a member of the Board of Directors of an Affiliate. For clarity, the term “Consultant” shall not include a Director who is not compensated by the Company other than by way of fees and other compensation for his or her service as a Director.</w:t>
      </w:r>
    </w:p>
    <w:p>
      <w:pPr>
        <w:spacing w:after="0" w:line="118" w:lineRule="exact"/>
        <w:rPr>
          <w:rFonts w:ascii="Times New Roman" w:cs="Times New Roman" w:eastAsia="Times New Roman" w:hAnsi="Times New Roman"/>
          <w:sz w:val="16"/>
          <w:szCs w:val="16"/>
          <w:color w:val="auto"/>
        </w:rPr>
      </w:pPr>
    </w:p>
    <w:p>
      <w:pPr>
        <w:jc w:val="both"/>
        <w:ind w:left="860" w:right="40" w:hanging="511"/>
        <w:spacing w:after="0" w:line="216"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Corporate Transaction</w:t>
      </w:r>
      <w:r>
        <w:rPr>
          <w:rFonts w:ascii="Times New Roman" w:cs="Times New Roman" w:eastAsia="Times New Roman" w:hAnsi="Times New Roman"/>
          <w:sz w:val="16"/>
          <w:szCs w:val="16"/>
          <w:color w:val="auto"/>
        </w:rPr>
        <w:t>” means (i) a sale, lease or other disposition of all or substantially all of the capital stock or assets of the Company, (ii) a merger or consolidation of the Company, or (iii) a reverse merger in which the Company is the surviving corporation but the shares of Common Stock outstanding immediately preceding the merger are converted by virtue of the merger into other property, whether in the form of securities, cash or otherwise.</w:t>
      </w:r>
    </w:p>
    <w:p>
      <w:pPr>
        <w:spacing w:after="0" w:line="118" w:lineRule="exact"/>
        <w:rPr>
          <w:rFonts w:ascii="Times New Roman" w:cs="Times New Roman" w:eastAsia="Times New Roman" w:hAnsi="Times New Roman"/>
          <w:sz w:val="16"/>
          <w:szCs w:val="16"/>
          <w:color w:val="auto"/>
        </w:rPr>
      </w:pPr>
    </w:p>
    <w:p>
      <w:pPr>
        <w:jc w:val="both"/>
        <w:ind w:left="860" w:right="40" w:hanging="511"/>
        <w:spacing w:after="0" w:line="222"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Employee</w:t>
      </w:r>
      <w:r>
        <w:rPr>
          <w:rFonts w:ascii="Times New Roman" w:cs="Times New Roman" w:eastAsia="Times New Roman" w:hAnsi="Times New Roman"/>
          <w:sz w:val="16"/>
          <w:szCs w:val="16"/>
          <w:color w:val="auto"/>
        </w:rPr>
        <w:t>” means the chief executive officer and the four other highest compensated officers of the Company for whom total compensation is required to be reported to stockholders under the Exchange Act, as determined for purposes of Section 162(m) of the Code.</w:t>
      </w:r>
    </w:p>
    <w:p>
      <w:pPr>
        <w:spacing w:after="0" w:line="118"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Director</w:t>
      </w:r>
      <w:r>
        <w:rPr>
          <w:rFonts w:ascii="Times New Roman" w:cs="Times New Roman" w:eastAsia="Times New Roman" w:hAnsi="Times New Roman"/>
          <w:sz w:val="16"/>
          <w:szCs w:val="16"/>
          <w:color w:val="auto"/>
        </w:rPr>
        <w:t>” means a member of the Board of Directors of the Company.</w:t>
      </w:r>
    </w:p>
    <w:p>
      <w:pPr>
        <w:spacing w:after="0" w:line="141"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means the permanent and total disability of a person within the meaning of Section 22(e)(3) of the Code.</w:t>
      </w:r>
    </w:p>
    <w:p>
      <w:pPr>
        <w:spacing w:after="0" w:line="141"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Employee</w:t>
      </w:r>
      <w:r>
        <w:rPr>
          <w:rFonts w:ascii="Times New Roman" w:cs="Times New Roman" w:eastAsia="Times New Roman" w:hAnsi="Times New Roman"/>
          <w:sz w:val="16"/>
          <w:szCs w:val="16"/>
          <w:color w:val="auto"/>
        </w:rPr>
        <w:t>” means any “employee” of the Company or of an Affiliate within the meaning of the Code.</w:t>
      </w:r>
    </w:p>
    <w:p>
      <w:pPr>
        <w:spacing w:after="0" w:line="141"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41"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means the value of the Common Stock determined as follows:</w:t>
      </w:r>
    </w:p>
    <w:p>
      <w:pPr>
        <w:spacing w:after="0" w:line="141" w:lineRule="exact"/>
        <w:rPr>
          <w:rFonts w:ascii="Times New Roman" w:cs="Times New Roman" w:eastAsia="Times New Roman" w:hAnsi="Times New Roman"/>
          <w:sz w:val="16"/>
          <w:szCs w:val="16"/>
          <w:color w:val="auto"/>
        </w:rPr>
      </w:pPr>
    </w:p>
    <w:p>
      <w:pPr>
        <w:jc w:val="both"/>
        <w:ind w:left="1400" w:hanging="531"/>
        <w:spacing w:after="0" w:line="212" w:lineRule="auto"/>
        <w:tabs>
          <w:tab w:leader="none" w:pos="140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Common Stock is listed on any established stock exchange, including the Nasdaq Stock Market, the Fair Market Value of a share of Common Stock shall be the average of the high sales price and the low sales price for such stock (or the closing bid, if no sales were reported) as quoted on such exchange (or the exchange with the greatest volume of trading in the Common Stock) on the day of determination, as reported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or such other source as the Board deems reliable; or</w:t>
      </w:r>
    </w:p>
    <w:p>
      <w:pPr>
        <w:spacing w:after="0" w:line="120" w:lineRule="exact"/>
        <w:rPr>
          <w:rFonts w:ascii="Times New Roman" w:cs="Times New Roman" w:eastAsia="Times New Roman" w:hAnsi="Times New Roman"/>
          <w:sz w:val="16"/>
          <w:szCs w:val="16"/>
          <w:color w:val="auto"/>
        </w:rPr>
      </w:pPr>
    </w:p>
    <w:p>
      <w:pPr>
        <w:ind w:left="1400" w:hanging="531"/>
        <w:spacing w:after="0"/>
        <w:tabs>
          <w:tab w:leader="none" w:pos="1400" w:val="left"/>
        </w:tabs>
        <w:numPr>
          <w:ilvl w:val="1"/>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absence of such listing of the Common Stock, the Fair Market Value shall be determined in good faith by the Board.</w:t>
      </w:r>
    </w:p>
    <w:p>
      <w:pPr>
        <w:spacing w:after="0" w:line="152" w:lineRule="exact"/>
        <w:rPr>
          <w:rFonts w:ascii="Times New Roman" w:cs="Times New Roman" w:eastAsia="Times New Roman" w:hAnsi="Times New Roman"/>
          <w:sz w:val="15"/>
          <w:szCs w:val="15"/>
          <w:color w:val="auto"/>
        </w:rPr>
      </w:pPr>
    </w:p>
    <w:p>
      <w:pPr>
        <w:ind w:left="860" w:right="40" w:hanging="511"/>
        <w:spacing w:after="0" w:line="234"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Incentive Stock Option</w:t>
      </w:r>
      <w:r>
        <w:rPr>
          <w:rFonts w:ascii="Times New Roman" w:cs="Times New Roman" w:eastAsia="Times New Roman" w:hAnsi="Times New Roman"/>
          <w:sz w:val="16"/>
          <w:szCs w:val="16"/>
          <w:color w:val="auto"/>
        </w:rPr>
        <w:t>” means an Option intended to qualify as an “incentive stock option” within the meaning of Section 422 of the Code and the regulations promulgated thereunder.</w:t>
      </w:r>
    </w:p>
    <w:p>
      <w:pPr>
        <w:spacing w:after="0" w:line="118" w:lineRule="exact"/>
        <w:rPr>
          <w:rFonts w:ascii="Times New Roman" w:cs="Times New Roman" w:eastAsia="Times New Roman" w:hAnsi="Times New Roman"/>
          <w:sz w:val="16"/>
          <w:szCs w:val="16"/>
          <w:color w:val="auto"/>
        </w:rPr>
      </w:pPr>
    </w:p>
    <w:p>
      <w:pPr>
        <w:jc w:val="both"/>
        <w:ind w:left="860" w:right="40" w:hanging="511"/>
        <w:spacing w:after="0" w:line="222"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Net Exercise</w:t>
      </w:r>
      <w:r>
        <w:rPr>
          <w:rFonts w:ascii="Times New Roman" w:cs="Times New Roman" w:eastAsia="Times New Roman" w:hAnsi="Times New Roman"/>
          <w:sz w:val="16"/>
          <w:szCs w:val="16"/>
          <w:color w:val="auto"/>
        </w:rPr>
        <w:t>” means the settlement of Options, upon the written election of the holder, by delivery of a number of shares, rounding up to the nearest whole share, of Common Stock of the class for which such Option is exercisable equal to (i) the aggregate Fair Market Value, on the date of exercise, of the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136525</wp:posOffset>
            </wp:positionV>
            <wp:extent cx="5990590" cy="463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10" w:right="1259" w:bottom="1440" w:gutter="0" w:footer="0" w:header="0"/>
        </w:sectPr>
      </w:pPr>
    </w:p>
    <w:bookmarkStart w:id="135" w:name="page136"/>
    <w:bookmarkEnd w:id="135"/>
    <w:p>
      <w:pPr>
        <w:jc w:val="both"/>
        <w:ind w:left="860"/>
        <w:spacing w:after="0" w:line="216" w:lineRule="auto"/>
        <w:rPr>
          <w:sz w:val="20"/>
          <w:szCs w:val="20"/>
          <w:color w:val="auto"/>
        </w:rPr>
      </w:pPr>
      <w:r>
        <w:rPr>
          <w:rFonts w:ascii="Times New Roman" w:cs="Times New Roman" w:eastAsia="Times New Roman" w:hAnsi="Times New Roman"/>
          <w:sz w:val="16"/>
          <w:szCs w:val="16"/>
          <w:color w:val="auto"/>
        </w:rPr>
        <w:t xml:space="preserve">to be issued upon exercise of such Options, less the aggregate exercise price for such Common Stock and the aggregate applicable withholding taxes, divided by (ii) the Fair Market Value per share of such Common Stock on the same date;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holder shall pay, in cash or other method approved by the Board, the proportional exercise price for any fractional share issued pursuant to the foregoing as a result of the rounding up the number of shares to be delivered.</w:t>
      </w:r>
    </w:p>
    <w:p>
      <w:pPr>
        <w:spacing w:after="0" w:line="119" w:lineRule="exact"/>
        <w:rPr>
          <w:sz w:val="20"/>
          <w:szCs w:val="20"/>
          <w:color w:val="auto"/>
        </w:rPr>
      </w:pPr>
    </w:p>
    <w:p>
      <w:pPr>
        <w:ind w:left="860" w:hanging="511"/>
        <w:spacing w:after="0"/>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Non-Employee Director</w:t>
      </w:r>
      <w:r>
        <w:rPr>
          <w:rFonts w:ascii="Times New Roman" w:cs="Times New Roman" w:eastAsia="Times New Roman" w:hAnsi="Times New Roman"/>
          <w:sz w:val="16"/>
          <w:szCs w:val="16"/>
          <w:color w:val="auto"/>
        </w:rPr>
        <w:t>” means a Director who is considered a “non-employee director” within the meaning of Rule 16b-3.</w:t>
      </w:r>
    </w:p>
    <w:p>
      <w:pPr>
        <w:spacing w:after="0" w:line="141"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Nonstatutory Stock Option</w:t>
      </w:r>
      <w:r>
        <w:rPr>
          <w:rFonts w:ascii="Times New Roman" w:cs="Times New Roman" w:eastAsia="Times New Roman" w:hAnsi="Times New Roman"/>
          <w:sz w:val="16"/>
          <w:szCs w:val="16"/>
          <w:color w:val="auto"/>
        </w:rPr>
        <w:t>” means an Option not intended to qualify as an Incentive Stock Option.</w:t>
      </w:r>
    </w:p>
    <w:p>
      <w:pPr>
        <w:spacing w:after="0" w:line="141" w:lineRule="exact"/>
        <w:rPr>
          <w:rFonts w:ascii="Times New Roman" w:cs="Times New Roman" w:eastAsia="Times New Roman" w:hAnsi="Times New Roman"/>
          <w:sz w:val="16"/>
          <w:szCs w:val="16"/>
          <w:color w:val="auto"/>
        </w:rPr>
      </w:pPr>
    </w:p>
    <w:p>
      <w:pPr>
        <w:ind w:left="860" w:hanging="511"/>
        <w:spacing w:after="0" w:line="234" w:lineRule="auto"/>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w:t>
      </w:r>
      <w:r>
        <w:rPr>
          <w:rFonts w:ascii="Times New Roman" w:cs="Times New Roman" w:eastAsia="Times New Roman" w:hAnsi="Times New Roman"/>
          <w:sz w:val="16"/>
          <w:szCs w:val="16"/>
          <w:color w:val="auto"/>
        </w:rPr>
        <w:t>” means a person who is an “officer” of the Company within the meaning of Section 16 of the Exchange Act and the rules and regulations promulgated thereunder.</w:t>
      </w:r>
    </w:p>
    <w:p>
      <w:pPr>
        <w:spacing w:after="0" w:line="118"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w:t>
      </w:r>
      <w:r>
        <w:rPr>
          <w:rFonts w:ascii="Times New Roman" w:cs="Times New Roman" w:eastAsia="Times New Roman" w:hAnsi="Times New Roman"/>
          <w:sz w:val="16"/>
          <w:szCs w:val="16"/>
          <w:color w:val="auto"/>
        </w:rPr>
        <w:t>” means an Incentive Stock Option or a Nonstatutory Stock Option granted pursuant to the Plan.</w:t>
      </w:r>
    </w:p>
    <w:p>
      <w:pPr>
        <w:spacing w:after="0" w:line="141" w:lineRule="exact"/>
        <w:rPr>
          <w:rFonts w:ascii="Times New Roman" w:cs="Times New Roman" w:eastAsia="Times New Roman" w:hAnsi="Times New Roman"/>
          <w:sz w:val="16"/>
          <w:szCs w:val="16"/>
          <w:color w:val="auto"/>
        </w:rPr>
      </w:pPr>
    </w:p>
    <w:p>
      <w:pPr>
        <w:ind w:left="860" w:hanging="511"/>
        <w:spacing w:after="0" w:line="234" w:lineRule="auto"/>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 Agreement</w:t>
      </w:r>
      <w:r>
        <w:rPr>
          <w:rFonts w:ascii="Times New Roman" w:cs="Times New Roman" w:eastAsia="Times New Roman" w:hAnsi="Times New Roman"/>
          <w:sz w:val="16"/>
          <w:szCs w:val="16"/>
          <w:color w:val="auto"/>
        </w:rPr>
        <w:t>” means a written agreement between the Company and an Optionholder evidencing the terms and conditions of an individual Option grant. Each Option Agreement shall be subject to the terms and conditions of the Plan.</w:t>
      </w:r>
    </w:p>
    <w:p>
      <w:pPr>
        <w:spacing w:after="0" w:line="118" w:lineRule="exact"/>
        <w:rPr>
          <w:rFonts w:ascii="Times New Roman" w:cs="Times New Roman" w:eastAsia="Times New Roman" w:hAnsi="Times New Roman"/>
          <w:sz w:val="16"/>
          <w:szCs w:val="16"/>
          <w:color w:val="auto"/>
        </w:rPr>
      </w:pPr>
    </w:p>
    <w:p>
      <w:pPr>
        <w:ind w:left="860" w:hanging="511"/>
        <w:spacing w:after="0" w:line="234" w:lineRule="auto"/>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Optionholder</w:t>
      </w:r>
      <w:r>
        <w:rPr>
          <w:rFonts w:ascii="Times New Roman" w:cs="Times New Roman" w:eastAsia="Times New Roman" w:hAnsi="Times New Roman"/>
          <w:sz w:val="16"/>
          <w:szCs w:val="16"/>
          <w:color w:val="auto"/>
        </w:rPr>
        <w:t>” means a person to whom an Option is granted pursuant to the Plan or, if applicable, such other person who holds an outstanding Option.</w:t>
      </w:r>
    </w:p>
    <w:p>
      <w:pPr>
        <w:spacing w:after="0" w:line="118"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Outside Director</w:t>
      </w:r>
      <w:r>
        <w:rPr>
          <w:rFonts w:ascii="Times New Roman" w:cs="Times New Roman" w:eastAsia="Times New Roman" w:hAnsi="Times New Roman"/>
          <w:sz w:val="16"/>
          <w:szCs w:val="16"/>
          <w:color w:val="auto"/>
        </w:rPr>
        <w:t>” means a Director who is considered an “outside director” within the meaning of Section 162(m) of the Code.</w:t>
      </w:r>
    </w:p>
    <w:p>
      <w:pPr>
        <w:spacing w:after="0" w:line="141" w:lineRule="exact"/>
        <w:rPr>
          <w:rFonts w:ascii="Times New Roman" w:cs="Times New Roman" w:eastAsia="Times New Roman" w:hAnsi="Times New Roman"/>
          <w:sz w:val="16"/>
          <w:szCs w:val="16"/>
          <w:color w:val="auto"/>
        </w:rPr>
      </w:pPr>
    </w:p>
    <w:p>
      <w:pPr>
        <w:ind w:left="860" w:hanging="511"/>
        <w:spacing w:after="0" w:line="234" w:lineRule="auto"/>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means a person to whom a Stock Award is granted pursuant to the Plan or, if applicable, such other person who holds an outstanding Stock Award.</w:t>
      </w:r>
    </w:p>
    <w:p>
      <w:pPr>
        <w:spacing w:after="0" w:line="118" w:lineRule="exact"/>
        <w:rPr>
          <w:rFonts w:ascii="Times New Roman" w:cs="Times New Roman" w:eastAsia="Times New Roman" w:hAnsi="Times New Roman"/>
          <w:sz w:val="16"/>
          <w:szCs w:val="16"/>
          <w:color w:val="auto"/>
        </w:rPr>
      </w:pPr>
    </w:p>
    <w:p>
      <w:pPr>
        <w:ind w:left="860" w:hanging="511"/>
        <w:spacing w:after="0" w:line="234" w:lineRule="auto"/>
        <w:tabs>
          <w:tab w:leader="none" w:pos="8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means this Reading International, Inc. 2010 Stock Incentive Plan as originally adopted by the Board on March 11, 2010, and as it may be amended from time to time.</w:t>
      </w:r>
    </w:p>
    <w:p>
      <w:pPr>
        <w:spacing w:after="0" w:line="118" w:lineRule="exact"/>
        <w:rPr>
          <w:sz w:val="20"/>
          <w:szCs w:val="20"/>
          <w:color w:val="auto"/>
        </w:rPr>
      </w:pPr>
    </w:p>
    <w:p>
      <w:pPr>
        <w:jc w:val="both"/>
        <w:ind w:left="860" w:hanging="511"/>
        <w:spacing w:after="0" w:line="222" w:lineRule="auto"/>
        <w:tabs>
          <w:tab w:leader="none" w:pos="8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Stock Units</w:t>
      </w:r>
      <w:r>
        <w:rPr>
          <w:rFonts w:ascii="Times New Roman" w:cs="Times New Roman" w:eastAsia="Times New Roman" w:hAnsi="Times New Roman"/>
          <w:sz w:val="16"/>
          <w:szCs w:val="16"/>
          <w:color w:val="auto"/>
        </w:rPr>
        <w:t>” means a Stock Award which may be earned in whole or in part upon the passage of time or the attainment of performance criteria established by the Board and which may be settled for Common Stock, other securities or cash or a combination of Common Stock, other securities or cash as established by the Board.</w:t>
      </w:r>
    </w:p>
    <w:p>
      <w:pPr>
        <w:spacing w:after="0" w:line="118" w:lineRule="exact"/>
        <w:rPr>
          <w:rFonts w:ascii="Times New Roman" w:cs="Times New Roman" w:eastAsia="Times New Roman" w:hAnsi="Times New Roman"/>
          <w:sz w:val="16"/>
          <w:szCs w:val="16"/>
          <w:color w:val="auto"/>
        </w:rPr>
      </w:pPr>
    </w:p>
    <w:p>
      <w:pPr>
        <w:ind w:left="860" w:hanging="511"/>
        <w:spacing w:after="0" w:line="234" w:lineRule="auto"/>
        <w:tabs>
          <w:tab w:leader="none" w:pos="8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16b-3</w:t>
      </w:r>
      <w:r>
        <w:rPr>
          <w:rFonts w:ascii="Times New Roman" w:cs="Times New Roman" w:eastAsia="Times New Roman" w:hAnsi="Times New Roman"/>
          <w:sz w:val="16"/>
          <w:szCs w:val="16"/>
          <w:color w:val="auto"/>
        </w:rPr>
        <w:t>” means Rule 16b-3 promulgated under the Exchange Act or any successor to Rule 16b-3, as in effect from time to time.</w:t>
      </w:r>
    </w:p>
    <w:p>
      <w:pPr>
        <w:spacing w:after="0" w:line="118" w:lineRule="exact"/>
        <w:rPr>
          <w:rFonts w:ascii="Times New Roman" w:cs="Times New Roman" w:eastAsia="Times New Roman" w:hAnsi="Times New Roman"/>
          <w:sz w:val="16"/>
          <w:szCs w:val="16"/>
          <w:color w:val="auto"/>
        </w:rPr>
      </w:pPr>
    </w:p>
    <w:p>
      <w:pPr>
        <w:ind w:left="860" w:hanging="511"/>
        <w:spacing w:after="0"/>
        <w:tabs>
          <w:tab w:leader="none" w:pos="8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w:t>
      </w:r>
    </w:p>
    <w:p>
      <w:pPr>
        <w:spacing w:after="0" w:line="141" w:lineRule="exact"/>
        <w:rPr>
          <w:rFonts w:ascii="Times New Roman" w:cs="Times New Roman" w:eastAsia="Times New Roman" w:hAnsi="Times New Roman"/>
          <w:sz w:val="16"/>
          <w:szCs w:val="16"/>
          <w:color w:val="auto"/>
        </w:rPr>
      </w:pPr>
    </w:p>
    <w:p>
      <w:pPr>
        <w:jc w:val="both"/>
        <w:ind w:left="860" w:hanging="511"/>
        <w:spacing w:after="0" w:line="222" w:lineRule="auto"/>
        <w:tabs>
          <w:tab w:leader="none" w:pos="8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 Award</w:t>
      </w:r>
      <w:r>
        <w:rPr>
          <w:rFonts w:ascii="Times New Roman" w:cs="Times New Roman" w:eastAsia="Times New Roman" w:hAnsi="Times New Roman"/>
          <w:sz w:val="16"/>
          <w:szCs w:val="16"/>
          <w:color w:val="auto"/>
        </w:rPr>
        <w:t>” means any right granted under the Plan, including an Option, a stock bonus, a right to acquire restricted stock, a restricted stock unit and a stock appreciation right granted under the Plan, whether singly, in combination or in tandem, to a Participant by the Board pursuant to such terms, conditions, restrictions and/or limitations, if any, as the Board may establish.</w:t>
      </w:r>
    </w:p>
    <w:p>
      <w:pPr>
        <w:spacing w:after="0" w:line="118" w:lineRule="exact"/>
        <w:rPr>
          <w:rFonts w:ascii="Times New Roman" w:cs="Times New Roman" w:eastAsia="Times New Roman" w:hAnsi="Times New Roman"/>
          <w:sz w:val="16"/>
          <w:szCs w:val="16"/>
          <w:color w:val="auto"/>
        </w:rPr>
      </w:pPr>
    </w:p>
    <w:p>
      <w:pPr>
        <w:jc w:val="both"/>
        <w:ind w:left="860" w:hanging="511"/>
        <w:spacing w:after="0" w:line="222" w:lineRule="auto"/>
        <w:tabs>
          <w:tab w:leader="none" w:pos="8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w:t>
      </w:r>
      <w:r>
        <w:rPr>
          <w:rFonts w:ascii="Times New Roman" w:cs="Times New Roman" w:eastAsia="Times New Roman" w:hAnsi="Times New Roman"/>
          <w:sz w:val="16"/>
          <w:szCs w:val="16"/>
          <w:color w:val="auto"/>
        </w:rPr>
        <w:t>” means a Participant’s service with the Company or with an Affiliate, whether as a Director, Employee or Consultant. For purposes of the Plan, a Participant’s Service shall not be deemed to have terminated solely because of a change in the capacity in which the Participant renders services to the Company 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136525</wp:posOffset>
            </wp:positionV>
            <wp:extent cx="5990590" cy="463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160"/>
          </w:cols>
          <w:pgMar w:left="1440" w:top="110" w:right="1299" w:bottom="1440" w:gutter="0" w:footer="0" w:header="0"/>
        </w:sectPr>
      </w:pPr>
    </w:p>
    <w:bookmarkStart w:id="136" w:name="page137"/>
    <w:bookmarkEnd w:id="136"/>
    <w:p>
      <w:pPr>
        <w:jc w:val="both"/>
        <w:ind w:left="1032"/>
        <w:spacing w:after="0" w:line="212" w:lineRule="auto"/>
        <w:rPr>
          <w:sz w:val="20"/>
          <w:szCs w:val="20"/>
          <w:color w:val="auto"/>
        </w:rPr>
      </w:pPr>
      <w:r>
        <w:rPr>
          <w:rFonts w:ascii="Times New Roman" w:cs="Times New Roman" w:eastAsia="Times New Roman" w:hAnsi="Times New Roman"/>
          <w:sz w:val="16"/>
          <w:szCs w:val="16"/>
          <w:color w:val="auto"/>
        </w:rPr>
        <w:t>Affiliate or a change in the entity for which the Participant renders such Service. By way of example, a change in status from an Employee of the Company to a Consultant or a Director, by itself, will not constitute a termination of Service. The Board or the Chief Executive Officer of the Company, in that party’s sole discretion, may determine whether a Participant’s Service shall be considered interrupted in the case of the Participant’s leave of absence approved by that party, including sick leave, military leave or any other personal leave.</w:t>
      </w:r>
    </w:p>
    <w:p>
      <w:pPr>
        <w:spacing w:after="0" w:line="119" w:lineRule="exact"/>
        <w:rPr>
          <w:sz w:val="20"/>
          <w:szCs w:val="20"/>
          <w:color w:val="auto"/>
        </w:rPr>
      </w:pPr>
    </w:p>
    <w:p>
      <w:pPr>
        <w:jc w:val="both"/>
        <w:ind w:left="1032" w:hanging="511"/>
        <w:spacing w:after="0" w:line="222" w:lineRule="auto"/>
        <w:tabs>
          <w:tab w:leader="none" w:pos="1032"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 Award Agreement</w:t>
      </w:r>
      <w:r>
        <w:rPr>
          <w:rFonts w:ascii="Times New Roman" w:cs="Times New Roman" w:eastAsia="Times New Roman" w:hAnsi="Times New Roman"/>
          <w:sz w:val="16"/>
          <w:szCs w:val="16"/>
          <w:color w:val="auto"/>
        </w:rPr>
        <w:t>” means a written agreement between the Company and a holder of a Stock Award evidencing the terms and conditions of an individual Stock Award grant. Each Stock Award Agreement shall be subject to the terms and conditions of the Plan.</w:t>
      </w:r>
    </w:p>
    <w:p>
      <w:pPr>
        <w:spacing w:after="0" w:line="118" w:lineRule="exact"/>
        <w:rPr>
          <w:rFonts w:ascii="Times New Roman" w:cs="Times New Roman" w:eastAsia="Times New Roman" w:hAnsi="Times New Roman"/>
          <w:sz w:val="16"/>
          <w:szCs w:val="16"/>
          <w:color w:val="auto"/>
        </w:rPr>
      </w:pPr>
    </w:p>
    <w:p>
      <w:pPr>
        <w:ind w:left="1032" w:hanging="511"/>
        <w:spacing w:after="0" w:line="234" w:lineRule="auto"/>
        <w:tabs>
          <w:tab w:leader="none" w:pos="1032"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Ten Percent Stockholder</w:t>
      </w:r>
      <w:r>
        <w:rPr>
          <w:rFonts w:ascii="Times New Roman" w:cs="Times New Roman" w:eastAsia="Times New Roman" w:hAnsi="Times New Roman"/>
          <w:sz w:val="16"/>
          <w:szCs w:val="16"/>
          <w:color w:val="auto"/>
        </w:rPr>
        <w:t>” means a person who owns (or is deemed to own pursuant to Section 424(d) of the Code) stock possessing more than ten percent of the total combined voting power of all classes of stock of the Company or of any Affiliate.</w:t>
      </w:r>
    </w:p>
    <w:p>
      <w:pPr>
        <w:spacing w:after="0" w:line="116" w:lineRule="exact"/>
        <w:rPr>
          <w:rFonts w:ascii="Times New Roman" w:cs="Times New Roman" w:eastAsia="Times New Roman" w:hAnsi="Times New Roman"/>
          <w:sz w:val="16"/>
          <w:szCs w:val="16"/>
          <w:color w:val="auto"/>
        </w:rPr>
      </w:pPr>
    </w:p>
    <w:p>
      <w:pPr>
        <w:ind w:left="512" w:hanging="512"/>
        <w:spacing w:after="0"/>
        <w:tabs>
          <w:tab w:leader="none" w:pos="51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ADMINISTRATION</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left="1032" w:right="20" w:hanging="511"/>
        <w:spacing w:after="0" w:line="235" w:lineRule="auto"/>
        <w:tabs>
          <w:tab w:leader="none" w:pos="1032"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Administration by Board</w:t>
      </w:r>
      <w:r>
        <w:rPr>
          <w:rFonts w:ascii="Times New Roman" w:cs="Times New Roman" w:eastAsia="Times New Roman" w:hAnsi="Times New Roman"/>
          <w:sz w:val="16"/>
          <w:szCs w:val="16"/>
          <w:color w:val="auto"/>
        </w:rPr>
        <w:t>. The Board shall administer the Plan unless and to the extent the Board delegates administration to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Committee as provided in subsection 3(c).</w:t>
      </w:r>
    </w:p>
    <w:p>
      <w:pPr>
        <w:spacing w:after="0" w:line="116" w:lineRule="exact"/>
        <w:rPr>
          <w:rFonts w:ascii="Times New Roman" w:cs="Times New Roman" w:eastAsia="Times New Roman" w:hAnsi="Times New Roman"/>
          <w:sz w:val="16"/>
          <w:szCs w:val="16"/>
          <w:color w:val="auto"/>
        </w:rPr>
      </w:pPr>
    </w:p>
    <w:p>
      <w:pPr>
        <w:ind w:left="1032" w:hanging="511"/>
        <w:spacing w:after="0"/>
        <w:tabs>
          <w:tab w:leader="none" w:pos="1032"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Powers of Board</w:t>
      </w:r>
      <w:r>
        <w:rPr>
          <w:rFonts w:ascii="Times New Roman" w:cs="Times New Roman" w:eastAsia="Times New Roman" w:hAnsi="Times New Roman"/>
          <w:sz w:val="16"/>
          <w:szCs w:val="16"/>
          <w:color w:val="auto"/>
        </w:rPr>
        <w:t>. The Board shall have the power, subject to, and within the limitations of, the express provisions of the Plan:</w:t>
      </w:r>
    </w:p>
    <w:p>
      <w:pPr>
        <w:spacing w:after="0" w:line="143" w:lineRule="exact"/>
        <w:rPr>
          <w:rFonts w:ascii="Times New Roman" w:cs="Times New Roman" w:eastAsia="Times New Roman" w:hAnsi="Times New Roman"/>
          <w:sz w:val="16"/>
          <w:szCs w:val="16"/>
          <w:color w:val="auto"/>
        </w:rPr>
      </w:pPr>
    </w:p>
    <w:p>
      <w:pPr>
        <w:jc w:val="both"/>
        <w:ind w:left="1572" w:right="20" w:hanging="531"/>
        <w:spacing w:after="0" w:line="216" w:lineRule="auto"/>
        <w:tabs>
          <w:tab w:leader="none" w:pos="1572"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from time to time who, among the persons eligible under the Plan, shall be granted Stock Awards; when and how each Stock Award shall be granted; what type or combination of types of Stock Award shall be granted; the number of shares of Common Stock with respect to which a Stock Award shall be granted; and the other terms and provisions of each Stock Award granted (which need not be identical).</w:t>
      </w:r>
    </w:p>
    <w:p>
      <w:pPr>
        <w:spacing w:after="0" w:line="118" w:lineRule="exact"/>
        <w:rPr>
          <w:rFonts w:ascii="Times New Roman" w:cs="Times New Roman" w:eastAsia="Times New Roman" w:hAnsi="Times New Roman"/>
          <w:sz w:val="16"/>
          <w:szCs w:val="16"/>
          <w:color w:val="auto"/>
        </w:rPr>
      </w:pPr>
    </w:p>
    <w:p>
      <w:pPr>
        <w:ind w:left="1572" w:right="20" w:hanging="531"/>
        <w:spacing w:after="0" w:line="234" w:lineRule="auto"/>
        <w:tabs>
          <w:tab w:leader="none" w:pos="1572"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reprice any outstanding Stock Awards under the Plan, cancel and re-grant any outstanding Stock Awards under the Plan and effect any other action that is treated as a repricing for financial accounting purposes.</w:t>
      </w:r>
    </w:p>
    <w:p>
      <w:pPr>
        <w:spacing w:after="0" w:line="118" w:lineRule="exact"/>
        <w:rPr>
          <w:rFonts w:ascii="Times New Roman" w:cs="Times New Roman" w:eastAsia="Times New Roman" w:hAnsi="Times New Roman"/>
          <w:sz w:val="16"/>
          <w:szCs w:val="16"/>
          <w:color w:val="auto"/>
        </w:rPr>
      </w:pPr>
    </w:p>
    <w:p>
      <w:pPr>
        <w:jc w:val="both"/>
        <w:ind w:left="1552" w:right="20" w:hanging="511"/>
        <w:spacing w:after="0" w:line="216" w:lineRule="auto"/>
        <w:tabs>
          <w:tab w:leader="none" w:pos="1552"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construe and interpret the Plan and all Stock Awards, and to establish, amend and revoke rules and regulations for the Plan’s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118" w:lineRule="exact"/>
        <w:rPr>
          <w:rFonts w:ascii="Times New Roman" w:cs="Times New Roman" w:eastAsia="Times New Roman" w:hAnsi="Times New Roman"/>
          <w:sz w:val="16"/>
          <w:szCs w:val="16"/>
          <w:color w:val="auto"/>
        </w:rPr>
      </w:pPr>
    </w:p>
    <w:p>
      <w:pPr>
        <w:ind w:left="1552" w:hanging="511"/>
        <w:spacing w:after="0"/>
        <w:tabs>
          <w:tab w:leader="none" w:pos="1552"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amend the Plan or a Stock Award as provided in Section 12.</w:t>
      </w:r>
    </w:p>
    <w:p>
      <w:pPr>
        <w:spacing w:after="0" w:line="141" w:lineRule="exact"/>
        <w:rPr>
          <w:rFonts w:ascii="Times New Roman" w:cs="Times New Roman" w:eastAsia="Times New Roman" w:hAnsi="Times New Roman"/>
          <w:sz w:val="16"/>
          <w:szCs w:val="16"/>
          <w:color w:val="auto"/>
        </w:rPr>
      </w:pPr>
    </w:p>
    <w:p>
      <w:pPr>
        <w:ind w:left="1552" w:hanging="511"/>
        <w:spacing w:after="0"/>
        <w:tabs>
          <w:tab w:leader="none" w:pos="1552"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terminate or suspend the Plan as provided in Section 13.</w:t>
      </w:r>
    </w:p>
    <w:p>
      <w:pPr>
        <w:spacing w:after="0" w:line="141" w:lineRule="exact"/>
        <w:rPr>
          <w:rFonts w:ascii="Times New Roman" w:cs="Times New Roman" w:eastAsia="Times New Roman" w:hAnsi="Times New Roman"/>
          <w:sz w:val="16"/>
          <w:szCs w:val="16"/>
          <w:color w:val="auto"/>
        </w:rPr>
      </w:pPr>
    </w:p>
    <w:p>
      <w:pPr>
        <w:ind w:left="1552" w:right="20" w:hanging="511"/>
        <w:spacing w:after="0" w:line="234" w:lineRule="auto"/>
        <w:tabs>
          <w:tab w:leader="none" w:pos="1552"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to exercise such powers and to perform such acts as the Board deems necessary or expedient to promote the best interests of the Company.</w:t>
      </w:r>
    </w:p>
    <w:p>
      <w:pPr>
        <w:spacing w:after="0" w:line="116" w:lineRule="exact"/>
        <w:rPr>
          <w:rFonts w:ascii="Times New Roman" w:cs="Times New Roman" w:eastAsia="Times New Roman" w:hAnsi="Times New Roman"/>
          <w:sz w:val="16"/>
          <w:szCs w:val="16"/>
          <w:color w:val="auto"/>
        </w:rPr>
      </w:pPr>
    </w:p>
    <w:p>
      <w:pPr>
        <w:ind w:left="1032" w:hanging="511"/>
        <w:spacing w:after="0"/>
        <w:tabs>
          <w:tab w:leader="none" w:pos="1032"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Delegation to Committee</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jc w:val="both"/>
        <w:ind w:left="1572" w:right="20" w:hanging="531"/>
        <w:spacing w:after="0" w:line="223" w:lineRule="auto"/>
        <w:tabs>
          <w:tab w:leader="none" w:pos="1572"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General</w:t>
      </w:r>
      <w:r>
        <w:rPr>
          <w:rFonts w:ascii="Times New Roman" w:cs="Times New Roman" w:eastAsia="Times New Roman" w:hAnsi="Times New Roman"/>
          <w:sz w:val="16"/>
          <w:szCs w:val="16"/>
          <w:color w:val="auto"/>
        </w:rPr>
        <w:t>. The Board may delegate administration of the Plan to a Committee of one or more Directors, and the term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“Committee” shall apply to any Director or Directors to whom such authority has been delegated. If administration is delegated to a Committee, the Committee shall have,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5990590" cy="463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32"/>
          </w:cols>
          <w:pgMar w:left="1268" w:top="111" w:right="1299" w:bottom="1440" w:gutter="0" w:footer="0" w:header="0"/>
        </w:sectPr>
      </w:pPr>
    </w:p>
    <w:bookmarkStart w:id="137" w:name="page138"/>
    <w:bookmarkEnd w:id="137"/>
    <w:p>
      <w:pPr>
        <w:jc w:val="both"/>
        <w:ind w:left="1572"/>
        <w:spacing w:after="0" w:line="212" w:lineRule="auto"/>
        <w:rPr>
          <w:sz w:val="20"/>
          <w:szCs w:val="20"/>
          <w:color w:val="auto"/>
        </w:rPr>
      </w:pPr>
      <w:r>
        <w:rPr>
          <w:rFonts w:ascii="Times New Roman" w:cs="Times New Roman" w:eastAsia="Times New Roman" w:hAnsi="Times New Roman"/>
          <w:sz w:val="16"/>
          <w:szCs w:val="16"/>
          <w:color w:val="auto"/>
        </w:rPr>
        <w:t>connection with the administration of the Plan, all of the powers theretofore possessed by the Board, including the power to delegate nondiscretionary administrative duties to such employees of the Company as the Committee deems proper (and references in this Plan to the Board shall thereafter be to the Committee), subject, however, to such resolutions, not inconsistent with the provisions of the Plan, as may be adopted from time to time by the Board. The Board may abolish the Committee at any time and restore to the Board the administration of the Plan.</w:t>
      </w:r>
    </w:p>
    <w:p>
      <w:pPr>
        <w:spacing w:after="0" w:line="117" w:lineRule="exact"/>
        <w:rPr>
          <w:sz w:val="20"/>
          <w:szCs w:val="20"/>
          <w:color w:val="auto"/>
        </w:rPr>
      </w:pPr>
    </w:p>
    <w:p>
      <w:pPr>
        <w:jc w:val="both"/>
        <w:ind w:left="1572" w:hanging="531"/>
        <w:spacing w:after="0" w:line="210" w:lineRule="auto"/>
        <w:tabs>
          <w:tab w:leader="none" w:pos="1572" w:val="left"/>
        </w:tabs>
        <w:numPr>
          <w:ilvl w:val="2"/>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Committee Composition</w:t>
      </w:r>
      <w:r>
        <w:rPr>
          <w:rFonts w:ascii="Times New Roman" w:cs="Times New Roman" w:eastAsia="Times New Roman" w:hAnsi="Times New Roman"/>
          <w:sz w:val="16"/>
          <w:szCs w:val="16"/>
          <w:color w:val="auto"/>
        </w:rPr>
        <w:t>. In the discretion of the Board, the Committee may consist solely of two or more Outside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Directors or two or more Non-Employee Directors. Within the scope of the Committee’s delegated authority, the Committee may delegate to the Chairman of the Board the authority to grant Stock Awards to eligible persons who are not (a) then Covered Employees and are not expected to be Covered Employees at the time of recognition of income resulting from such Stock Award or (b) persons with respect to whom the Company wishes to comply with Section 162(m) of the Code or (c) persons who are then subject to Section 16 of the Exchange Act.</w:t>
      </w:r>
    </w:p>
    <w:p>
      <w:pPr>
        <w:spacing w:after="0" w:line="118" w:lineRule="exact"/>
        <w:rPr>
          <w:rFonts w:ascii="Times New Roman" w:cs="Times New Roman" w:eastAsia="Times New Roman" w:hAnsi="Times New Roman"/>
          <w:sz w:val="16"/>
          <w:szCs w:val="16"/>
          <w:color w:val="auto"/>
        </w:rPr>
      </w:pPr>
    </w:p>
    <w:p>
      <w:pPr>
        <w:ind w:left="1032" w:hanging="511"/>
        <w:spacing w:after="0" w:line="235" w:lineRule="auto"/>
        <w:tabs>
          <w:tab w:leader="none" w:pos="1065"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Effect of Board’s Decision</w:t>
      </w:r>
      <w:r>
        <w:rPr>
          <w:rFonts w:ascii="Times New Roman" w:cs="Times New Roman" w:eastAsia="Times New Roman" w:hAnsi="Times New Roman"/>
          <w:sz w:val="16"/>
          <w:szCs w:val="16"/>
          <w:color w:val="auto"/>
        </w:rPr>
        <w:t>. All determinations, interpretations and constructions made by the Board in good faith shall not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review by any person and shall be final, binding and conclusive on all persons.</w:t>
      </w:r>
    </w:p>
    <w:p>
      <w:pPr>
        <w:spacing w:after="0" w:line="116" w:lineRule="exact"/>
        <w:rPr>
          <w:rFonts w:ascii="Times New Roman" w:cs="Times New Roman" w:eastAsia="Times New Roman" w:hAnsi="Times New Roman"/>
          <w:sz w:val="16"/>
          <w:szCs w:val="16"/>
          <w:color w:val="auto"/>
        </w:rPr>
      </w:pPr>
    </w:p>
    <w:p>
      <w:pPr>
        <w:ind w:left="632" w:hanging="632"/>
        <w:spacing w:after="0"/>
        <w:tabs>
          <w:tab w:leader="none" w:pos="632"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SHARES SUBJECT TO THE PLAN</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b w:val="1"/>
          <w:bCs w:val="1"/>
          <w:color w:val="auto"/>
        </w:rPr>
      </w:pPr>
    </w:p>
    <w:p>
      <w:pPr>
        <w:jc w:val="both"/>
        <w:ind w:left="1032" w:hanging="511"/>
        <w:spacing w:after="0" w:line="208" w:lineRule="auto"/>
        <w:tabs>
          <w:tab w:leader="none" w:pos="1057"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Share Reserve</w:t>
      </w:r>
      <w:r>
        <w:rPr>
          <w:rFonts w:ascii="Times New Roman" w:cs="Times New Roman" w:eastAsia="Times New Roman" w:hAnsi="Times New Roman"/>
          <w:sz w:val="16"/>
          <w:szCs w:val="16"/>
          <w:color w:val="auto"/>
        </w:rPr>
        <w:t>. Subject to the provisions of subsection 11(a) relating to adjustments upon changes in Common Stock, the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Common Stock that may be issued pursuant to Stock Awards shall not exceed in the aggregate 2,197,460 shares of Class A Stock and 200,000 shares of Class B Stock. Subject to subsection 4(b), the number of shares available for issuance under the Plan shall be reduced by (i) one share for each share of Common Stock issued pursuant to a Stock Award granted under Section 6 or Section 7 and (ii) one share for each Common Stock equivalent subject to a stock appreciation right granted under subsection 7(c). Each Stock Award shall be denominated in either Class A Stock or Class B Stock as the Board shall determine at the time of grant.</w:t>
      </w:r>
    </w:p>
    <w:p>
      <w:pPr>
        <w:spacing w:after="0" w:line="120" w:lineRule="exact"/>
        <w:rPr>
          <w:rFonts w:ascii="Times New Roman" w:cs="Times New Roman" w:eastAsia="Times New Roman" w:hAnsi="Times New Roman"/>
          <w:sz w:val="16"/>
          <w:szCs w:val="16"/>
          <w:color w:val="auto"/>
        </w:rPr>
      </w:pPr>
    </w:p>
    <w:p>
      <w:pPr>
        <w:ind w:left="1072" w:hanging="551"/>
        <w:spacing w:after="0"/>
        <w:tabs>
          <w:tab w:leader="none" w:pos="1072"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Reversion of Shares to the Share Reserve</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jc w:val="both"/>
        <w:ind w:left="1572" w:right="100" w:hanging="531"/>
        <w:spacing w:after="0" w:line="210" w:lineRule="auto"/>
        <w:tabs>
          <w:tab w:leader="none" w:pos="1572"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Shares Available For Subsequent Issuance</w:t>
      </w:r>
      <w:r>
        <w:rPr>
          <w:rFonts w:ascii="Times New Roman" w:cs="Times New Roman" w:eastAsia="Times New Roman" w:hAnsi="Times New Roman"/>
          <w:sz w:val="16"/>
          <w:szCs w:val="16"/>
          <w:color w:val="auto"/>
        </w:rPr>
        <w:t>. If any (i) Stock Award shall for any reason expire or otherwise terminate,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whole or in part, without having been exercised or paid in full or (ii) shares of Common Stock issued to a Participant pursuant to a Stock Award are forfeited to or repurchased by the Company, including any repurchase or forfeiture caused by the failure to meet a contingency or condition required for the vesting of such shares, then the shares of Common Stock not issued under such Stock Award, or forfeited to or repurchased by the Company, shall revert to and again become available for issuance under the Plan.</w:t>
      </w:r>
    </w:p>
    <w:p>
      <w:pPr>
        <w:spacing w:after="0" w:line="119" w:lineRule="exact"/>
        <w:rPr>
          <w:sz w:val="20"/>
          <w:szCs w:val="20"/>
          <w:color w:val="auto"/>
        </w:rPr>
      </w:pPr>
    </w:p>
    <w:p>
      <w:pPr>
        <w:jc w:val="both"/>
        <w:ind w:left="1572" w:right="100" w:hanging="531"/>
        <w:spacing w:after="0" w:line="213" w:lineRule="auto"/>
        <w:tabs>
          <w:tab w:leader="none" w:pos="157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Shares Not Available For Subsequent Issuance. </w:t>
      </w:r>
      <w:r>
        <w:rPr>
          <w:rFonts w:ascii="Times New Roman" w:cs="Times New Roman" w:eastAsia="Times New Roman" w:hAnsi="Times New Roman"/>
          <w:sz w:val="16"/>
          <w:szCs w:val="16"/>
          <w:color w:val="auto"/>
        </w:rPr>
        <w:t>If any shares subject to a Stock Award are not delivered to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because the Stock Award is exercised through a reduction of shares subject to the Stock Award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a Net Exercise or an Approved Cashless Exercise), the number of shares that are not delivered to the Participant shall no longer be available for issuance under the Plan. If any shares subject to a Stock Award are not delivered to a Participant because such shares are withheld in satisfaction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5990590" cy="46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12"/>
          </w:cols>
          <w:pgMar w:left="1268" w:top="111" w:right="1319" w:bottom="1440" w:gutter="0" w:footer="0" w:header="0"/>
        </w:sectPr>
      </w:pPr>
    </w:p>
    <w:bookmarkStart w:id="138" w:name="page139"/>
    <w:bookmarkEnd w:id="138"/>
    <w:p>
      <w:pPr>
        <w:jc w:val="both"/>
        <w:ind w:left="1572" w:right="160"/>
        <w:spacing w:after="0" w:line="222" w:lineRule="auto"/>
        <w:rPr>
          <w:sz w:val="20"/>
          <w:szCs w:val="20"/>
          <w:color w:val="auto"/>
        </w:rPr>
      </w:pPr>
      <w:r>
        <w:rPr>
          <w:rFonts w:ascii="Times New Roman" w:cs="Times New Roman" w:eastAsia="Times New Roman" w:hAnsi="Times New Roman"/>
          <w:sz w:val="16"/>
          <w:szCs w:val="16"/>
          <w:color w:val="auto"/>
        </w:rPr>
        <w:t>withholding of taxes incurred in connection with the exercise of an Option or a SAR, or the issuance of shares under a stock bonus award or restricted stock award, the number of shares that are not delivered to the Participant shall no longer be available for subsequent issuance under the Plan.</w:t>
      </w:r>
    </w:p>
    <w:p>
      <w:pPr>
        <w:spacing w:after="0" w:line="117" w:lineRule="exact"/>
        <w:rPr>
          <w:sz w:val="20"/>
          <w:szCs w:val="20"/>
          <w:color w:val="auto"/>
        </w:rPr>
      </w:pPr>
    </w:p>
    <w:p>
      <w:pPr>
        <w:ind w:left="1032" w:right="1360" w:hanging="511"/>
        <w:spacing w:after="0" w:line="235" w:lineRule="auto"/>
        <w:tabs>
          <w:tab w:leader="none" w:pos="1057"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Source of Shares. </w:t>
      </w:r>
      <w:r>
        <w:rPr>
          <w:rFonts w:ascii="Times New Roman" w:cs="Times New Roman" w:eastAsia="Times New Roman" w:hAnsi="Times New Roman"/>
          <w:sz w:val="16"/>
          <w:szCs w:val="16"/>
          <w:color w:val="auto"/>
        </w:rPr>
        <w:t>The shares of Common Stock subject to the Plan may be unissued shares or treasury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w:t>
      </w:r>
    </w:p>
    <w:p>
      <w:pPr>
        <w:spacing w:after="0" w:line="116" w:lineRule="exact"/>
        <w:rPr>
          <w:rFonts w:ascii="Times New Roman" w:cs="Times New Roman" w:eastAsia="Times New Roman" w:hAnsi="Times New Roman"/>
          <w:sz w:val="16"/>
          <w:szCs w:val="16"/>
          <w:color w:val="auto"/>
        </w:rPr>
      </w:pPr>
    </w:p>
    <w:p>
      <w:pPr>
        <w:ind w:left="632" w:hanging="632"/>
        <w:spacing w:after="0"/>
        <w:tabs>
          <w:tab w:leader="none" w:pos="632"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ELIGIBILITY</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b w:val="1"/>
          <w:bCs w:val="1"/>
          <w:color w:val="auto"/>
        </w:rPr>
      </w:pPr>
    </w:p>
    <w:p>
      <w:pPr>
        <w:ind w:left="1032" w:right="160" w:hanging="511"/>
        <w:spacing w:after="0" w:line="235" w:lineRule="auto"/>
        <w:tabs>
          <w:tab w:leader="none" w:pos="1032"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Eligibility for Specific Stock Awards. </w:t>
      </w:r>
      <w:r>
        <w:rPr>
          <w:rFonts w:ascii="Times New Roman" w:cs="Times New Roman" w:eastAsia="Times New Roman" w:hAnsi="Times New Roman"/>
          <w:sz w:val="16"/>
          <w:szCs w:val="16"/>
          <w:color w:val="auto"/>
        </w:rPr>
        <w:t>Incentive Stock Options may be granted only to Employees. Stock Awards other than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Incentive Stock Options may be granted to Employees, Directors and Consultants.</w:t>
      </w:r>
    </w:p>
    <w:p>
      <w:pPr>
        <w:spacing w:after="0" w:line="116" w:lineRule="exact"/>
        <w:rPr>
          <w:rFonts w:ascii="Times New Roman" w:cs="Times New Roman" w:eastAsia="Times New Roman" w:hAnsi="Times New Roman"/>
          <w:sz w:val="16"/>
          <w:szCs w:val="16"/>
          <w:color w:val="auto"/>
        </w:rPr>
      </w:pPr>
    </w:p>
    <w:p>
      <w:pPr>
        <w:jc w:val="both"/>
        <w:ind w:left="1032" w:right="160" w:hanging="511"/>
        <w:spacing w:after="0" w:line="223" w:lineRule="auto"/>
        <w:tabs>
          <w:tab w:leader="none" w:pos="1032"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Ten Percent Stockholders. </w:t>
      </w:r>
      <w:r>
        <w:rPr>
          <w:rFonts w:ascii="Times New Roman" w:cs="Times New Roman" w:eastAsia="Times New Roman" w:hAnsi="Times New Roman"/>
          <w:sz w:val="16"/>
          <w:szCs w:val="16"/>
          <w:color w:val="auto"/>
        </w:rPr>
        <w:t>A Ten Percent Stockholder shall not be granted an Incentive Stock Option unless the exercise price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such Option is at least 110% of the Fair Market Value of the Common Stock at the date of grant and the Option is not exercisable after the expiration of five years from the date of grant.</w:t>
      </w:r>
    </w:p>
    <w:p>
      <w:pPr>
        <w:spacing w:after="0" w:line="116" w:lineRule="exact"/>
        <w:rPr>
          <w:rFonts w:ascii="Times New Roman" w:cs="Times New Roman" w:eastAsia="Times New Roman" w:hAnsi="Times New Roman"/>
          <w:sz w:val="16"/>
          <w:szCs w:val="16"/>
          <w:color w:val="auto"/>
        </w:rPr>
      </w:pPr>
    </w:p>
    <w:p>
      <w:pPr>
        <w:jc w:val="both"/>
        <w:ind w:left="1032" w:right="160" w:hanging="511"/>
        <w:spacing w:after="0" w:line="223" w:lineRule="auto"/>
        <w:tabs>
          <w:tab w:leader="none" w:pos="1032"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162(m) Limitation. </w:t>
      </w:r>
      <w:r>
        <w:rPr>
          <w:rFonts w:ascii="Times New Roman" w:cs="Times New Roman" w:eastAsia="Times New Roman" w:hAnsi="Times New Roman"/>
          <w:sz w:val="16"/>
          <w:szCs w:val="16"/>
          <w:color w:val="auto"/>
        </w:rPr>
        <w:t>Subject to the provisions of Section 11 relating to adjustments upon changes in the shares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no Employee shall be eligible to be granted Options covering more than 1,000,000 shares of Common Stock during any twelvemonth period.</w:t>
      </w:r>
    </w:p>
    <w:p>
      <w:pPr>
        <w:spacing w:after="0" w:line="116" w:lineRule="exact"/>
        <w:rPr>
          <w:rFonts w:ascii="Times New Roman" w:cs="Times New Roman" w:eastAsia="Times New Roman" w:hAnsi="Times New Roman"/>
          <w:sz w:val="16"/>
          <w:szCs w:val="16"/>
          <w:color w:val="auto"/>
        </w:rPr>
      </w:pPr>
    </w:p>
    <w:p>
      <w:pPr>
        <w:jc w:val="both"/>
        <w:ind w:left="1032" w:right="160" w:hanging="511"/>
        <w:spacing w:after="0" w:line="222" w:lineRule="auto"/>
        <w:tabs>
          <w:tab w:leader="none" w:pos="1032" w:val="left"/>
        </w:tabs>
        <w:numPr>
          <w:ilvl w:val="1"/>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Consultants. </w:t>
      </w:r>
      <w:r>
        <w:rPr>
          <w:rFonts w:ascii="Times New Roman" w:cs="Times New Roman" w:eastAsia="Times New Roman" w:hAnsi="Times New Roman"/>
          <w:sz w:val="15"/>
          <w:szCs w:val="15"/>
          <w:color w:val="auto"/>
        </w:rPr>
        <w:t>A Consultant shall not be eligible for the grant of a Stock Award if, at the time of grant, a Form S-8 Registration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Statement under the Securities Act (“Form S-8”)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S-8, unless the Company determines both (i) that such grant (A) shall be registered in another manner under the Securities Act (e.g., on a Form S-3 Registration Statement) or (B) does not require registration under the Securities Act in order to comply with the requirements of the Securities Act, if applicable, and (ii) that such grant complies with the securities laws of all other relevant jurisdictions.</w:t>
      </w:r>
    </w:p>
    <w:p>
      <w:pPr>
        <w:spacing w:after="0" w:line="119" w:lineRule="exact"/>
        <w:rPr>
          <w:rFonts w:ascii="Times New Roman" w:cs="Times New Roman" w:eastAsia="Times New Roman" w:hAnsi="Times New Roman"/>
          <w:sz w:val="15"/>
          <w:szCs w:val="15"/>
          <w:color w:val="auto"/>
        </w:rPr>
      </w:pPr>
    </w:p>
    <w:p>
      <w:pPr>
        <w:ind w:left="632" w:hanging="632"/>
        <w:spacing w:after="0"/>
        <w:tabs>
          <w:tab w:leader="none" w:pos="632"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OPTION PROVISIONS</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b w:val="1"/>
          <w:bCs w:val="1"/>
          <w:color w:val="auto"/>
        </w:rPr>
      </w:pPr>
    </w:p>
    <w:p>
      <w:pPr>
        <w:jc w:val="both"/>
        <w:ind w:left="1032" w:hanging="511"/>
        <w:spacing w:after="0" w:line="213" w:lineRule="auto"/>
        <w:tabs>
          <w:tab w:leader="none" w:pos="1057"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General</w:t>
      </w:r>
      <w:r>
        <w:rPr>
          <w:rFonts w:ascii="Times New Roman" w:cs="Times New Roman" w:eastAsia="Times New Roman" w:hAnsi="Times New Roman"/>
          <w:sz w:val="16"/>
          <w:szCs w:val="16"/>
          <w:color w:val="auto"/>
        </w:rPr>
        <w:t>. Each Option shall be in such form and shall contain such terms and conditions as the Board shall deem appropriate.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Options shall be designated as Incentive Stock Options or Nonstatutory Stock Options at the time of grant, and, if certificates are issued, a separate certificate or certificates will be issued for shares of Common Stock purchased on exercise of each type of Option. The provisions of separate Options need not be identical, but each Option shall include (through inclusion or incorporation by reference in the Option or otherwise) the substance of each of the following provisions:</w:t>
      </w:r>
    </w:p>
    <w:p>
      <w:pPr>
        <w:spacing w:after="0" w:line="116" w:lineRule="exact"/>
        <w:rPr>
          <w:rFonts w:ascii="Times New Roman" w:cs="Times New Roman" w:eastAsia="Times New Roman" w:hAnsi="Times New Roman"/>
          <w:sz w:val="16"/>
          <w:szCs w:val="16"/>
          <w:color w:val="auto"/>
        </w:rPr>
      </w:pPr>
    </w:p>
    <w:p>
      <w:pPr>
        <w:ind w:left="1572" w:hanging="531"/>
        <w:spacing w:after="0" w:line="235" w:lineRule="auto"/>
        <w:tabs>
          <w:tab w:leader="none" w:pos="1572"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 Subject to the provisions of subsection 5(b) regarding Ten Percent Stockholders, no Option shall be exercisable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after the expiration of ten years from the date it was granted.</w:t>
      </w:r>
    </w:p>
    <w:p>
      <w:pPr>
        <w:spacing w:after="0" w:line="116" w:lineRule="exact"/>
        <w:rPr>
          <w:rFonts w:ascii="Times New Roman" w:cs="Times New Roman" w:eastAsia="Times New Roman" w:hAnsi="Times New Roman"/>
          <w:sz w:val="16"/>
          <w:szCs w:val="16"/>
          <w:color w:val="auto"/>
        </w:rPr>
      </w:pPr>
    </w:p>
    <w:p>
      <w:pPr>
        <w:jc w:val="both"/>
        <w:ind w:left="1572" w:hanging="531"/>
        <w:spacing w:after="0" w:line="223" w:lineRule="auto"/>
        <w:tabs>
          <w:tab w:leader="none" w:pos="1572"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Exercise Price of an Incentive Stock Option</w:t>
      </w:r>
      <w:r>
        <w:rPr>
          <w:rFonts w:ascii="Times New Roman" w:cs="Times New Roman" w:eastAsia="Times New Roman" w:hAnsi="Times New Roman"/>
          <w:sz w:val="16"/>
          <w:szCs w:val="16"/>
          <w:color w:val="auto"/>
        </w:rPr>
        <w:t>. Subject to the provisions of subsection 5(b) regarding Ten Percent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Stockholders, the exercise price of each Incentive Stock Option shall be not less than the Fair Market Value of the Common Stock subject to the Option on the date the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5990590" cy="463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72"/>
          </w:cols>
          <w:pgMar w:left="1268" w:top="110" w:right="1259" w:bottom="1440" w:gutter="0" w:footer="0" w:header="0"/>
        </w:sectPr>
      </w:pPr>
    </w:p>
    <w:bookmarkStart w:id="139" w:name="page140"/>
    <w:bookmarkEnd w:id="139"/>
    <w:p>
      <w:pPr>
        <w:ind w:left="1400" w:hanging="531"/>
        <w:spacing w:after="0" w:line="236" w:lineRule="auto"/>
        <w:tabs>
          <w:tab w:leader="none" w:pos="14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Exercise Price of a Nonstatutory Stock Option. </w:t>
      </w:r>
      <w:r>
        <w:rPr>
          <w:rFonts w:ascii="Times New Roman" w:cs="Times New Roman" w:eastAsia="Times New Roman" w:hAnsi="Times New Roman"/>
          <w:sz w:val="16"/>
          <w:szCs w:val="16"/>
          <w:color w:val="auto"/>
        </w:rPr>
        <w:t>The exercise price of each Nonstatutory Stock Option shall be not 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the Fair Market Value of the Common Stock subject to the Option on the date the Option is granted.</w:t>
      </w:r>
    </w:p>
    <w:p>
      <w:pPr>
        <w:spacing w:after="0" w:line="115" w:lineRule="exact"/>
        <w:rPr>
          <w:rFonts w:ascii="Times New Roman" w:cs="Times New Roman" w:eastAsia="Times New Roman" w:hAnsi="Times New Roman"/>
          <w:sz w:val="16"/>
          <w:szCs w:val="16"/>
          <w:color w:val="auto"/>
        </w:rPr>
      </w:pPr>
    </w:p>
    <w:p>
      <w:pPr>
        <w:jc w:val="both"/>
        <w:ind w:left="1400" w:hanging="531"/>
        <w:spacing w:after="0" w:line="205" w:lineRule="auto"/>
        <w:tabs>
          <w:tab w:leader="none" w:pos="14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Consideration</w:t>
      </w:r>
      <w:r>
        <w:rPr>
          <w:rFonts w:ascii="Times New Roman" w:cs="Times New Roman" w:eastAsia="Times New Roman" w:hAnsi="Times New Roman"/>
          <w:sz w:val="16"/>
          <w:szCs w:val="16"/>
          <w:color w:val="auto"/>
        </w:rPr>
        <w:t>. The purchase price of Common Stock acquired pursuant to an Option shall be paid, at the election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Optionholder, and to the extent permitted by applicable statutes and regulations, including applicable rules and regulations of the Securities and Exchange Commission and the Federal Reserve Board, either (1) in cash at the time the Option is exercised; (2) by delivery to the Company of other Common Stock; (3) by a Net Exercise; (4) by means of so-called cashless exercises, including without limitation Approved Cashless Exercises; or (5) through the surrender of such other form of legal consideration that may be acceptable to the Board;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shares of Common Stock will no longer be outstanding under an Option to the extent that (i) shares are used to pay the exercise price pursuant to a Net Exercise or an Approved Cashless Exercise, (ii) shares are delivered to the Participant as a result of such exercise, or (iii) shares are withheld to satisfy tax withholding obligations. Payment of the Common Stock’s par value, if any, shall not be made by deferred payment.</w:t>
      </w:r>
    </w:p>
    <w:p>
      <w:pPr>
        <w:spacing w:after="0" w:line="120" w:lineRule="exact"/>
        <w:rPr>
          <w:rFonts w:ascii="Times New Roman" w:cs="Times New Roman" w:eastAsia="Times New Roman" w:hAnsi="Times New Roman"/>
          <w:sz w:val="16"/>
          <w:szCs w:val="16"/>
          <w:color w:val="auto"/>
        </w:rPr>
      </w:pPr>
    </w:p>
    <w:p>
      <w:pPr>
        <w:jc w:val="both"/>
        <w:ind w:left="1400" w:hanging="531"/>
        <w:spacing w:after="0" w:line="213" w:lineRule="auto"/>
        <w:tabs>
          <w:tab w:leader="none" w:pos="14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Transferability of an Incentive Stock Option</w:t>
      </w:r>
      <w:r>
        <w:rPr>
          <w:rFonts w:ascii="Times New Roman" w:cs="Times New Roman" w:eastAsia="Times New Roman" w:hAnsi="Times New Roman"/>
          <w:sz w:val="16"/>
          <w:szCs w:val="16"/>
          <w:color w:val="auto"/>
        </w:rPr>
        <w:t>. An Incentive Stock Option shall not be transferable except by will or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16" w:lineRule="exact"/>
        <w:rPr>
          <w:rFonts w:ascii="Times New Roman" w:cs="Times New Roman" w:eastAsia="Times New Roman" w:hAnsi="Times New Roman"/>
          <w:sz w:val="16"/>
          <w:szCs w:val="16"/>
          <w:color w:val="auto"/>
        </w:rPr>
      </w:pPr>
    </w:p>
    <w:p>
      <w:pPr>
        <w:jc w:val="both"/>
        <w:ind w:left="1400" w:hanging="531"/>
        <w:spacing w:after="0" w:line="210" w:lineRule="auto"/>
        <w:tabs>
          <w:tab w:leader="none" w:pos="14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Transferability of a Nonstatutory Stock Option</w:t>
      </w:r>
      <w:r>
        <w:rPr>
          <w:rFonts w:ascii="Times New Roman" w:cs="Times New Roman" w:eastAsia="Times New Roman" w:hAnsi="Times New Roman"/>
          <w:sz w:val="16"/>
          <w:szCs w:val="16"/>
          <w:color w:val="auto"/>
        </w:rPr>
        <w:t>. A Nonstatutory Stock Option shall be transferable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in the Option Agreement. If the Nonstatutory Stock Option does not provide for transferability, then the Nonstatutory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18" w:lineRule="exact"/>
        <w:rPr>
          <w:rFonts w:ascii="Times New Roman" w:cs="Times New Roman" w:eastAsia="Times New Roman" w:hAnsi="Times New Roman"/>
          <w:sz w:val="16"/>
          <w:szCs w:val="16"/>
          <w:color w:val="auto"/>
        </w:rPr>
      </w:pPr>
    </w:p>
    <w:p>
      <w:pPr>
        <w:jc w:val="both"/>
        <w:ind w:left="1400" w:hanging="531"/>
        <w:spacing w:after="0" w:line="210" w:lineRule="auto"/>
        <w:tabs>
          <w:tab w:leader="none" w:pos="14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Vesting Generally</w:t>
      </w:r>
      <w:r>
        <w:rPr>
          <w:rFonts w:ascii="Times New Roman" w:cs="Times New Roman" w:eastAsia="Times New Roman" w:hAnsi="Times New Roman"/>
          <w:sz w:val="16"/>
          <w:szCs w:val="16"/>
          <w:color w:val="auto"/>
        </w:rPr>
        <w:t>. The total number of shares of Common Stock subject to an Option may, but need not, vest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The provisions of this subsection 6(a)(vii) are subject to any Option provisions governing the minimum number of shares of Common Stock as to which an Option may be exercised.</w:t>
      </w:r>
    </w:p>
    <w:p>
      <w:pPr>
        <w:spacing w:after="0" w:line="118" w:lineRule="exact"/>
        <w:rPr>
          <w:rFonts w:ascii="Times New Roman" w:cs="Times New Roman" w:eastAsia="Times New Roman" w:hAnsi="Times New Roman"/>
          <w:sz w:val="16"/>
          <w:szCs w:val="16"/>
          <w:color w:val="auto"/>
        </w:rPr>
      </w:pPr>
    </w:p>
    <w:p>
      <w:pPr>
        <w:jc w:val="both"/>
        <w:ind w:left="1400" w:hanging="531"/>
        <w:spacing w:after="0" w:line="213" w:lineRule="auto"/>
        <w:tabs>
          <w:tab w:leader="none" w:pos="14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Service</w:t>
      </w:r>
      <w:r>
        <w:rPr>
          <w:rFonts w:ascii="Times New Roman" w:cs="Times New Roman" w:eastAsia="Times New Roman" w:hAnsi="Times New Roman"/>
          <w:sz w:val="16"/>
          <w:szCs w:val="16"/>
          <w:color w:val="auto"/>
        </w:rPr>
        <w:t>. In the event an Optionholder’s Service terminates (other than upon the Optionholder’s death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Disability), the Optionholder may exercise his or her Option (to the extent that the Optionholder was entitled to exercise such Option as of the date of termination) but only within such period of time ending on the earlier of (i) the date three months following the termination of the Optionholder’s Service (or such longer or shorter period specified in the Option Agreement), or (ii) the expiration of the term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136525</wp:posOffset>
            </wp:positionV>
            <wp:extent cx="5990590" cy="46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40" w:name="page141"/>
    <w:bookmarkEnd w:id="140"/>
    <w:p>
      <w:pPr>
        <w:ind w:left="1400"/>
        <w:spacing w:after="0" w:line="234" w:lineRule="auto"/>
        <w:rPr>
          <w:sz w:val="20"/>
          <w:szCs w:val="20"/>
          <w:color w:val="auto"/>
        </w:rPr>
      </w:pPr>
      <w:r>
        <w:rPr>
          <w:rFonts w:ascii="Times New Roman" w:cs="Times New Roman" w:eastAsia="Times New Roman" w:hAnsi="Times New Roman"/>
          <w:sz w:val="16"/>
          <w:szCs w:val="16"/>
          <w:color w:val="auto"/>
        </w:rPr>
        <w:t>Option as set forth in the Option Agreement. If, after termination, the Optionholder does not exercise his or her Option within the time specified herein or in the Option Agreement (as applicable), the Option shall terminate.</w:t>
      </w:r>
    </w:p>
    <w:p>
      <w:pPr>
        <w:spacing w:after="0" w:line="117" w:lineRule="exact"/>
        <w:rPr>
          <w:sz w:val="20"/>
          <w:szCs w:val="20"/>
          <w:color w:val="auto"/>
        </w:rPr>
      </w:pPr>
    </w:p>
    <w:p>
      <w:pPr>
        <w:jc w:val="both"/>
        <w:ind w:left="1400" w:hanging="531"/>
        <w:spacing w:after="0" w:line="224" w:lineRule="auto"/>
        <w:tabs>
          <w:tab w:leader="none" w:pos="14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Extension of Termination Date</w:t>
      </w:r>
      <w:r>
        <w:rPr>
          <w:rFonts w:ascii="Times New Roman" w:cs="Times New Roman" w:eastAsia="Times New Roman" w:hAnsi="Times New Roman"/>
          <w:sz w:val="15"/>
          <w:szCs w:val="15"/>
          <w:color w:val="auto"/>
        </w:rPr>
        <w:t>. An Optionholder’s Option Agreement may provide that, if the exercise of the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following the termination of the Optionholder’s Service (other than upon the Optionholder’s death or Disability) would be prohibited at any time solely because the issuance of shares of Common Stock would violate the registration requirements under the Securities Act, then the Option shall terminate on the earlier of (i) the expiration of the term of the Option set forth in the Option Agreement or (ii) the expiration of a period of three months after the termination of the Optionholder’s Service during which the exercise of the Option would not be in violation of such registration requirements.</w:t>
      </w:r>
    </w:p>
    <w:p>
      <w:pPr>
        <w:spacing w:after="0" w:line="118" w:lineRule="exact"/>
        <w:rPr>
          <w:rFonts w:ascii="Times New Roman" w:cs="Times New Roman" w:eastAsia="Times New Roman" w:hAnsi="Times New Roman"/>
          <w:sz w:val="15"/>
          <w:szCs w:val="15"/>
          <w:color w:val="auto"/>
        </w:rPr>
      </w:pPr>
    </w:p>
    <w:p>
      <w:pPr>
        <w:jc w:val="both"/>
        <w:ind w:left="1400" w:hanging="531"/>
        <w:spacing w:after="0" w:line="210" w:lineRule="auto"/>
        <w:tabs>
          <w:tab w:leader="none" w:pos="14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Disability of Optionholder</w:t>
      </w:r>
      <w:r>
        <w:rPr>
          <w:rFonts w:ascii="Times New Roman" w:cs="Times New Roman" w:eastAsia="Times New Roman" w:hAnsi="Times New Roman"/>
          <w:sz w:val="16"/>
          <w:szCs w:val="16"/>
          <w:color w:val="auto"/>
        </w:rPr>
        <w:t>. In the event that an Optionholder’s Service terminates as a result of the Optionholder’s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Disability, the Optionholder may exercise his or her Option (to the extent that the Optionholder was entitled to exercise such Option as of the date of termination), but only within such period of time ending on the earlier of (i) the date twelve months following such termination (or such longer or shorter period specified in the Option Agreement) or (ii) the expiration of the term of the Option as set forth in the Option Agreement. If, after termination, the Optionholder does not exercise his or her Option within the time specified herein, the Option shall terminate.</w:t>
      </w:r>
    </w:p>
    <w:p>
      <w:pPr>
        <w:spacing w:after="0" w:line="106" w:lineRule="exact"/>
        <w:rPr>
          <w:rFonts w:ascii="Times New Roman" w:cs="Times New Roman" w:eastAsia="Times New Roman" w:hAnsi="Times New Roman"/>
          <w:sz w:val="16"/>
          <w:szCs w:val="16"/>
          <w:color w:val="auto"/>
        </w:rPr>
      </w:pPr>
    </w:p>
    <w:p>
      <w:pPr>
        <w:ind w:left="1400" w:hanging="531"/>
        <w:spacing w:after="0"/>
        <w:tabs>
          <w:tab w:leader="none" w:pos="14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Death of Optionholder</w:t>
      </w:r>
      <w:r>
        <w:rPr>
          <w:rFonts w:ascii="Times New Roman" w:cs="Times New Roman" w:eastAsia="Times New Roman" w:hAnsi="Times New Roman"/>
          <w:sz w:val="16"/>
          <w:szCs w:val="16"/>
          <w:color w:val="auto"/>
        </w:rPr>
        <w:t>. In the event (i) an Optionholder’s Service terminates as a result of the Optionholder’s death or</w:t>
      </w:r>
    </w:p>
    <w:p>
      <w:pPr>
        <w:jc w:val="both"/>
        <w:ind w:left="1400" w:hanging="10"/>
        <w:spacing w:after="0" w:line="204" w:lineRule="auto"/>
        <w:tabs>
          <w:tab w:leader="none" w:pos="1666"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Optionholder dies within the period (if any) specified in the Option Agreement after the termination of the Optionholder’s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pursuant to subsection 6(a)(v) or 6(a)(vi), but only within the period ending on the earlier of (1) the date twelve months following the date of death (or such longer or shorter period specified in the Option Agreement) or (2) the expiration of the term of such Option as set forth in the Option Agreement. If, after death, the Option is not exercised within the time specified herein, the Option shall terminate.</w:t>
      </w:r>
    </w:p>
    <w:p>
      <w:pPr>
        <w:spacing w:after="0" w:line="117" w:lineRule="exact"/>
        <w:rPr>
          <w:rFonts w:ascii="Times New Roman" w:cs="Times New Roman" w:eastAsia="Times New Roman" w:hAnsi="Times New Roman"/>
          <w:sz w:val="16"/>
          <w:szCs w:val="16"/>
          <w:color w:val="auto"/>
        </w:rPr>
      </w:pPr>
    </w:p>
    <w:p>
      <w:pPr>
        <w:jc w:val="both"/>
        <w:ind w:left="1400" w:hanging="531"/>
        <w:spacing w:after="0" w:line="220" w:lineRule="auto"/>
        <w:tabs>
          <w:tab w:leader="none" w:pos="14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Automatic Exercise</w:t>
      </w:r>
      <w:r>
        <w:rPr>
          <w:rFonts w:ascii="Times New Roman" w:cs="Times New Roman" w:eastAsia="Times New Roman" w:hAnsi="Times New Roman"/>
          <w:sz w:val="15"/>
          <w:szCs w:val="15"/>
          <w:color w:val="auto"/>
        </w:rPr>
        <w:t>. Unless otherwise specified in the relevant Option Agreement, any outstanding Option to the extent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 remains unexercised and that has an exercise price (as set forth in the relevant Option Agreement) less than the Fair Market Value of the Common Stock, determined on the last day of the term of such Option, provided that if such last day is not a trading day, then on the last trading day immediately prior to the last day of the term of such Option (as set forth in the relevant Option Agreement), shall be automatically exercised on such last day of such term, without regard to any requirement in the relevant Option Agreement that the holder of such Option give written notice of such exercise. Except as may be otherwise elected by the Option holder and approved by the Committee prior to the expiration of the term of the Option, such exercise shall be settled as a Net Exercise and tax withholding obligations shall be satisfied by withholding of shares of Common Stock otherwise deliverable upon exercise of the Option pursuant to Section 10(f)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191770</wp:posOffset>
            </wp:positionV>
            <wp:extent cx="5990590" cy="463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10" w:right="1259" w:bottom="1440" w:gutter="0" w:footer="0" w:header="0"/>
        </w:sectPr>
      </w:pPr>
    </w:p>
    <w:bookmarkStart w:id="141" w:name="page142"/>
    <w:bookmarkEnd w:id="141"/>
    <w:p>
      <w:pPr>
        <w:ind w:left="632" w:hanging="632"/>
        <w:spacing w:after="0"/>
        <w:tabs>
          <w:tab w:leader="none" w:pos="632"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PROVISIONS OF STOCK AWARDS OTHER THAN OPTIONS</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b w:val="1"/>
          <w:bCs w:val="1"/>
          <w:color w:val="auto"/>
        </w:rPr>
      </w:pPr>
    </w:p>
    <w:p>
      <w:pPr>
        <w:jc w:val="both"/>
        <w:ind w:left="1032" w:hanging="511"/>
        <w:spacing w:after="0" w:line="216" w:lineRule="auto"/>
        <w:tabs>
          <w:tab w:leader="none" w:pos="1032"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Stock Bonus Awards</w:t>
      </w:r>
      <w:r>
        <w:rPr>
          <w:rFonts w:ascii="Times New Roman" w:cs="Times New Roman" w:eastAsia="Times New Roman" w:hAnsi="Times New Roman"/>
          <w:sz w:val="16"/>
          <w:szCs w:val="16"/>
          <w:color w:val="auto"/>
        </w:rPr>
        <w:t>. Each stock bonus agreement shall be in such form and shall contain such terms and conditions as the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deem appropriate. The terms and conditions of stock bonus agreements may change from time to time, and the terms and conditions of separate stock bonus agreements need not be identical, but each stock bonus agreement shall include (through incorporation of provisions hereof by reference in the agreement or otherwise) the substance of each of the following provisions:</w:t>
      </w:r>
    </w:p>
    <w:p>
      <w:pPr>
        <w:spacing w:after="0" w:line="118" w:lineRule="exact"/>
        <w:rPr>
          <w:rFonts w:ascii="Times New Roman" w:cs="Times New Roman" w:eastAsia="Times New Roman" w:hAnsi="Times New Roman"/>
          <w:sz w:val="16"/>
          <w:szCs w:val="16"/>
          <w:color w:val="auto"/>
        </w:rPr>
      </w:pPr>
    </w:p>
    <w:p>
      <w:pPr>
        <w:ind w:left="1572" w:right="160" w:hanging="531"/>
        <w:spacing w:after="0" w:line="235" w:lineRule="auto"/>
        <w:tabs>
          <w:tab w:leader="none" w:pos="1572"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Consideration</w:t>
      </w:r>
      <w:r>
        <w:rPr>
          <w:rFonts w:ascii="Times New Roman" w:cs="Times New Roman" w:eastAsia="Times New Roman" w:hAnsi="Times New Roman"/>
          <w:sz w:val="16"/>
          <w:szCs w:val="16"/>
          <w:color w:val="auto"/>
        </w:rPr>
        <w:t>. A stock bonus may be awarded in consideration for past services actually rendered to or for the benefit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or an Affiliate.</w:t>
      </w:r>
    </w:p>
    <w:p>
      <w:pPr>
        <w:spacing w:after="0" w:line="116" w:lineRule="exact"/>
        <w:rPr>
          <w:rFonts w:ascii="Times New Roman" w:cs="Times New Roman" w:eastAsia="Times New Roman" w:hAnsi="Times New Roman"/>
          <w:sz w:val="16"/>
          <w:szCs w:val="16"/>
          <w:color w:val="auto"/>
        </w:rPr>
      </w:pPr>
    </w:p>
    <w:p>
      <w:pPr>
        <w:jc w:val="both"/>
        <w:ind w:left="1572" w:right="160" w:hanging="531"/>
        <w:spacing w:after="0" w:line="216" w:lineRule="auto"/>
        <w:tabs>
          <w:tab w:leader="none" w:pos="1572"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Vesting Generally</w:t>
      </w:r>
      <w:r>
        <w:rPr>
          <w:rFonts w:ascii="Times New Roman" w:cs="Times New Roman" w:eastAsia="Times New Roman" w:hAnsi="Times New Roman"/>
          <w:sz w:val="16"/>
          <w:szCs w:val="16"/>
          <w:color w:val="auto"/>
        </w:rPr>
        <w:t>. Shares of Common Stock awarded under the stock bonus agreement may, but need not, be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a share repurchase option in favor of the Company in accordance with a vesting schedule to be determined by the Board. Notwithstanding the foregoing, unless the stock bonus agreement otherwise provides, all shares subject to the agreement shall become fully vested upon the occurrence of a Corporate Transaction.</w:t>
      </w:r>
    </w:p>
    <w:p>
      <w:pPr>
        <w:spacing w:after="0" w:line="118" w:lineRule="exact"/>
        <w:rPr>
          <w:rFonts w:ascii="Times New Roman" w:cs="Times New Roman" w:eastAsia="Times New Roman" w:hAnsi="Times New Roman"/>
          <w:sz w:val="16"/>
          <w:szCs w:val="16"/>
          <w:color w:val="auto"/>
        </w:rPr>
      </w:pPr>
    </w:p>
    <w:p>
      <w:pPr>
        <w:jc w:val="both"/>
        <w:ind w:left="1572" w:right="160" w:hanging="531"/>
        <w:spacing w:after="0" w:line="213" w:lineRule="auto"/>
        <w:tabs>
          <w:tab w:leader="none" w:pos="1572"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Service</w:t>
      </w:r>
      <w:r>
        <w:rPr>
          <w:rFonts w:ascii="Times New Roman" w:cs="Times New Roman" w:eastAsia="Times New Roman" w:hAnsi="Times New Roman"/>
          <w:sz w:val="16"/>
          <w:szCs w:val="16"/>
          <w:color w:val="auto"/>
        </w:rPr>
        <w:t>. In the event a Participant’s Service terminates, the Company may reacquire any or all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Common Stock held by the Participant which have not vested as of the date of termination under the terms of the stock bonus agreement. The Company will not exercise its repurchase option until at least six months (or such longer or shorter period of time required to avoid a change to earnings for financial accounting purposes) have elapsed following receipt of the stock bonus unless otherwise specifically provided in the stock bonus agreement.</w:t>
      </w:r>
    </w:p>
    <w:p>
      <w:pPr>
        <w:spacing w:after="0" w:line="116" w:lineRule="exact"/>
        <w:rPr>
          <w:rFonts w:ascii="Times New Roman" w:cs="Times New Roman" w:eastAsia="Times New Roman" w:hAnsi="Times New Roman"/>
          <w:sz w:val="16"/>
          <w:szCs w:val="16"/>
          <w:color w:val="auto"/>
        </w:rPr>
      </w:pPr>
    </w:p>
    <w:p>
      <w:pPr>
        <w:jc w:val="both"/>
        <w:ind w:left="1572" w:right="160" w:hanging="531"/>
        <w:spacing w:after="0" w:line="216" w:lineRule="auto"/>
        <w:tabs>
          <w:tab w:leader="none" w:pos="1572"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Transferability</w:t>
      </w:r>
      <w:r>
        <w:rPr>
          <w:rFonts w:ascii="Times New Roman" w:cs="Times New Roman" w:eastAsia="Times New Roman" w:hAnsi="Times New Roman"/>
          <w:sz w:val="16"/>
          <w:szCs w:val="16"/>
          <w:color w:val="auto"/>
        </w:rPr>
        <w:t>. Rights to acquire shares of Common Stock under the stock bonus agreement shall be transferable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Participant only upon such terms and conditions as are set forth in the stock bonus agreement, as the Board shall determine in its discretion, so long as Common Stock awarded under the stock bonus agreement remains subject to the terms of the stock bonus agreement.</w:t>
      </w:r>
    </w:p>
    <w:p>
      <w:pPr>
        <w:spacing w:after="0" w:line="118" w:lineRule="exact"/>
        <w:rPr>
          <w:rFonts w:ascii="Times New Roman" w:cs="Times New Roman" w:eastAsia="Times New Roman" w:hAnsi="Times New Roman"/>
          <w:sz w:val="16"/>
          <w:szCs w:val="16"/>
          <w:color w:val="auto"/>
        </w:rPr>
      </w:pPr>
    </w:p>
    <w:p>
      <w:pPr>
        <w:jc w:val="both"/>
        <w:ind w:left="1032" w:hanging="511"/>
        <w:spacing w:after="0" w:line="213" w:lineRule="auto"/>
        <w:tabs>
          <w:tab w:leader="none" w:pos="1032"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Restricted Stock Awards</w:t>
      </w:r>
      <w:r>
        <w:rPr>
          <w:rFonts w:ascii="Times New Roman" w:cs="Times New Roman" w:eastAsia="Times New Roman" w:hAnsi="Times New Roman"/>
          <w:sz w:val="16"/>
          <w:szCs w:val="16"/>
          <w:color w:val="auto"/>
        </w:rPr>
        <w:t>. Each restricted stock purchase agreement shall be in such form and shall contain such terms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conditions as the Board shall deem appropriate. The terms and conditions of the restricted stock purchase agreements may change from time to time, and the terms and conditions of separate restricted stock purchase agreements need not be identical, but each restricted stock purchase agreement shall include (through inclusion or incorporation by reference in the agreement or otherwise) the substance of each of the following provisions:</w:t>
      </w:r>
    </w:p>
    <w:p>
      <w:pPr>
        <w:spacing w:after="0" w:line="116" w:lineRule="exact"/>
        <w:rPr>
          <w:rFonts w:ascii="Times New Roman" w:cs="Times New Roman" w:eastAsia="Times New Roman" w:hAnsi="Times New Roman"/>
          <w:sz w:val="16"/>
          <w:szCs w:val="16"/>
          <w:color w:val="auto"/>
        </w:rPr>
      </w:pPr>
    </w:p>
    <w:p>
      <w:pPr>
        <w:jc w:val="both"/>
        <w:ind w:left="1572" w:right="160" w:hanging="531"/>
        <w:spacing w:after="0" w:line="223" w:lineRule="auto"/>
        <w:tabs>
          <w:tab w:leader="none" w:pos="1572"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Purchase Price</w:t>
      </w:r>
      <w:r>
        <w:rPr>
          <w:rFonts w:ascii="Times New Roman" w:cs="Times New Roman" w:eastAsia="Times New Roman" w:hAnsi="Times New Roman"/>
          <w:sz w:val="16"/>
          <w:szCs w:val="16"/>
          <w:color w:val="auto"/>
        </w:rPr>
        <w:t>. The purchase price under each restricted stock purchase agreement shall be such amount as the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determine and designate in such restricted stock purchase agreement. The purchase price shall not be less than the par value, if any, of the Common Stock on the date such award is made or at the time the purchase is consummated.</w:t>
      </w:r>
    </w:p>
    <w:p>
      <w:pPr>
        <w:spacing w:after="0" w:line="116" w:lineRule="exact"/>
        <w:rPr>
          <w:rFonts w:ascii="Times New Roman" w:cs="Times New Roman" w:eastAsia="Times New Roman" w:hAnsi="Times New Roman"/>
          <w:sz w:val="16"/>
          <w:szCs w:val="16"/>
          <w:color w:val="auto"/>
        </w:rPr>
      </w:pPr>
    </w:p>
    <w:p>
      <w:pPr>
        <w:jc w:val="both"/>
        <w:ind w:left="1572" w:right="160" w:hanging="531"/>
        <w:spacing w:after="0" w:line="216" w:lineRule="auto"/>
        <w:tabs>
          <w:tab w:leader="none" w:pos="1572"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Consideration</w:t>
      </w:r>
      <w:r>
        <w:rPr>
          <w:rFonts w:ascii="Times New Roman" w:cs="Times New Roman" w:eastAsia="Times New Roman" w:hAnsi="Times New Roman"/>
          <w:sz w:val="16"/>
          <w:szCs w:val="16"/>
          <w:color w:val="auto"/>
        </w:rPr>
        <w:t>. The purchase price of Common Stock acquired pursuant to the restricted stock purchase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paid either: (i) in cash at the time of purchase; (ii) at the discretion of the Board, according to a deferred payment or other similar arrangement with the Participant; or (iii) in any other form of legal consideration that may be acceptable to the Board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137795</wp:posOffset>
            </wp:positionV>
            <wp:extent cx="5990590" cy="463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72"/>
          </w:cols>
          <w:pgMar w:left="1268" w:top="108" w:right="1259" w:bottom="1440" w:gutter="0" w:footer="0" w:header="0"/>
        </w:sectPr>
      </w:pPr>
    </w:p>
    <w:bookmarkStart w:id="142" w:name="page143"/>
    <w:bookmarkEnd w:id="142"/>
    <w:p>
      <w:pPr>
        <w:ind w:left="1400" w:right="160"/>
        <w:spacing w:after="0" w:line="236" w:lineRule="auto"/>
        <w:rPr>
          <w:sz w:val="20"/>
          <w:szCs w:val="20"/>
          <w:color w:val="auto"/>
        </w:rPr>
      </w:pPr>
      <w:r>
        <w:rPr>
          <w:rFonts w:ascii="Times New Roman" w:cs="Times New Roman" w:eastAsia="Times New Roman" w:hAnsi="Times New Roman"/>
          <w:sz w:val="16"/>
          <w:szCs w:val="16"/>
          <w:color w:val="auto"/>
        </w:rPr>
        <w:t xml:space="preserve">discretion;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payment of the Common Stock’s par value, if any, shall not be made by deferred payment.</w:t>
      </w:r>
    </w:p>
    <w:p>
      <w:pPr>
        <w:spacing w:after="0" w:line="116" w:lineRule="exact"/>
        <w:rPr>
          <w:sz w:val="20"/>
          <w:szCs w:val="20"/>
          <w:color w:val="auto"/>
        </w:rPr>
      </w:pPr>
    </w:p>
    <w:p>
      <w:pPr>
        <w:jc w:val="both"/>
        <w:ind w:left="1400" w:right="160" w:hanging="531"/>
        <w:spacing w:after="0" w:line="223" w:lineRule="auto"/>
        <w:tabs>
          <w:tab w:leader="none" w:pos="140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Vesting Generally</w:t>
      </w:r>
      <w:r>
        <w:rPr>
          <w:rFonts w:ascii="Times New Roman" w:cs="Times New Roman" w:eastAsia="Times New Roman" w:hAnsi="Times New Roman"/>
          <w:sz w:val="16"/>
          <w:szCs w:val="16"/>
          <w:color w:val="auto"/>
        </w:rPr>
        <w:t>. Shares of Common Stock acquired under the restricted stock purchase agreement may, but need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 be subject to forfeiture to the Company or other restrictions that will lapse in accordance with a vesting schedule to be determined by the Board.</w:t>
      </w:r>
    </w:p>
    <w:p>
      <w:pPr>
        <w:spacing w:after="0" w:line="116" w:lineRule="exact"/>
        <w:rPr>
          <w:rFonts w:ascii="Times New Roman" w:cs="Times New Roman" w:eastAsia="Times New Roman" w:hAnsi="Times New Roman"/>
          <w:sz w:val="16"/>
          <w:szCs w:val="16"/>
          <w:color w:val="auto"/>
        </w:rPr>
      </w:pPr>
    </w:p>
    <w:p>
      <w:pPr>
        <w:jc w:val="both"/>
        <w:ind w:left="1400" w:right="160" w:hanging="531"/>
        <w:spacing w:after="0" w:line="216" w:lineRule="auto"/>
        <w:tabs>
          <w:tab w:leader="none" w:pos="140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Participant’s Service</w:t>
      </w:r>
      <w:r>
        <w:rPr>
          <w:rFonts w:ascii="Times New Roman" w:cs="Times New Roman" w:eastAsia="Times New Roman" w:hAnsi="Times New Roman"/>
          <w:sz w:val="16"/>
          <w:szCs w:val="16"/>
          <w:color w:val="auto"/>
        </w:rPr>
        <w:t>. In the event a Participant’s Service terminates, any or all of the shares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held by the Participant that have not vested as of the date of termination under the terms of the restricted stock purchase agreement shall be forfeited to the Company in accordance with the restricted stock purchase agreement.</w:t>
      </w:r>
    </w:p>
    <w:p>
      <w:pPr>
        <w:spacing w:after="0" w:line="118" w:lineRule="exact"/>
        <w:rPr>
          <w:rFonts w:ascii="Times New Roman" w:cs="Times New Roman" w:eastAsia="Times New Roman" w:hAnsi="Times New Roman"/>
          <w:sz w:val="16"/>
          <w:szCs w:val="16"/>
          <w:color w:val="auto"/>
        </w:rPr>
      </w:pPr>
    </w:p>
    <w:p>
      <w:pPr>
        <w:jc w:val="both"/>
        <w:ind w:left="1400" w:right="160" w:hanging="531"/>
        <w:spacing w:after="0" w:line="216" w:lineRule="auto"/>
        <w:tabs>
          <w:tab w:leader="none" w:pos="140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Transferability</w:t>
      </w:r>
      <w:r>
        <w:rPr>
          <w:rFonts w:ascii="Times New Roman" w:cs="Times New Roman" w:eastAsia="Times New Roman" w:hAnsi="Times New Roman"/>
          <w:sz w:val="16"/>
          <w:szCs w:val="16"/>
          <w:color w:val="auto"/>
        </w:rPr>
        <w:t>. Rights to acquire shares of Common Stock under the restricted stock purchase agreement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transferable by the Participant only upon such terms and conditions as are set forth in the restricted stock purchase agreement, as the Board shall determine in its discretion, so long as Common Stock awarded under the restricted stock purchase agreement remains subject to the terms of the restricted stock purchase agreement.</w:t>
      </w:r>
    </w:p>
    <w:p>
      <w:pPr>
        <w:spacing w:after="0" w:line="118" w:lineRule="exact"/>
        <w:rPr>
          <w:rFonts w:ascii="Times New Roman" w:cs="Times New Roman" w:eastAsia="Times New Roman" w:hAnsi="Times New Roman"/>
          <w:sz w:val="16"/>
          <w:szCs w:val="16"/>
          <w:color w:val="auto"/>
        </w:rPr>
      </w:pPr>
    </w:p>
    <w:p>
      <w:pPr>
        <w:jc w:val="both"/>
        <w:ind w:left="860" w:hanging="511"/>
        <w:spacing w:after="0" w:line="213" w:lineRule="auto"/>
        <w:tabs>
          <w:tab w:leader="none" w:pos="8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Appreciation Rights. </w:t>
      </w:r>
      <w:r>
        <w:rPr>
          <w:rFonts w:ascii="Times New Roman" w:cs="Times New Roman" w:eastAsia="Times New Roman" w:hAnsi="Times New Roman"/>
          <w:sz w:val="16"/>
          <w:szCs w:val="16"/>
          <w:color w:val="auto"/>
        </w:rPr>
        <w:t>Each stock appreciation right agreement shall be in such form and shall contain such terms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conditions as the Board shall deem appropriate. The terms and conditions of stock appreciation right agreements may be changed from time to time, and the terms and conditions of separate stock appreciation right agreements need not be identical;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however, </w:t>
      </w:r>
      <w:r>
        <w:rPr>
          <w:rFonts w:ascii="Times New Roman" w:cs="Times New Roman" w:eastAsia="Times New Roman" w:hAnsi="Times New Roman"/>
          <w:sz w:val="16"/>
          <w:szCs w:val="16"/>
          <w:color w:val="auto"/>
        </w:rPr>
        <w:t>that each stock appreciation right agreement shall include (through incorporation of the provisions hereof by reference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agreement or otherwise) the substance of each of the following provisions:</w:t>
      </w:r>
    </w:p>
    <w:p>
      <w:pPr>
        <w:spacing w:after="0" w:line="116" w:lineRule="exact"/>
        <w:rPr>
          <w:rFonts w:ascii="Times New Roman" w:cs="Times New Roman" w:eastAsia="Times New Roman" w:hAnsi="Times New Roman"/>
          <w:sz w:val="16"/>
          <w:szCs w:val="16"/>
          <w:color w:val="auto"/>
        </w:rPr>
      </w:pPr>
    </w:p>
    <w:p>
      <w:pPr>
        <w:jc w:val="both"/>
        <w:ind w:left="1400" w:right="160" w:hanging="531"/>
        <w:spacing w:after="0" w:line="206" w:lineRule="auto"/>
        <w:tabs>
          <w:tab w:leader="none" w:pos="140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Strike Price and Calculation of Appreciation</w:t>
      </w:r>
      <w:r>
        <w:rPr>
          <w:rFonts w:ascii="Times New Roman" w:cs="Times New Roman" w:eastAsia="Times New Roman" w:hAnsi="Times New Roman"/>
          <w:sz w:val="16"/>
          <w:szCs w:val="16"/>
          <w:color w:val="auto"/>
        </w:rPr>
        <w:t>. Each stock appreciation right will be denominated in shares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Common Stock equivalents. The appreciation distribution payable on the exercise of a stock appreciation right will not be greater than an amount equal to the excess of (i)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(ii) an amount (the “strike price”) that will be determined by the Board at the time of grant of the stock appreciation right;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strike price of a stock appreciation right granted to a Director or Employee shall be not less than the Fair Market Value of the Common Stock equivalents subject to the stock appreciation right on the date the stock appreciation right is granted.</w:t>
      </w:r>
    </w:p>
    <w:p>
      <w:pPr>
        <w:spacing w:after="0" w:line="118" w:lineRule="exact"/>
        <w:rPr>
          <w:rFonts w:ascii="Times New Roman" w:cs="Times New Roman" w:eastAsia="Times New Roman" w:hAnsi="Times New Roman"/>
          <w:sz w:val="16"/>
          <w:szCs w:val="16"/>
          <w:color w:val="auto"/>
        </w:rPr>
      </w:pPr>
    </w:p>
    <w:p>
      <w:pPr>
        <w:ind w:left="1400" w:right="160" w:hanging="531"/>
        <w:spacing w:after="0" w:line="235" w:lineRule="auto"/>
        <w:tabs>
          <w:tab w:leader="none" w:pos="140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Vesting</w:t>
      </w:r>
      <w:r>
        <w:rPr>
          <w:rFonts w:ascii="Times New Roman" w:cs="Times New Roman" w:eastAsia="Times New Roman" w:hAnsi="Times New Roman"/>
          <w:sz w:val="16"/>
          <w:szCs w:val="16"/>
          <w:color w:val="auto"/>
        </w:rPr>
        <w:t>. At the time of the grant of a stock appreciation right, the Board may impose such restrictions or conditions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vesting of such stock appreciation right as it, in its sole discretion, deems appropriate.</w:t>
      </w:r>
    </w:p>
    <w:p>
      <w:pPr>
        <w:spacing w:after="0" w:line="116" w:lineRule="exact"/>
        <w:rPr>
          <w:rFonts w:ascii="Times New Roman" w:cs="Times New Roman" w:eastAsia="Times New Roman" w:hAnsi="Times New Roman"/>
          <w:sz w:val="16"/>
          <w:szCs w:val="16"/>
          <w:color w:val="auto"/>
        </w:rPr>
      </w:pPr>
    </w:p>
    <w:p>
      <w:pPr>
        <w:jc w:val="both"/>
        <w:ind w:left="1400" w:right="160" w:hanging="531"/>
        <w:spacing w:after="0" w:line="223" w:lineRule="auto"/>
        <w:tabs>
          <w:tab w:leader="none" w:pos="140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Exercise</w:t>
      </w:r>
      <w:r>
        <w:rPr>
          <w:rFonts w:ascii="Times New Roman" w:cs="Times New Roman" w:eastAsia="Times New Roman" w:hAnsi="Times New Roman"/>
          <w:sz w:val="16"/>
          <w:szCs w:val="16"/>
          <w:color w:val="auto"/>
        </w:rPr>
        <w:t>. To exercise any outstanding stock appreciation right, the Participant must provide written notice to exercise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in compliance with the provisions of the stock appreciation right agreement evidencing such stock appreciation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191135</wp:posOffset>
            </wp:positionV>
            <wp:extent cx="5990590" cy="46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43" w:name="page144"/>
    <w:bookmarkEnd w:id="143"/>
    <w:p>
      <w:pPr>
        <w:jc w:val="both"/>
        <w:ind w:left="1400" w:right="160" w:hanging="531"/>
        <w:spacing w:after="0" w:line="217" w:lineRule="auto"/>
        <w:tabs>
          <w:tab w:leader="none" w:pos="140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Payment</w:t>
      </w:r>
      <w:r>
        <w:rPr>
          <w:rFonts w:ascii="Times New Roman" w:cs="Times New Roman" w:eastAsia="Times New Roman" w:hAnsi="Times New Roman"/>
          <w:sz w:val="16"/>
          <w:szCs w:val="16"/>
          <w:color w:val="auto"/>
        </w:rPr>
        <w:t>. The appreciation distribution in respect to a stock appreciation right may be paid in shares of 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in cash, in any combination of shares of Common Stock and cash, or in any other form of consideration, as determined by the Board and contained in the stock appreciation right agreement evidencing such stock appreciation right.</w:t>
      </w:r>
    </w:p>
    <w:p>
      <w:pPr>
        <w:spacing w:after="0" w:line="115" w:lineRule="exact"/>
        <w:rPr>
          <w:rFonts w:ascii="Times New Roman" w:cs="Times New Roman" w:eastAsia="Times New Roman" w:hAnsi="Times New Roman"/>
          <w:sz w:val="16"/>
          <w:szCs w:val="16"/>
          <w:color w:val="auto"/>
        </w:rPr>
      </w:pPr>
    </w:p>
    <w:p>
      <w:pPr>
        <w:jc w:val="both"/>
        <w:ind w:left="1400" w:right="160" w:hanging="531"/>
        <w:spacing w:after="0" w:line="222" w:lineRule="auto"/>
        <w:tabs>
          <w:tab w:leader="none" w:pos="1400"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Termination of Service</w:t>
      </w:r>
      <w:r>
        <w:rPr>
          <w:rFonts w:ascii="Times New Roman" w:cs="Times New Roman" w:eastAsia="Times New Roman" w:hAnsi="Times New Roman"/>
          <w:sz w:val="15"/>
          <w:szCs w:val="15"/>
          <w:color w:val="auto"/>
        </w:rPr>
        <w:t>. In the event that a Participant’s Service terminates, the Participant may exercise his or 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 appreciation right (to the extent that the Participant was entitled to exercise such stock appreciation right as of the date of termination) but only within such period of time ending on the earlier of (i) the date three months following the termination of the Participant’s Service (or such longer or shorter period specified in the stock appreciation right agreement), or (ii) the expiration of the term of the stock appreciation right as set forth in the stock appreciation right agreement. If, after termination, the Participant does not exercise his or her stock appreciation right within the time specified herein or in the stock appreciation right agreement (as applicable), the stock appreciation right shall terminate.</w:t>
      </w:r>
    </w:p>
    <w:p>
      <w:pPr>
        <w:spacing w:after="0" w:line="119" w:lineRule="exact"/>
        <w:rPr>
          <w:rFonts w:ascii="Times New Roman" w:cs="Times New Roman" w:eastAsia="Times New Roman" w:hAnsi="Times New Roman"/>
          <w:sz w:val="15"/>
          <w:szCs w:val="15"/>
          <w:color w:val="auto"/>
        </w:rPr>
      </w:pPr>
    </w:p>
    <w:p>
      <w:pPr>
        <w:jc w:val="both"/>
        <w:ind w:left="860" w:hanging="511"/>
        <w:spacing w:after="0" w:line="213" w:lineRule="auto"/>
        <w:tabs>
          <w:tab w:leader="none" w:pos="86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Restricted Stock Units</w:t>
      </w:r>
      <w:r>
        <w:rPr>
          <w:rFonts w:ascii="Times New Roman" w:cs="Times New Roman" w:eastAsia="Times New Roman" w:hAnsi="Times New Roman"/>
          <w:sz w:val="16"/>
          <w:szCs w:val="16"/>
          <w:color w:val="auto"/>
        </w:rPr>
        <w:t>. Each restricted stock unit agreement shall be in such form and shall contain such terms and conditions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Board shall deem appropriate. The terms and conditions of the restricted stock unit agreements may change from time to time, and the terms and conditions of separate restricted stock unit agreements need not be identical, but each restricted stock unit agreement shall include (through inclusion or incorporation of provisions hereof by reference in the agreement or otherwise) the substance of each of the following provisions:</w:t>
      </w:r>
    </w:p>
    <w:p>
      <w:pPr>
        <w:spacing w:after="0" w:line="112" w:lineRule="exact"/>
        <w:rPr>
          <w:rFonts w:ascii="Times New Roman" w:cs="Times New Roman" w:eastAsia="Times New Roman" w:hAnsi="Times New Roman"/>
          <w:sz w:val="16"/>
          <w:szCs w:val="16"/>
          <w:color w:val="auto"/>
        </w:rPr>
      </w:pPr>
    </w:p>
    <w:p>
      <w:pPr>
        <w:ind w:left="1380" w:right="160" w:hanging="511"/>
        <w:spacing w:after="0" w:line="253" w:lineRule="auto"/>
        <w:tabs>
          <w:tab w:leader="none" w:pos="138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Consideration</w:t>
      </w:r>
      <w:r>
        <w:rPr>
          <w:rFonts w:ascii="Times New Roman" w:cs="Times New Roman" w:eastAsia="Times New Roman" w:hAnsi="Times New Roman"/>
          <w:sz w:val="17"/>
          <w:szCs w:val="17"/>
          <w:color w:val="auto"/>
        </w:rPr>
        <w:t>. A restricted stock unit may be awarded upon the passage of time, the attainment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criteria or the satisfaction or occurrence of such other events as established by the Board.</w:t>
      </w:r>
    </w:p>
    <w:p>
      <w:pPr>
        <w:spacing w:after="0" w:line="112" w:lineRule="exact"/>
        <w:rPr>
          <w:rFonts w:ascii="Times New Roman" w:cs="Times New Roman" w:eastAsia="Times New Roman" w:hAnsi="Times New Roman"/>
          <w:sz w:val="16"/>
          <w:szCs w:val="16"/>
          <w:color w:val="auto"/>
        </w:rPr>
      </w:pPr>
    </w:p>
    <w:p>
      <w:pPr>
        <w:jc w:val="both"/>
        <w:ind w:left="1380" w:right="160" w:hanging="511"/>
        <w:spacing w:after="0" w:line="223" w:lineRule="auto"/>
        <w:tabs>
          <w:tab w:leader="none" w:pos="138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Vesting Generally</w:t>
      </w:r>
      <w:r>
        <w:rPr>
          <w:rFonts w:ascii="Times New Roman" w:cs="Times New Roman" w:eastAsia="Times New Roman" w:hAnsi="Times New Roman"/>
          <w:sz w:val="16"/>
          <w:szCs w:val="16"/>
          <w:color w:val="auto"/>
        </w:rPr>
        <w:t>. At the time of the grant of a restricted stock unit, the Board may impose such restrictions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conditions to vesting, and/or the acceleration of the vesting, of such restricted stock unit as it, in its sole discretion, deems appropriate. Vesting provisions of individual restricted stock units may vary.</w:t>
      </w:r>
    </w:p>
    <w:p>
      <w:pPr>
        <w:spacing w:after="0" w:line="116" w:lineRule="exact"/>
        <w:rPr>
          <w:rFonts w:ascii="Times New Roman" w:cs="Times New Roman" w:eastAsia="Times New Roman" w:hAnsi="Times New Roman"/>
          <w:sz w:val="16"/>
          <w:szCs w:val="16"/>
          <w:color w:val="auto"/>
        </w:rPr>
      </w:pPr>
    </w:p>
    <w:p>
      <w:pPr>
        <w:jc w:val="both"/>
        <w:ind w:left="1380" w:right="160" w:hanging="511"/>
        <w:spacing w:after="0" w:line="216" w:lineRule="auto"/>
        <w:tabs>
          <w:tab w:leader="none" w:pos="138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Service</w:t>
      </w:r>
      <w:r>
        <w:rPr>
          <w:rFonts w:ascii="Times New Roman" w:cs="Times New Roman" w:eastAsia="Times New Roman" w:hAnsi="Times New Roman"/>
          <w:sz w:val="16"/>
          <w:szCs w:val="16"/>
          <w:color w:val="auto"/>
        </w:rPr>
        <w:t>. In the event that a Participant’s Service terminates, any or all of the restricted stock units held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Participant that have not vested as of the date of termination under the terms of the restricted stock unit agreement shall be forfeited to the Company in accordance with the restricted stock unit agreement, except as otherwise provided in the applicable restricted stock unit agreement.</w:t>
      </w:r>
    </w:p>
    <w:p>
      <w:pPr>
        <w:spacing w:after="0" w:line="118" w:lineRule="exact"/>
        <w:rPr>
          <w:rFonts w:ascii="Times New Roman" w:cs="Times New Roman" w:eastAsia="Times New Roman" w:hAnsi="Times New Roman"/>
          <w:sz w:val="16"/>
          <w:szCs w:val="16"/>
          <w:color w:val="auto"/>
        </w:rPr>
      </w:pPr>
    </w:p>
    <w:p>
      <w:pPr>
        <w:jc w:val="both"/>
        <w:ind w:left="1380" w:right="160" w:hanging="511"/>
        <w:spacing w:after="0" w:line="210" w:lineRule="auto"/>
        <w:tabs>
          <w:tab w:leader="none" w:pos="138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Transferability</w:t>
      </w:r>
      <w:r>
        <w:rPr>
          <w:rFonts w:ascii="Times New Roman" w:cs="Times New Roman" w:eastAsia="Times New Roman" w:hAnsi="Times New Roman"/>
          <w:sz w:val="16"/>
          <w:szCs w:val="16"/>
          <w:color w:val="auto"/>
        </w:rPr>
        <w:t>. A restricted stock unit shall be subject to similar transfer restrictions as awards of restricted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except that no shares are actually awarded to a Participant who is granted restricted stock units on the date of grant, and such Participant shall have no rights of a stockholder with respect to such restricted stock units until the restrictions set forth in the restricted stock unit agreement have lapsed. Restricted stock units may be transferred to any trust established by a Participant for the benefit of the Participant, his or her spouse, and/or any one or more lineal descendants.</w:t>
      </w:r>
    </w:p>
    <w:p>
      <w:pPr>
        <w:spacing w:after="0" w:line="118" w:lineRule="exact"/>
        <w:rPr>
          <w:rFonts w:ascii="Times New Roman" w:cs="Times New Roman" w:eastAsia="Times New Roman" w:hAnsi="Times New Roman"/>
          <w:sz w:val="16"/>
          <w:szCs w:val="16"/>
          <w:color w:val="auto"/>
        </w:rPr>
      </w:pPr>
    </w:p>
    <w:p>
      <w:pPr>
        <w:jc w:val="both"/>
        <w:ind w:left="1380" w:right="160" w:hanging="511"/>
        <w:spacing w:after="0" w:line="223" w:lineRule="auto"/>
        <w:tabs>
          <w:tab w:leader="none" w:pos="138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Voting, Dividend &amp; Other Right</w:t>
      </w:r>
      <w:r>
        <w:rPr>
          <w:rFonts w:ascii="Times New Roman" w:cs="Times New Roman" w:eastAsia="Times New Roman" w:hAnsi="Times New Roman"/>
          <w:sz w:val="16"/>
          <w:szCs w:val="16"/>
          <w:color w:val="auto"/>
        </w:rPr>
        <w:t>. Holders of restricted stock units will not be entitled to vote or to receive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dividend equivalent rights in respect of the restricted stock units at the time of any payment of dividends to stockholders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136525</wp:posOffset>
            </wp:positionV>
            <wp:extent cx="5990590" cy="46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44" w:name="page145"/>
    <w:bookmarkEnd w:id="144"/>
    <w:p>
      <w:pPr>
        <w:jc w:val="both"/>
        <w:ind w:left="1572" w:right="160"/>
        <w:spacing w:after="0" w:line="206" w:lineRule="auto"/>
        <w:rPr>
          <w:sz w:val="20"/>
          <w:szCs w:val="20"/>
          <w:color w:val="auto"/>
        </w:rPr>
      </w:pPr>
      <w:r>
        <w:rPr>
          <w:rFonts w:ascii="Times New Roman" w:cs="Times New Roman" w:eastAsia="Times New Roman" w:hAnsi="Times New Roman"/>
          <w:sz w:val="16"/>
          <w:szCs w:val="16"/>
          <w:color w:val="auto"/>
        </w:rPr>
        <w:t>Common Stock until they become owners of the Common Stock pursuant to their restricted stock unit agreement. If the applicable restricted stock unit agreement specifies that a Participant will be entitled to dividend equivalent rights, (i) the amount of any such dividend equivalent right shall equal the amount that would be payable to the Participant as a stockholder in respect of a number of shares equal to the number of vested restricted stock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of Common Stock (and in accordance with Section 409A of the Code with regard to awards subject thereto); provided that no dividend equivalents shall be currently paid on restricted share units that are not yet vested.</w:t>
      </w:r>
    </w:p>
    <w:p>
      <w:pPr>
        <w:spacing w:after="0" w:line="117" w:lineRule="exact"/>
        <w:rPr>
          <w:sz w:val="20"/>
          <w:szCs w:val="20"/>
          <w:color w:val="auto"/>
        </w:rPr>
      </w:pPr>
    </w:p>
    <w:p>
      <w:pPr>
        <w:ind w:left="1072" w:hanging="551"/>
        <w:spacing w:after="0"/>
        <w:tabs>
          <w:tab w:leader="none" w:pos="1072"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COVENANTS OF THE COMPANY</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left="1032" w:hanging="511"/>
        <w:spacing w:after="0" w:line="235" w:lineRule="auto"/>
        <w:tabs>
          <w:tab w:leader="none" w:pos="1032"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Availability of Shares</w:t>
      </w:r>
      <w:r>
        <w:rPr>
          <w:rFonts w:ascii="Times New Roman" w:cs="Times New Roman" w:eastAsia="Times New Roman" w:hAnsi="Times New Roman"/>
          <w:sz w:val="16"/>
          <w:szCs w:val="16"/>
          <w:color w:val="auto"/>
        </w:rPr>
        <w:t>. During the terms of the Stock Awards, the Company shall keep available at all times the number of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Common Stock required to satisfy such Stock Awards.</w:t>
      </w:r>
    </w:p>
    <w:p>
      <w:pPr>
        <w:spacing w:after="0" w:line="116" w:lineRule="exact"/>
        <w:rPr>
          <w:rFonts w:ascii="Times New Roman" w:cs="Times New Roman" w:eastAsia="Times New Roman" w:hAnsi="Times New Roman"/>
          <w:sz w:val="16"/>
          <w:szCs w:val="16"/>
          <w:color w:val="auto"/>
        </w:rPr>
      </w:pPr>
    </w:p>
    <w:p>
      <w:pPr>
        <w:jc w:val="both"/>
        <w:ind w:left="1032" w:hanging="511"/>
        <w:spacing w:after="0" w:line="207" w:lineRule="auto"/>
        <w:tabs>
          <w:tab w:leader="none" w:pos="1032"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Securities Law Compliance</w:t>
      </w:r>
      <w:r>
        <w:rPr>
          <w:rFonts w:ascii="Times New Roman" w:cs="Times New Roman" w:eastAsia="Times New Roman" w:hAnsi="Times New Roman"/>
          <w:sz w:val="16"/>
          <w:szCs w:val="16"/>
          <w:color w:val="auto"/>
        </w:rPr>
        <w:t>. The Company shall seek to obtain from each regulatory commission or agency having jurisdiction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over the Plan such authority as may be required to grant Stock Awards and to issue and sell shares of Common Stock upon exercise of the Stock Awards;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18" w:lineRule="exact"/>
        <w:rPr>
          <w:rFonts w:ascii="Times New Roman" w:cs="Times New Roman" w:eastAsia="Times New Roman" w:hAnsi="Times New Roman"/>
          <w:sz w:val="16"/>
          <w:szCs w:val="16"/>
          <w:color w:val="auto"/>
        </w:rPr>
      </w:pPr>
    </w:p>
    <w:p>
      <w:pPr>
        <w:ind w:left="632" w:hanging="632"/>
        <w:spacing w:after="0"/>
        <w:tabs>
          <w:tab w:leader="none" w:pos="632"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PROCEEDS FROM STOCK</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6"/>
          <w:szCs w:val="16"/>
          <w:color w:val="auto"/>
        </w:rPr>
        <w:t>Proceeds from the sale of Common Stock pursuant to Stock Awards shall constitute general funds of the Company.</w:t>
      </w:r>
    </w:p>
    <w:p>
      <w:pPr>
        <w:spacing w:after="0" w:line="139" w:lineRule="exact"/>
        <w:rPr>
          <w:sz w:val="20"/>
          <w:szCs w:val="20"/>
          <w:color w:val="auto"/>
        </w:rPr>
      </w:pPr>
    </w:p>
    <w:p>
      <w:pPr>
        <w:ind w:left="712" w:hanging="712"/>
        <w:spacing w:after="0"/>
        <w:tabs>
          <w:tab w:leader="none" w:pos="712"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b w:val="1"/>
          <w:bCs w:val="1"/>
          <w:color w:val="auto"/>
        </w:rPr>
      </w:pPr>
    </w:p>
    <w:p>
      <w:pPr>
        <w:jc w:val="both"/>
        <w:ind w:left="1032" w:hanging="511"/>
        <w:spacing w:after="0" w:line="216" w:lineRule="auto"/>
        <w:tabs>
          <w:tab w:leader="none" w:pos="1032"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Acceleration of Exercisability and Vesting</w:t>
      </w:r>
      <w:r>
        <w:rPr>
          <w:rFonts w:ascii="Times New Roman" w:cs="Times New Roman" w:eastAsia="Times New Roman" w:hAnsi="Times New Roman"/>
          <w:sz w:val="16"/>
          <w:szCs w:val="16"/>
          <w:color w:val="auto"/>
        </w:rPr>
        <w:t>. The Board shall have the power to accelerate the time at which a Stock Award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18" w:lineRule="exact"/>
        <w:rPr>
          <w:rFonts w:ascii="Times New Roman" w:cs="Times New Roman" w:eastAsia="Times New Roman" w:hAnsi="Times New Roman"/>
          <w:sz w:val="16"/>
          <w:szCs w:val="16"/>
          <w:color w:val="auto"/>
        </w:rPr>
      </w:pPr>
    </w:p>
    <w:p>
      <w:pPr>
        <w:jc w:val="both"/>
        <w:ind w:left="1032" w:hanging="511"/>
        <w:spacing w:after="0" w:line="210" w:lineRule="auto"/>
        <w:tabs>
          <w:tab w:leader="none" w:pos="1032"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Stockholder Rights</w:t>
      </w:r>
      <w:r>
        <w:rPr>
          <w:rFonts w:ascii="Times New Roman" w:cs="Times New Roman" w:eastAsia="Times New Roman" w:hAnsi="Times New Roman"/>
          <w:sz w:val="16"/>
          <w:szCs w:val="16"/>
          <w:color w:val="auto"/>
        </w:rPr>
        <w:t>. No Participant shall be deemed to have dividend rights or other rights as a stockholder with respect to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Common Stock subject to an Option or stock appreciation right unless and until such Participant has properly exercised the Option or stock appreciation right. A Participant will have all of the rights of a stockholder as to any stock bonuses and shares of Common Stock acquired under a restricted stock purchase agreement as of the date of such Stock Awards, whether or not then vested, except as otherwise provided in the Stock Award Agreement, and unless and until the stock bonus or restricted stock is forfeited to the Company in accordance with applicable vesting requirements,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193040</wp:posOffset>
            </wp:positionV>
            <wp:extent cx="5990590" cy="463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72"/>
          </w:cols>
          <w:pgMar w:left="1268" w:top="110" w:right="1259" w:bottom="1440" w:gutter="0" w:footer="0" w:header="0"/>
        </w:sectPr>
      </w:pPr>
    </w:p>
    <w:bookmarkStart w:id="145" w:name="page146"/>
    <w:bookmarkEnd w:id="145"/>
    <w:p>
      <w:pPr>
        <w:jc w:val="both"/>
        <w:ind w:left="860" w:hanging="511"/>
        <w:spacing w:after="0" w:line="208" w:lineRule="auto"/>
        <w:tabs>
          <w:tab w:leader="none" w:pos="8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Employment or other Service Rights</w:t>
      </w:r>
      <w:r>
        <w:rPr>
          <w:rFonts w:ascii="Times New Roman" w:cs="Times New Roman" w:eastAsia="Times New Roman" w:hAnsi="Times New Roman"/>
          <w:sz w:val="16"/>
          <w:szCs w:val="16"/>
          <w:color w:val="auto"/>
        </w:rPr>
        <w:t>. Nothing in the Plan or any instrument executed or Stock Award granted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20" w:lineRule="exact"/>
        <w:rPr>
          <w:rFonts w:ascii="Times New Roman" w:cs="Times New Roman" w:eastAsia="Times New Roman" w:hAnsi="Times New Roman"/>
          <w:sz w:val="16"/>
          <w:szCs w:val="16"/>
          <w:color w:val="auto"/>
        </w:rPr>
      </w:pPr>
    </w:p>
    <w:p>
      <w:pPr>
        <w:jc w:val="both"/>
        <w:ind w:left="860" w:hanging="511"/>
        <w:spacing w:after="0" w:line="216" w:lineRule="auto"/>
        <w:tabs>
          <w:tab w:leader="none" w:pos="8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Incentive Stock Option Dollar Limitation</w:t>
      </w:r>
      <w:r>
        <w:rPr>
          <w:rFonts w:ascii="Times New Roman" w:cs="Times New Roman" w:eastAsia="Times New Roman" w:hAnsi="Times New Roman"/>
          <w:sz w:val="16"/>
          <w:szCs w:val="16"/>
          <w:color w:val="auto"/>
        </w:rPr>
        <w:t>. To the extent that the aggregate Fair Market Value (determined at the time of grant)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Nonstatutory Stock Options.</w:t>
      </w:r>
    </w:p>
    <w:p>
      <w:pPr>
        <w:spacing w:after="0" w:line="118" w:lineRule="exact"/>
        <w:rPr>
          <w:rFonts w:ascii="Times New Roman" w:cs="Times New Roman" w:eastAsia="Times New Roman" w:hAnsi="Times New Roman"/>
          <w:sz w:val="16"/>
          <w:szCs w:val="16"/>
          <w:color w:val="auto"/>
        </w:rPr>
      </w:pPr>
    </w:p>
    <w:p>
      <w:pPr>
        <w:jc w:val="both"/>
        <w:ind w:left="860" w:hanging="511"/>
        <w:spacing w:after="0" w:line="203" w:lineRule="auto"/>
        <w:tabs>
          <w:tab w:leader="none" w:pos="8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Investment Assurances</w:t>
      </w:r>
      <w:r>
        <w:rPr>
          <w:rFonts w:ascii="Times New Roman" w:cs="Times New Roman" w:eastAsia="Times New Roman" w:hAnsi="Times New Roman"/>
          <w:sz w:val="16"/>
          <w:szCs w:val="16"/>
          <w:color w:val="auto"/>
        </w:rPr>
        <w:t>. The Company may require a Participant, as a condition of exercising or acquiring Common Stock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(1) 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20" w:lineRule="exact"/>
        <w:rPr>
          <w:rFonts w:ascii="Times New Roman" w:cs="Times New Roman" w:eastAsia="Times New Roman" w:hAnsi="Times New Roman"/>
          <w:sz w:val="16"/>
          <w:szCs w:val="16"/>
          <w:color w:val="auto"/>
        </w:rPr>
      </w:pPr>
    </w:p>
    <w:p>
      <w:pPr>
        <w:jc w:val="both"/>
        <w:ind w:left="860" w:hanging="511"/>
        <w:spacing w:after="0" w:line="204" w:lineRule="auto"/>
        <w:tabs>
          <w:tab w:leader="none" w:pos="8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Applicable Withholding Taxes</w:t>
      </w:r>
      <w:r>
        <w:rPr>
          <w:rFonts w:ascii="Times New Roman" w:cs="Times New Roman" w:eastAsia="Times New Roman" w:hAnsi="Times New Roman"/>
          <w:sz w:val="16"/>
          <w:szCs w:val="16"/>
          <w:color w:val="auto"/>
        </w:rPr>
        <w:t>. Each Participant shall agree, as a condition of receiving a Stock Award, to pay to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any Affiliate, or make arrangements satisfactory to the Company or any Affiliate regarding the payment of, all applicable federal, state, local and foreign taxes (including the Participant’s FICA obligation or employment tax obligation) required by law to be withheld with respect to any grant, exercise, or payment made under or as a result of the Plan. Until the applicable withholding or income taxes have been paid or arrangements satisfactory to the Company have been made, no stock certificates (or, in the case of restricted stock, no stock certificates free of a restrictive legend) shall be issued to the Participant and no issuance in book-entry or electronic form (or, in the case of restricted stock, no issuance in book-entry or electronic form free of a restrictive legend or notation) shall be made for the Participant. As an alternative to making a cash payment to the Company to satisfy applicable withholding or income tax obligations, Participants may elect to satisfy the withholding requirement, in whole or in part, by having the Company withhold shares (or allow the surrender of shares) of Common Stock having a Fair Market Value equal to the amount of taxes to be paid, or by delivering to the Company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140970</wp:posOffset>
            </wp:positionV>
            <wp:extent cx="5990590" cy="46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46" w:name="page147"/>
    <w:bookmarkEnd w:id="146"/>
    <w:p>
      <w:pPr>
        <w:jc w:val="both"/>
        <w:ind w:left="1032"/>
        <w:spacing w:after="0" w:line="202" w:lineRule="auto"/>
        <w:rPr>
          <w:sz w:val="20"/>
          <w:szCs w:val="20"/>
          <w:color w:val="auto"/>
        </w:rPr>
      </w:pPr>
      <w:r>
        <w:rPr>
          <w:rFonts w:ascii="Times New Roman" w:cs="Times New Roman" w:eastAsia="Times New Roman" w:hAnsi="Times New Roman"/>
          <w:sz w:val="16"/>
          <w:szCs w:val="16"/>
          <w:color w:val="auto"/>
        </w:rPr>
        <w:t>Stock having a Fair Market Value equal to the amount of taxes to be paid. The amount of withholding tax to be paid with respect to a Stock Award by the withholding of shares of Common Stock otherwise deliverable pursuant to the Stock Award or by delivering shares of Common Stock already owned shall be determined by the Company in accordance with applicable laws and regulations, but shall not exceed the maximum statutory tax rates in the Participant’s applicable jurisdictions with respect to that Stock Award. For this purpose, the maximum statutory tax rates are based on the applicable rates of the relevant tax authorities (for example, federal, state, and local), including the Participant’s share of payroll or similar taxes, as provided in tax law, regulations, or the authority’s administrative practices, not to exceed the highest statutory rate in that jurisdiction. Notwithstanding the foregoing, the amount of withholding tax paid with respect to a Stock Award that has been granted to a Participant that is not an Employee by the withholding of shares of Common Stock otherwise deliverable pursuant to such Stock Award or by delivering shares of Common Stock already owned shall not exceed the minimum statutory amount, if any, required to be withheld for federal, state, local and/or foreign tax purposes that are applicable to the Stock Award then subject to tax. (For avoidance of doubt, it is acknowledged that as of the date hereof there is no minimum statutory amount to be withheld from exercise or vesting of Stock Awards to non-Employees and therefore shares of Common Stock will not be withheld for taxes with respect to such events except to the extent of future changes of law.) The value of any shares so withheld or delivered shall be based on the Fair Market Value of the shares on the date that the amount of tax to be withheld is to be determined. All elections by Participants shall be irrevocable and be made in writing and in such manner as determined by the Committee (or its delegee) in advance of the day that the transaction becomes taxable.</w:t>
      </w:r>
    </w:p>
    <w:p>
      <w:pPr>
        <w:spacing w:after="0" w:line="121" w:lineRule="exact"/>
        <w:rPr>
          <w:sz w:val="20"/>
          <w:szCs w:val="20"/>
          <w:color w:val="auto"/>
        </w:rPr>
      </w:pPr>
    </w:p>
    <w:p>
      <w:pPr>
        <w:ind w:left="712" w:hanging="712"/>
        <w:spacing w:after="0"/>
        <w:tabs>
          <w:tab w:leader="none" w:pos="712" w:val="left"/>
        </w:tabs>
        <w:numPr>
          <w:ilvl w:val="0"/>
          <w:numId w:val="1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ADJUSTMENTS UPON CHANGES IN STOCK</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b w:val="1"/>
          <w:bCs w:val="1"/>
          <w:color w:val="auto"/>
        </w:rPr>
      </w:pPr>
    </w:p>
    <w:p>
      <w:pPr>
        <w:jc w:val="both"/>
        <w:ind w:left="1032" w:right="160" w:hanging="511"/>
        <w:spacing w:after="0" w:line="205" w:lineRule="auto"/>
        <w:tabs>
          <w:tab w:leader="none" w:pos="1032"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Capitalization Adjustments</w:t>
      </w:r>
      <w:r>
        <w:rPr>
          <w:rFonts w:ascii="Times New Roman" w:cs="Times New Roman" w:eastAsia="Times New Roman" w:hAnsi="Times New Roman"/>
          <w:sz w:val="16"/>
          <w:szCs w:val="16"/>
          <w:color w:val="auto"/>
        </w:rPr>
        <w:t>. If any change is made in the Common Stock subject to the Plan, or subject to any Stock Award,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 and maximum number of shares subject to the Plan pursuant to subsection 4(a) and the maximum number of shares subject to award to any person pursuant to subsection 5(c), and the outstanding Stock Awards will be appropriately adjusted in the class and number of shares and price per share of Common Stock subject to such outstanding Stock Awards. The Board shall make such adjustments, and its determination shall be final, binding and conclusive. For clarity, the conversion of any convertible securities of the Company shall not be treated as a transaction “without receipt of consideration” by the Company.</w:t>
      </w:r>
    </w:p>
    <w:p>
      <w:pPr>
        <w:spacing w:after="0" w:line="120" w:lineRule="exact"/>
        <w:rPr>
          <w:rFonts w:ascii="Times New Roman" w:cs="Times New Roman" w:eastAsia="Times New Roman" w:hAnsi="Times New Roman"/>
          <w:sz w:val="16"/>
          <w:szCs w:val="16"/>
          <w:color w:val="auto"/>
        </w:rPr>
      </w:pPr>
    </w:p>
    <w:p>
      <w:pPr>
        <w:jc w:val="both"/>
        <w:ind w:left="1032" w:right="160" w:hanging="511"/>
        <w:spacing w:after="0" w:line="216" w:lineRule="auto"/>
        <w:tabs>
          <w:tab w:leader="none" w:pos="1032"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Dissolution or Liquidation</w:t>
      </w:r>
      <w:r>
        <w:rPr>
          <w:rFonts w:ascii="Times New Roman" w:cs="Times New Roman" w:eastAsia="Times New Roman" w:hAnsi="Times New Roman"/>
          <w:sz w:val="16"/>
          <w:szCs w:val="16"/>
          <w:color w:val="auto"/>
        </w:rPr>
        <w:t>. In the event of a dissolution or liquidation of the Company, all outstanding Stock Awards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terminate immediately prior to such event, and shares of bonus stock and restricted stock subject to the Company’s repurchase option or to forfeiture under subsections 7(a)(iii) and 7(b)(iii) may be repurchased by the Company or forfeited notwithstanding the fact that the holder of such stock is still in Service.</w:t>
      </w:r>
    </w:p>
    <w:p>
      <w:pPr>
        <w:spacing w:after="0" w:line="118" w:lineRule="exact"/>
        <w:rPr>
          <w:rFonts w:ascii="Times New Roman" w:cs="Times New Roman" w:eastAsia="Times New Roman" w:hAnsi="Times New Roman"/>
          <w:sz w:val="16"/>
          <w:szCs w:val="16"/>
          <w:color w:val="auto"/>
        </w:rPr>
      </w:pPr>
    </w:p>
    <w:p>
      <w:pPr>
        <w:jc w:val="both"/>
        <w:ind w:left="1032" w:right="160" w:hanging="511"/>
        <w:spacing w:after="0" w:line="216" w:lineRule="auto"/>
        <w:tabs>
          <w:tab w:leader="none" w:pos="1032"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Corporate Transaction</w:t>
      </w:r>
      <w:r>
        <w:rPr>
          <w:rFonts w:ascii="Times New Roman" w:cs="Times New Roman" w:eastAsia="Times New Roman" w:hAnsi="Times New Roman"/>
          <w:sz w:val="16"/>
          <w:szCs w:val="16"/>
          <w:color w:val="auto"/>
        </w:rPr>
        <w:t>. In the event of a Corporate Transaction, any surviving corporation or acquiring corporation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assume any Stock Awards outstanding under the Plan or may substitute similar stock awards (including an award to acquire the same consideration paid to the stockholders in the transaction described in this subsection 11(c)) for those outstanding under the Plan. Unless the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137795</wp:posOffset>
            </wp:positionV>
            <wp:extent cx="5990590" cy="46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72"/>
          </w:cols>
          <w:pgMar w:left="1268" w:top="110" w:right="1259" w:bottom="1440" w:gutter="0" w:footer="0" w:header="0"/>
        </w:sectPr>
      </w:pPr>
    </w:p>
    <w:bookmarkStart w:id="147" w:name="page148"/>
    <w:bookmarkEnd w:id="147"/>
    <w:p>
      <w:pPr>
        <w:jc w:val="both"/>
        <w:ind w:left="1032" w:right="160"/>
        <w:spacing w:after="0" w:line="222" w:lineRule="auto"/>
        <w:rPr>
          <w:sz w:val="20"/>
          <w:szCs w:val="20"/>
          <w:color w:val="auto"/>
        </w:rPr>
      </w:pPr>
      <w:r>
        <w:rPr>
          <w:rFonts w:ascii="Times New Roman" w:cs="Times New Roman" w:eastAsia="Times New Roman" w:hAnsi="Times New Roman"/>
          <w:sz w:val="16"/>
          <w:szCs w:val="16"/>
          <w:color w:val="auto"/>
        </w:rPr>
        <w:t>Agreement otherwise provides, in the event any surviving corporation or acquiring corporation does not assume such Stock Awards or substitute similar stock awards for those outstanding under the Plan, then the Stock Awards shall terminate if not exercised at or prior to such event.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12" w:hanging="712"/>
        <w:spacing w:after="0"/>
        <w:tabs>
          <w:tab w:leader="none" w:pos="712"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AMENDMENT OF THE PLAN AND STOCK AWARDS</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b w:val="1"/>
          <w:bCs w:val="1"/>
          <w:color w:val="auto"/>
        </w:rPr>
      </w:pPr>
    </w:p>
    <w:p>
      <w:pPr>
        <w:jc w:val="both"/>
        <w:ind w:left="1032" w:hanging="511"/>
        <w:spacing w:after="0" w:line="216" w:lineRule="auto"/>
        <w:tabs>
          <w:tab w:leader="none" w:pos="103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 of Plan</w:t>
      </w:r>
      <w:r>
        <w:rPr>
          <w:rFonts w:ascii="Times New Roman" w:cs="Times New Roman" w:eastAsia="Times New Roman" w:hAnsi="Times New Roman"/>
          <w:sz w:val="16"/>
          <w:szCs w:val="16"/>
          <w:color w:val="auto"/>
        </w:rPr>
        <w:t>. The Board at any time, and from time to time, may amend the Plan. However, except as provided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11 relating to adjustments upon changes in Common Stock, no amendment shall be effective unless approved by the stockholders of the Company to the extent stockholder approval is necessary to satisfy the requirements of Section 422 of the Code, Rule 16b-3 or any securities exchange listing requirements.</w:t>
      </w:r>
    </w:p>
    <w:p>
      <w:pPr>
        <w:spacing w:after="0" w:line="118" w:lineRule="exact"/>
        <w:rPr>
          <w:rFonts w:ascii="Times New Roman" w:cs="Times New Roman" w:eastAsia="Times New Roman" w:hAnsi="Times New Roman"/>
          <w:sz w:val="16"/>
          <w:szCs w:val="16"/>
          <w:color w:val="auto"/>
        </w:rPr>
      </w:pPr>
    </w:p>
    <w:p>
      <w:pPr>
        <w:jc w:val="both"/>
        <w:ind w:left="1032" w:hanging="511"/>
        <w:spacing w:after="0" w:line="216" w:lineRule="auto"/>
        <w:tabs>
          <w:tab w:leader="none" w:pos="103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Stockholder Approval</w:t>
      </w:r>
      <w:r>
        <w:rPr>
          <w:rFonts w:ascii="Times New Roman" w:cs="Times New Roman" w:eastAsia="Times New Roman" w:hAnsi="Times New Roman"/>
          <w:sz w:val="16"/>
          <w:szCs w:val="16"/>
          <w:color w:val="auto"/>
        </w:rPr>
        <w:t>. The Board may, in its sole discretion, submit any other amendment to the Plan for stockholder approval,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but not limited to, amendments to the Plan intended to satisfy the requirements of Section 162(m) of the Code and the regulations thereunder regarding the exclusion of performance-based compensation from the limit on corporate deductibility of compensation paid to certain executive officers.</w:t>
      </w:r>
    </w:p>
    <w:p>
      <w:pPr>
        <w:spacing w:after="0" w:line="118" w:lineRule="exact"/>
        <w:rPr>
          <w:rFonts w:ascii="Times New Roman" w:cs="Times New Roman" w:eastAsia="Times New Roman" w:hAnsi="Times New Roman"/>
          <w:sz w:val="16"/>
          <w:szCs w:val="16"/>
          <w:color w:val="auto"/>
        </w:rPr>
      </w:pPr>
    </w:p>
    <w:p>
      <w:pPr>
        <w:jc w:val="both"/>
        <w:ind w:left="1032" w:hanging="511"/>
        <w:spacing w:after="0" w:line="216" w:lineRule="auto"/>
        <w:tabs>
          <w:tab w:leader="none" w:pos="103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Contemplated Amendments</w:t>
      </w:r>
      <w:r>
        <w:rPr>
          <w:rFonts w:ascii="Times New Roman" w:cs="Times New Roman" w:eastAsia="Times New Roman" w:hAnsi="Times New Roman"/>
          <w:sz w:val="16"/>
          <w:szCs w:val="16"/>
          <w:color w:val="auto"/>
        </w:rPr>
        <w:t>. It is expressly contemplated that the Board may amend the Plan in any respect the Board deems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necessary or advisable to provide eligible Employees with the maximum benefits provided or to be provided under the provisions of the Code and the regulations promulgated thereunder relating to Incentive Stock Options or to bring the Plan or Incentive Stock Options granted under it into compliance therewith.</w:t>
      </w:r>
    </w:p>
    <w:p>
      <w:pPr>
        <w:spacing w:after="0" w:line="118" w:lineRule="exact"/>
        <w:rPr>
          <w:rFonts w:ascii="Times New Roman" w:cs="Times New Roman" w:eastAsia="Times New Roman" w:hAnsi="Times New Roman"/>
          <w:sz w:val="16"/>
          <w:szCs w:val="16"/>
          <w:color w:val="auto"/>
        </w:rPr>
      </w:pPr>
    </w:p>
    <w:p>
      <w:pPr>
        <w:ind w:left="1032" w:hanging="511"/>
        <w:spacing w:after="0" w:line="235" w:lineRule="auto"/>
        <w:tabs>
          <w:tab w:leader="none" w:pos="103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Impairment of Rights</w:t>
      </w:r>
      <w:r>
        <w:rPr>
          <w:rFonts w:ascii="Times New Roman" w:cs="Times New Roman" w:eastAsia="Times New Roman" w:hAnsi="Times New Roman"/>
          <w:sz w:val="16"/>
          <w:szCs w:val="16"/>
          <w:color w:val="auto"/>
        </w:rPr>
        <w:t>. Rights under any Stock Award granted before amendment of the Plan shall not be impaired by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of the Plan unless the Participant consents thereto in writing.</w:t>
      </w:r>
    </w:p>
    <w:p>
      <w:pPr>
        <w:spacing w:after="0" w:line="116" w:lineRule="exact"/>
        <w:rPr>
          <w:rFonts w:ascii="Times New Roman" w:cs="Times New Roman" w:eastAsia="Times New Roman" w:hAnsi="Times New Roman"/>
          <w:sz w:val="16"/>
          <w:szCs w:val="16"/>
          <w:color w:val="auto"/>
        </w:rPr>
      </w:pPr>
    </w:p>
    <w:p>
      <w:pPr>
        <w:jc w:val="both"/>
        <w:ind w:left="1032" w:hanging="511"/>
        <w:spacing w:after="0" w:line="223" w:lineRule="auto"/>
        <w:tabs>
          <w:tab w:leader="none" w:pos="103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 of Stock Awards</w:t>
      </w:r>
      <w:r>
        <w:rPr>
          <w:rFonts w:ascii="Times New Roman" w:cs="Times New Roman" w:eastAsia="Times New Roman" w:hAnsi="Times New Roman"/>
          <w:sz w:val="16"/>
          <w:szCs w:val="16"/>
          <w:color w:val="auto"/>
        </w:rPr>
        <w:t>. The Board at any time, and from time to time, may amend the terms of any one or more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Awards;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rights under any Stock Award shall not be impaired by any such amendment unless the Participant consents thereto in writing.</w:t>
      </w:r>
    </w:p>
    <w:p>
      <w:pPr>
        <w:spacing w:after="0" w:line="116" w:lineRule="exact"/>
        <w:rPr>
          <w:rFonts w:ascii="Times New Roman" w:cs="Times New Roman" w:eastAsia="Times New Roman" w:hAnsi="Times New Roman"/>
          <w:sz w:val="16"/>
          <w:szCs w:val="16"/>
          <w:color w:val="auto"/>
        </w:rPr>
      </w:pPr>
    </w:p>
    <w:p>
      <w:pPr>
        <w:ind w:left="712" w:hanging="712"/>
        <w:spacing w:after="0"/>
        <w:tabs>
          <w:tab w:leader="none" w:pos="712"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OR SUSPENSION OF THE PLAN</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b w:val="1"/>
          <w:bCs w:val="1"/>
          <w:color w:val="auto"/>
        </w:rPr>
      </w:pPr>
    </w:p>
    <w:p>
      <w:pPr>
        <w:jc w:val="both"/>
        <w:ind w:left="1032" w:hanging="511"/>
        <w:spacing w:after="0" w:line="223" w:lineRule="auto"/>
        <w:tabs>
          <w:tab w:leader="none" w:pos="103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Plan Term</w:t>
      </w:r>
      <w:r>
        <w:rPr>
          <w:rFonts w:ascii="Times New Roman" w:cs="Times New Roman" w:eastAsia="Times New Roman" w:hAnsi="Times New Roman"/>
          <w:sz w:val="16"/>
          <w:szCs w:val="16"/>
          <w:color w:val="auto"/>
        </w:rPr>
        <w:t>. Unless sooner terminated by the Board pursuant to Section 3, the Plan shall automatically terminate on the day before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tenth anniversary of the date the Plan is adopted by the Board. No Stock Awards may be granted under the Plan while the Plan is suspended or after it is terminated.</w:t>
      </w:r>
    </w:p>
    <w:p>
      <w:pPr>
        <w:spacing w:after="0" w:line="116" w:lineRule="exact"/>
        <w:rPr>
          <w:rFonts w:ascii="Times New Roman" w:cs="Times New Roman" w:eastAsia="Times New Roman" w:hAnsi="Times New Roman"/>
          <w:sz w:val="16"/>
          <w:szCs w:val="16"/>
          <w:color w:val="auto"/>
        </w:rPr>
      </w:pPr>
    </w:p>
    <w:p>
      <w:pPr>
        <w:ind w:left="1032" w:hanging="511"/>
        <w:spacing w:after="0" w:line="235" w:lineRule="auto"/>
        <w:tabs>
          <w:tab w:leader="none" w:pos="103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Impairment of Rights</w:t>
      </w:r>
      <w:r>
        <w:rPr>
          <w:rFonts w:ascii="Times New Roman" w:cs="Times New Roman" w:eastAsia="Times New Roman" w:hAnsi="Times New Roman"/>
          <w:sz w:val="16"/>
          <w:szCs w:val="16"/>
          <w:color w:val="auto"/>
        </w:rPr>
        <w:t>. Suspension or termination of the Plan shall not impair rights and obligations under any Stock Award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granted while the Plan is in effect except with the written consent of the Participant.</w:t>
      </w:r>
    </w:p>
    <w:p>
      <w:pPr>
        <w:spacing w:after="0" w:line="116" w:lineRule="exact"/>
        <w:rPr>
          <w:rFonts w:ascii="Times New Roman" w:cs="Times New Roman" w:eastAsia="Times New Roman" w:hAnsi="Times New Roman"/>
          <w:sz w:val="16"/>
          <w:szCs w:val="16"/>
          <w:color w:val="auto"/>
        </w:rPr>
      </w:pPr>
    </w:p>
    <w:p>
      <w:pPr>
        <w:ind w:left="712" w:hanging="712"/>
        <w:spacing w:after="0"/>
        <w:tabs>
          <w:tab w:leader="none" w:pos="712"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EFFECTIVE DATE OF PLAN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97155</wp:posOffset>
            </wp:positionV>
            <wp:extent cx="5990590" cy="46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72"/>
          </w:cols>
          <w:pgMar w:left="1268" w:top="110" w:right="1259" w:bottom="1440" w:gutter="0" w:footer="0" w:header="0"/>
        </w:sectPr>
      </w:pPr>
    </w:p>
    <w:bookmarkStart w:id="148" w:name="page149"/>
    <w:bookmarkEnd w:id="148"/>
    <w:p>
      <w:pPr>
        <w:jc w:val="both"/>
        <w:ind w:firstLine="521"/>
        <w:spacing w:after="0" w:line="215" w:lineRule="auto"/>
        <w:rPr>
          <w:sz w:val="20"/>
          <w:szCs w:val="20"/>
          <w:color w:val="auto"/>
        </w:rPr>
      </w:pPr>
      <w:r>
        <w:rPr>
          <w:rFonts w:ascii="Times New Roman" w:cs="Times New Roman" w:eastAsia="Times New Roman" w:hAnsi="Times New Roman"/>
          <w:sz w:val="16"/>
          <w:szCs w:val="16"/>
          <w:color w:val="auto"/>
        </w:rPr>
        <w:t>The Plan shall become effective upon approval of the stockholders of the Company, provided that such approval is received before the expiration of one year from the date the Plan is approved by the Board of Directors, and provided further that the Board of Directors may grant Options (but not award bonus stock, restricted stock, or stock appreciation rights) pursuant to the Plan prior to stockholder approval if the exercise of such Options by its terms is contingent upon stockholder approval of the Plan as provided above.</w:t>
      </w:r>
    </w:p>
    <w:p>
      <w:pPr>
        <w:spacing w:after="0" w:line="118" w:lineRule="exact"/>
        <w:rPr>
          <w:sz w:val="20"/>
          <w:szCs w:val="20"/>
          <w:color w:val="auto"/>
        </w:rPr>
      </w:pPr>
    </w:p>
    <w:p>
      <w:pPr>
        <w:ind w:left="720" w:hanging="712"/>
        <w:spacing w:after="0"/>
        <w:tabs>
          <w:tab w:leader="none" w:pos="720"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CHOICE OF LAW</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right="40" w:firstLine="573"/>
        <w:spacing w:after="0" w:line="234" w:lineRule="auto"/>
        <w:rPr>
          <w:sz w:val="20"/>
          <w:szCs w:val="20"/>
          <w:color w:val="auto"/>
        </w:rPr>
      </w:pPr>
      <w:r>
        <w:rPr>
          <w:rFonts w:ascii="Times New Roman" w:cs="Times New Roman" w:eastAsia="Times New Roman" w:hAnsi="Times New Roman"/>
          <w:sz w:val="16"/>
          <w:szCs w:val="16"/>
          <w:color w:val="auto"/>
        </w:rPr>
        <w:t>The law of the State of Nevada shall govern all questions concerning the construction, validity and interpretation of this Plan, without regard to the choice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5990590" cy="46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20"/>
          </w:cols>
          <w:pgMar w:left="1260" w:top="111" w:right="14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Restricted Stock Unit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 into as of this ______ day of _________, 2018</w:t>
      </w:r>
    </w:p>
    <w:p>
      <w:pPr>
        <w:spacing w:after="0" w:line="2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by and between Reading International, Inc.,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______________ (the</w:t>
      </w:r>
    </w:p>
    <w:p>
      <w:pPr>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Recipient</w:t>
      </w:r>
      <w:r>
        <w:rPr>
          <w:rFonts w:ascii="Times New Roman" w:cs="Times New Roman" w:eastAsia="Times New Roman" w:hAnsi="Times New Roman"/>
          <w:sz w:val="17"/>
          <w:szCs w:val="17"/>
          <w:color w:val="auto"/>
        </w:rPr>
        <w:t>"). Capitalized terms not defined herein shall have the meaning ascribed to them the in the Company’s 2010 Stock Incentive Plan, as amended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Grant of Restricted Stock Units.</w:t>
      </w:r>
      <w:r>
        <w:rPr>
          <w:rFonts w:ascii="Times New Roman" w:cs="Times New Roman" w:eastAsia="Times New Roman" w:hAnsi="Times New Roman"/>
          <w:sz w:val="17"/>
          <w:szCs w:val="17"/>
          <w:color w:val="auto"/>
        </w:rPr>
        <w:t xml:space="preserve"> The Company hereby grants to the Recipient _______ share units (such units, the “</w:t>
      </w:r>
      <w:r>
        <w:rPr>
          <w:rFonts w:ascii="Times New Roman" w:cs="Times New Roman" w:eastAsia="Times New Roman" w:hAnsi="Times New Roman"/>
          <w:sz w:val="17"/>
          <w:szCs w:val="17"/>
          <w:b w:val="1"/>
          <w:bCs w:val="1"/>
          <w:color w:val="auto"/>
        </w:rPr>
        <w:t>Restricted</w:t>
      </w:r>
    </w:p>
    <w:p>
      <w:pPr>
        <w:spacing w:after="0"/>
        <w:rPr>
          <w:sz w:val="20"/>
          <w:szCs w:val="20"/>
          <w:color w:val="auto"/>
        </w:rPr>
      </w:pPr>
      <w:r>
        <w:rPr>
          <w:rFonts w:ascii="Times New Roman" w:cs="Times New Roman" w:eastAsia="Times New Roman" w:hAnsi="Times New Roman"/>
          <w:sz w:val="17"/>
          <w:szCs w:val="17"/>
          <w:b w:val="1"/>
          <w:bCs w:val="1"/>
          <w:color w:val="auto"/>
        </w:rPr>
        <w:t>Stock Units</w:t>
      </w:r>
      <w:r>
        <w:rPr>
          <w:rFonts w:ascii="Times New Roman" w:cs="Times New Roman" w:eastAsia="Times New Roman" w:hAnsi="Times New Roman"/>
          <w:sz w:val="17"/>
          <w:szCs w:val="17"/>
          <w:color w:val="auto"/>
        </w:rPr>
        <w:t>”), subject to all of the terms and conditions of this Restricted Stock Unit Agreement and the Plan.</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Vesting and Payment</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320" w:firstLine="416"/>
        <w:spacing w:after="0" w:line="251" w:lineRule="auto"/>
        <w:rPr>
          <w:sz w:val="20"/>
          <w:szCs w:val="20"/>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Subject to the limitations set forth in this Section 2, Restricted Stock Units will vest, if at all, in accordance with the vesting schedule set forth in the Grant Notice.</w:t>
      </w:r>
    </w:p>
    <w:p>
      <w:pPr>
        <w:spacing w:after="0" w:line="1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u w:val="single" w:color="auto"/>
          <w:color w:val="auto"/>
        </w:rPr>
        <w:t>Forfeiture upon Termination</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left="740" w:firstLine="521"/>
        <w:spacing w:after="0" w:line="229" w:lineRule="auto"/>
        <w:rPr>
          <w:sz w:val="20"/>
          <w:szCs w:val="20"/>
          <w:color w:val="auto"/>
        </w:rPr>
      </w:pPr>
      <w:r>
        <w:rPr>
          <w:rFonts w:ascii="Times New Roman" w:cs="Times New Roman" w:eastAsia="Times New Roman" w:hAnsi="Times New Roman"/>
          <w:sz w:val="17"/>
          <w:szCs w:val="17"/>
          <w:color w:val="auto"/>
        </w:rPr>
        <w:t>Subject to the provisions of Sections 2.3, upon termination of the Recipient’s Services, whether by the Company or by the Recipient, any unvested Restricted Stock Units shall be immediately forfeited and neither the Recipient nor any of the Recipient’s successors, heirs, assigns or personal representatives shall thereafter have any further rights or interests in such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-24765</wp:posOffset>
            </wp:positionV>
            <wp:extent cx="2730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27305" cy="6985"/>
                    </a:xfrm>
                    <a:prstGeom prst="rect">
                      <a:avLst/>
                    </a:prstGeom>
                    <a:noFill/>
                  </pic:spPr>
                </pic:pic>
              </a:graphicData>
            </a:graphic>
          </wp:anchor>
        </w:drawing>
      </w:r>
    </w:p>
    <w:p>
      <w:pPr>
        <w:spacing w:after="0" w:line="1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u w:val="single" w:color="auto"/>
          <w:color w:val="auto"/>
        </w:rPr>
        <w:t>Acceleration of Vesting.</w:t>
      </w:r>
    </w:p>
    <w:p>
      <w:pPr>
        <w:spacing w:after="0" w:line="152" w:lineRule="exact"/>
        <w:rPr>
          <w:sz w:val="20"/>
          <w:szCs w:val="20"/>
          <w:color w:val="auto"/>
        </w:rPr>
      </w:pPr>
    </w:p>
    <w:p>
      <w:pPr>
        <w:jc w:val="both"/>
        <w:ind w:left="740" w:firstLine="521"/>
        <w:spacing w:after="0" w:line="251" w:lineRule="auto"/>
        <w:rPr>
          <w:sz w:val="20"/>
          <w:szCs w:val="20"/>
          <w:color w:val="auto"/>
        </w:rPr>
      </w:pPr>
      <w:r>
        <w:rPr>
          <w:rFonts w:ascii="Times New Roman" w:cs="Times New Roman" w:eastAsia="Times New Roman" w:hAnsi="Times New Roman"/>
          <w:sz w:val="17"/>
          <w:szCs w:val="17"/>
          <w:color w:val="auto"/>
        </w:rPr>
        <w:t>In the event that of Recipient’s death or Disability (as defined in the Plan), all unvested Restricted Stock Units shall immediately vest as of the date of death or Disability.</w:t>
      </w:r>
    </w:p>
    <w:p>
      <w:pPr>
        <w:spacing w:after="0" w:line="112" w:lineRule="exact"/>
        <w:rPr>
          <w:sz w:val="20"/>
          <w:szCs w:val="20"/>
          <w:color w:val="auto"/>
        </w:rPr>
      </w:pPr>
    </w:p>
    <w:p>
      <w:pPr>
        <w:jc w:val="both"/>
        <w:ind w:left="740" w:firstLine="521"/>
        <w:spacing w:after="0" w:line="251" w:lineRule="auto"/>
        <w:rPr>
          <w:sz w:val="20"/>
          <w:szCs w:val="20"/>
          <w:color w:val="auto"/>
        </w:rPr>
      </w:pPr>
      <w:r>
        <w:rPr>
          <w:rFonts w:ascii="Times New Roman" w:cs="Times New Roman" w:eastAsia="Times New Roman" w:hAnsi="Times New Roman"/>
          <w:sz w:val="17"/>
          <w:szCs w:val="17"/>
          <w:color w:val="auto"/>
        </w:rPr>
        <w:t>In the event of a Change of Control, and the Recipient is not a Participant in such Change in Control, all unvested Restricted Stock Units shall immediately vest as of the date of such Change of Control.</w:t>
      </w:r>
    </w:p>
    <w:p>
      <w:pPr>
        <w:spacing w:after="0" w:line="112" w:lineRule="exact"/>
        <w:rPr>
          <w:sz w:val="20"/>
          <w:szCs w:val="20"/>
          <w:color w:val="auto"/>
        </w:rPr>
      </w:pPr>
    </w:p>
    <w:p>
      <w:pPr>
        <w:jc w:val="both"/>
        <w:ind w:left="740" w:firstLine="521"/>
        <w:spacing w:after="0" w:line="229" w:lineRule="auto"/>
        <w:rPr>
          <w:sz w:val="20"/>
          <w:szCs w:val="20"/>
          <w:color w:val="auto"/>
        </w:rPr>
      </w:pPr>
      <w:r>
        <w:rPr>
          <w:rFonts w:ascii="Times New Roman" w:cs="Times New Roman" w:eastAsia="Times New Roman" w:hAnsi="Times New Roman"/>
          <w:sz w:val="17"/>
          <w:szCs w:val="17"/>
          <w:color w:val="auto"/>
        </w:rPr>
        <w:t>In the event of a Corporate Transaction in which the Restricted Stock Units are not to be Appropriately Replaced at or prior to the effective time of such Corporate Transaction, the vesting of all Restricted Stock Units which are not otherwise fully vested shall automatically accelerate so that all such Restricted Stock Units shall, immediately prior to the effective time of the Corporate Transaction, become fully vested, free of all restrictions.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For purposes of this Section 2.3:</w:t>
      </w:r>
    </w:p>
    <w:p>
      <w:pPr>
        <w:spacing w:after="0" w:line="152" w:lineRule="exact"/>
        <w:rPr>
          <w:sz w:val="20"/>
          <w:szCs w:val="20"/>
          <w:color w:val="auto"/>
        </w:rPr>
      </w:pPr>
    </w:p>
    <w:p>
      <w:pPr>
        <w:ind w:left="1260" w:firstLine="521"/>
        <w:spacing w:after="0" w:line="251" w:lineRule="auto"/>
        <w:rPr>
          <w:sz w:val="20"/>
          <w:szCs w:val="20"/>
          <w:color w:val="auto"/>
        </w:rPr>
      </w:pPr>
      <w:r>
        <w:rPr>
          <w:rFonts w:ascii="Times New Roman" w:cs="Times New Roman" w:eastAsia="Times New Roman" w:hAnsi="Times New Roman"/>
          <w:sz w:val="17"/>
          <w:szCs w:val="17"/>
          <w:color w:val="auto"/>
        </w:rPr>
        <w:t>Restricted Stock Units shall be considered “Appropriately Replaced” if, at or prior to the Corporate Transaction, in the judgment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5990590" cy="46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4" w:right="1259" w:bottom="1440" w:gutter="0" w:footer="0" w:header="0"/>
        </w:sectPr>
      </w:pPr>
    </w:p>
    <w:bookmarkStart w:id="150" w:name="page151"/>
    <w:bookmarkEnd w:id="150"/>
    <w:p>
      <w:pPr>
        <w:jc w:val="both"/>
        <w:ind w:left="1080"/>
        <w:spacing w:after="0" w:line="217" w:lineRule="auto"/>
        <w:rPr>
          <w:sz w:val="20"/>
          <w:szCs w:val="20"/>
          <w:color w:val="auto"/>
        </w:rPr>
      </w:pPr>
      <w:r>
        <w:rPr>
          <w:rFonts w:ascii="Times New Roman" w:cs="Times New Roman" w:eastAsia="Times New Roman" w:hAnsi="Times New Roman"/>
          <w:sz w:val="17"/>
          <w:szCs w:val="17"/>
          <w:color w:val="auto"/>
        </w:rPr>
        <w:t xml:space="preserve">as constituted at the time the Corporate Transaction is proposed or announced to the Company (the “Evaluating Committee”), the Restricted Stock Units or a substituted award will confer the right to receive, for each share of Common Stock that may be received pursuant to the Restricted Stock Units existing immediately prior to the Corporate Transaction, on substantially the same vesting and other terms and conditions as were applicable to the Restricted Stock Units immediately prior to the Corporate Transaction, the consideration (whether stock, cash or other securities or property) to be received in the Corporate Transaction by holders of Common Stock for each such share held on the effective date of such transaction (and if holders were offered a choice of consideration, the type of consideration chosen by the holders of a majority of the outstanding shares of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such consideration to be received in the transaction constituting a Corporate Transaction is not solely cash and/or common stock of the successor company or its parent or subsidiary, the Evaluating Committee may, if the obligations are to be assumed by the successor company, or its parent or subsidiary, approve that the consideration to be received upon the exercise or vesting of the Restricted Stock Units (or the substituted award) will be common stock of the successor company or its parent or subsidiary substantially equal in fair market value to the per-share consideration received by holders of Common Stock in the transaction constituting a Corporate Transaction. The determination of such substantial equality of value of consideration shall be made by the Evaluating Committee in its sole discretion and its determination shall be conclusive and binding.</w:t>
      </w:r>
    </w:p>
    <w:p>
      <w:pPr>
        <w:spacing w:after="0" w:line="1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The term “Change in Control” shall mean:</w:t>
      </w:r>
    </w:p>
    <w:p>
      <w:pPr>
        <w:spacing w:after="0" w:line="152" w:lineRule="exact"/>
        <w:rPr>
          <w:sz w:val="20"/>
          <w:szCs w:val="20"/>
          <w:color w:val="auto"/>
        </w:rPr>
      </w:pPr>
    </w:p>
    <w:p>
      <w:pPr>
        <w:jc w:val="both"/>
        <w:ind w:left="1600" w:firstLine="521"/>
        <w:spacing w:after="0" w:line="251" w:lineRule="auto"/>
        <w:rPr>
          <w:sz w:val="20"/>
          <w:szCs w:val="20"/>
          <w:color w:val="auto"/>
        </w:rPr>
      </w:pPr>
      <w:r>
        <w:rPr>
          <w:rFonts w:ascii="Times New Roman" w:cs="Times New Roman" w:eastAsia="Times New Roman" w:hAnsi="Times New Roman"/>
          <w:sz w:val="17"/>
          <w:szCs w:val="17"/>
          <w:color w:val="auto"/>
        </w:rPr>
        <w:t>a change, after the Grant Date, in the composition of the Board such that the Incumbent Board ceases for any reason to constitute at least a majority of the Board; or</w:t>
      </w:r>
    </w:p>
    <w:p>
      <w:pPr>
        <w:spacing w:after="0" w:line="112" w:lineRule="exact"/>
        <w:rPr>
          <w:sz w:val="20"/>
          <w:szCs w:val="20"/>
          <w:color w:val="auto"/>
        </w:rPr>
      </w:pPr>
    </w:p>
    <w:p>
      <w:pPr>
        <w:jc w:val="both"/>
        <w:ind w:left="1600" w:firstLine="521"/>
        <w:spacing w:after="0" w:line="226" w:lineRule="auto"/>
        <w:rPr>
          <w:sz w:val="20"/>
          <w:szCs w:val="20"/>
          <w:color w:val="auto"/>
        </w:rPr>
      </w:pPr>
      <w:r>
        <w:rPr>
          <w:rFonts w:ascii="Times New Roman" w:cs="Times New Roman" w:eastAsia="Times New Roman" w:hAnsi="Times New Roman"/>
          <w:sz w:val="17"/>
          <w:szCs w:val="17"/>
          <w:color w:val="auto"/>
        </w:rPr>
        <w:t xml:space="preserve">after the Grant Date a Person (as defined below) other than a Permitted Holder (as defined below) becomes the “Beneficial Owner” (as defined in Rules 13d-3 and 13d-5 under the Exchange Act), directly or indirectly, of securities of the Company representing in the aggregate thirty percent (30%) or more of the then outstanding Voting Securities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Change in Control shall not be deemed to have occurred for purposes of this clause (B) solely as the result of:</w:t>
      </w:r>
    </w:p>
    <w:p>
      <w:pPr>
        <w:spacing w:after="0" w:line="121" w:lineRule="exact"/>
        <w:rPr>
          <w:sz w:val="20"/>
          <w:szCs w:val="20"/>
          <w:color w:val="auto"/>
        </w:rPr>
      </w:pPr>
    </w:p>
    <w:p>
      <w:pPr>
        <w:jc w:val="both"/>
        <w:ind w:left="2120" w:hanging="1"/>
        <w:spacing w:after="0" w:line="234" w:lineRule="auto"/>
        <w:tabs>
          <w:tab w:leader="none" w:pos="2368"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directly from the Company, other than an acquisition by virtue of the exercise of a conversion privilege unless the security being so converted itself was acquired directly from the Company,</w:t>
      </w:r>
    </w:p>
    <w:p>
      <w:pPr>
        <w:spacing w:after="0" w:line="122" w:lineRule="exact"/>
        <w:rPr>
          <w:rFonts w:ascii="Times New Roman" w:cs="Times New Roman" w:eastAsia="Times New Roman" w:hAnsi="Times New Roman"/>
          <w:sz w:val="17"/>
          <w:szCs w:val="17"/>
          <w:color w:val="auto"/>
        </w:rPr>
      </w:pPr>
    </w:p>
    <w:p>
      <w:pPr>
        <w:ind w:left="2360" w:hanging="241"/>
        <w:spacing w:after="0"/>
        <w:tabs>
          <w:tab w:leader="none" w:pos="236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repurchase of securities by the Company,</w:t>
      </w:r>
    </w:p>
    <w:p>
      <w:pPr>
        <w:spacing w:after="0" w:line="151" w:lineRule="exact"/>
        <w:rPr>
          <w:rFonts w:ascii="Times New Roman" w:cs="Times New Roman" w:eastAsia="Times New Roman" w:hAnsi="Times New Roman"/>
          <w:sz w:val="17"/>
          <w:szCs w:val="17"/>
          <w:color w:val="auto"/>
        </w:rPr>
      </w:pPr>
    </w:p>
    <w:p>
      <w:pPr>
        <w:ind w:left="2120" w:hanging="1"/>
        <w:spacing w:after="0" w:line="251" w:lineRule="auto"/>
        <w:tabs>
          <w:tab w:leader="none" w:pos="238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by any employee benefit plan (or related trust) sponsored or maintained by the Company or any entity controlled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79375</wp:posOffset>
            </wp:positionV>
            <wp:extent cx="5990590" cy="463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51" w:name="page152"/>
    <w:bookmarkEnd w:id="151"/>
    <w:p>
      <w:pPr>
        <w:ind w:left="2120" w:hanging="1"/>
        <w:spacing w:after="0" w:line="249" w:lineRule="auto"/>
        <w:tabs>
          <w:tab w:leader="none" w:pos="241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pursuant to a transaction that is excluded from the definition of Corporate Transaction pursuant to approval by the Incumbent Board.</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The term “Corporate Transaction” shall mean:</w:t>
      </w:r>
    </w:p>
    <w:p>
      <w:pPr>
        <w:spacing w:after="0" w:line="152" w:lineRule="exact"/>
        <w:rPr>
          <w:sz w:val="20"/>
          <w:szCs w:val="20"/>
          <w:color w:val="auto"/>
        </w:rPr>
      </w:pPr>
    </w:p>
    <w:p>
      <w:pPr>
        <w:jc w:val="both"/>
        <w:ind w:left="1600" w:firstLine="521"/>
        <w:spacing w:after="0" w:line="229" w:lineRule="auto"/>
        <w:rPr>
          <w:sz w:val="20"/>
          <w:szCs w:val="20"/>
          <w:color w:val="auto"/>
        </w:rPr>
      </w:pPr>
      <w:r>
        <w:rPr>
          <w:rFonts w:ascii="Times New Roman" w:cs="Times New Roman" w:eastAsia="Times New Roman" w:hAnsi="Times New Roman"/>
          <w:sz w:val="17"/>
          <w:szCs w:val="17"/>
          <w:color w:val="auto"/>
        </w:rPr>
        <w:t xml:space="preserve">the consummation of a reorganization, merger or consolidation or sale or other disposition of all or substantially all of the assets of the Company, whether directly or indirectly through the sale of any one or more of the Company’s subsidiaries or the assets of such one or more subsidiaries; </w:t>
      </w:r>
      <w:r>
        <w:rPr>
          <w:rFonts w:ascii="Times New Roman" w:cs="Times New Roman" w:eastAsia="Times New Roman" w:hAnsi="Times New Roman"/>
          <w:sz w:val="17"/>
          <w:szCs w:val="17"/>
          <w:u w:val="single" w:color="auto"/>
          <w:color w:val="auto"/>
        </w:rPr>
        <w:t>excluding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any such transaction approved by the Incumbent Board (as defined below); or</w:t>
      </w:r>
    </w:p>
    <w:p>
      <w:pPr>
        <w:spacing w:after="0" w:line="1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the liquidation or dissolution of the Company.</w:t>
      </w:r>
    </w:p>
    <w:p>
      <w:pPr>
        <w:spacing w:after="0" w:line="152" w:lineRule="exact"/>
        <w:rPr>
          <w:sz w:val="20"/>
          <w:szCs w:val="20"/>
          <w:color w:val="auto"/>
        </w:rPr>
      </w:pPr>
    </w:p>
    <w:p>
      <w:pPr>
        <w:jc w:val="both"/>
        <w:ind w:left="1080" w:firstLine="521"/>
        <w:spacing w:after="0"/>
        <w:rPr>
          <w:sz w:val="20"/>
          <w:szCs w:val="20"/>
          <w:color w:val="auto"/>
        </w:rPr>
      </w:pPr>
      <w:r>
        <w:rPr>
          <w:rFonts w:ascii="Times New Roman" w:cs="Times New Roman" w:eastAsia="Times New Roman" w:hAnsi="Times New Roman"/>
          <w:sz w:val="17"/>
          <w:szCs w:val="17"/>
          <w:color w:val="auto"/>
        </w:rPr>
        <w:t xml:space="preserve">The term “Incumbent Board” shall mean the individuals who, as of the Grant Date, constitute the entire Board together with any individual(s) who becomes a member of the Board subsequent to the Grant Date, whose election, or nomination for election by the Company’s stockholders, was approved by a vote of at least a majority of those individuals who are members of the Board and who were also members of the then-Incumbent Board (or deemed to be such pursuant to this proviso);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p>
      <w:pPr>
        <w:spacing w:after="0" w:line="172" w:lineRule="exact"/>
        <w:rPr>
          <w:sz w:val="20"/>
          <w:szCs w:val="20"/>
          <w:color w:val="auto"/>
        </w:rPr>
      </w:pPr>
    </w:p>
    <w:p>
      <w:pPr>
        <w:jc w:val="both"/>
        <w:ind w:left="1080" w:firstLine="521"/>
        <w:spacing w:after="0" w:line="226" w:lineRule="auto"/>
        <w:rPr>
          <w:sz w:val="20"/>
          <w:szCs w:val="20"/>
          <w:color w:val="auto"/>
        </w:rPr>
      </w:pPr>
      <w:r>
        <w:rPr>
          <w:rFonts w:ascii="Times New Roman" w:cs="Times New Roman" w:eastAsia="Times New Roman" w:hAnsi="Times New Roman"/>
          <w:sz w:val="17"/>
          <w:szCs w:val="17"/>
          <w:color w:val="auto"/>
        </w:rPr>
        <w:t>The term “Participant” in a Change in Control or a Corporate Transaction shall mean any Person who, after such Change in Control or Corporate Transaction either (a) is or controls any Person whose acquisition or control of securities of the Company gives rise to the Change in Control pursuant to Section 2.3(d)(ii)(B) above, or (b) is or controls any Permitted Holder as of the effective date of such Change in Control or Corporate Transaction but was not or did not control such Permitted Holder as of the date hereof.</w:t>
      </w:r>
    </w:p>
    <w:p>
      <w:pPr>
        <w:spacing w:after="0" w:line="121" w:lineRule="exact"/>
        <w:rPr>
          <w:sz w:val="20"/>
          <w:szCs w:val="20"/>
          <w:color w:val="auto"/>
        </w:rPr>
      </w:pPr>
    </w:p>
    <w:p>
      <w:pPr>
        <w:jc w:val="both"/>
        <w:ind w:left="1080" w:firstLine="521"/>
        <w:spacing w:after="0" w:line="229" w:lineRule="auto"/>
        <w:rPr>
          <w:sz w:val="20"/>
          <w:szCs w:val="20"/>
          <w:color w:val="auto"/>
        </w:rPr>
      </w:pPr>
      <w:r>
        <w:rPr>
          <w:rFonts w:ascii="Times New Roman" w:cs="Times New Roman" w:eastAsia="Times New Roman" w:hAnsi="Times New Roman"/>
          <w:sz w:val="17"/>
          <w:szCs w:val="17"/>
          <w:color w:val="auto"/>
        </w:rPr>
        <w:t>The term “Permitted Holder” shall mean (i) the Company or any trustee or other fiduciary holding securities under an employee benefit plan of the Company, (ii) any Person who, since the Grant Date, has continuously been the Beneficial Owner of not less than thirty percent (30%) of the Voting Securities, or (iii) any Person controlled, directly or indirectly, by one or more of the foregoing Persons referred to in the immediately preceding clause (ii).</w:t>
      </w:r>
    </w:p>
    <w:p>
      <w:pPr>
        <w:spacing w:after="0" w:line="122" w:lineRule="exact"/>
        <w:rPr>
          <w:sz w:val="20"/>
          <w:szCs w:val="20"/>
          <w:color w:val="auto"/>
        </w:rPr>
      </w:pPr>
    </w:p>
    <w:p>
      <w:pPr>
        <w:jc w:val="both"/>
        <w:ind w:left="1080" w:firstLine="521"/>
        <w:spacing w:after="0" w:line="229" w:lineRule="auto"/>
        <w:rPr>
          <w:sz w:val="20"/>
          <w:szCs w:val="20"/>
          <w:color w:val="auto"/>
        </w:rPr>
      </w:pPr>
      <w:r>
        <w:rPr>
          <w:rFonts w:ascii="Times New Roman" w:cs="Times New Roman" w:eastAsia="Times New Roman" w:hAnsi="Times New Roman"/>
          <w:sz w:val="17"/>
          <w:szCs w:val="17"/>
          <w:color w:val="auto"/>
        </w:rPr>
        <w:t>The term “Person” shall mean any individual (whether acting in an individual capacity or in a representative capacity so as to have sole or shared voting power of Voting Securities), entity (including, without limitation, any corporation, charitable or not-for profit corporation, private foundation, partnership, limited liability company, trust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85725</wp:posOffset>
            </wp:positionV>
            <wp:extent cx="5990590" cy="46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52" w:name="page153"/>
    <w:bookmarkEnd w:id="152"/>
    <w:p>
      <w:pPr>
        <w:jc w:val="both"/>
        <w:ind w:left="1260"/>
        <w:spacing w:after="0" w:line="249" w:lineRule="auto"/>
        <w:rPr>
          <w:sz w:val="20"/>
          <w:szCs w:val="20"/>
          <w:color w:val="auto"/>
        </w:rPr>
      </w:pPr>
      <w:r>
        <w:rPr>
          <w:rFonts w:ascii="Times New Roman" w:cs="Times New Roman" w:eastAsia="Times New Roman" w:hAnsi="Times New Roman"/>
          <w:sz w:val="17"/>
          <w:szCs w:val="17"/>
          <w:color w:val="auto"/>
        </w:rPr>
        <w:t>any private, charitable or split-interest trust), joint venture, association or governmental body) or group (as defined in Section 13(d)(3) or 14(d)(2) of the Exchange Act and the rules and regulations thereunder.</w:t>
      </w:r>
    </w:p>
    <w:p>
      <w:pPr>
        <w:spacing w:after="0" w:line="11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Services shall mean Recipient’s services as a Director of the Company or any successor.</w:t>
      </w:r>
    </w:p>
    <w:p>
      <w:pPr>
        <w:spacing w:after="0" w:line="152" w:lineRule="exact"/>
        <w:rPr>
          <w:sz w:val="20"/>
          <w:szCs w:val="20"/>
          <w:color w:val="auto"/>
        </w:rPr>
      </w:pPr>
    </w:p>
    <w:p>
      <w:pPr>
        <w:jc w:val="both"/>
        <w:ind w:left="1260" w:firstLine="521"/>
        <w:spacing w:after="0" w:line="229" w:lineRule="auto"/>
        <w:rPr>
          <w:sz w:val="20"/>
          <w:szCs w:val="20"/>
          <w:color w:val="auto"/>
        </w:rPr>
      </w:pPr>
      <w:r>
        <w:rPr>
          <w:rFonts w:ascii="Times New Roman" w:cs="Times New Roman" w:eastAsia="Times New Roman" w:hAnsi="Times New Roman"/>
          <w:sz w:val="17"/>
          <w:szCs w:val="17"/>
          <w:color w:val="auto"/>
        </w:rPr>
        <w:t>The term “Voting Securities” shall mean all securities of a corporation having the right under ordinary circumstances to vote in an election of the board of directors of such corporation, or other interests having comparable rights to elect managers or fiduciary persons or boards in non-corporate entities. As of the date hereof, the Voting Securities of the Company includes the shares of Class B common stock of the Company.</w:t>
      </w:r>
    </w:p>
    <w:p>
      <w:pPr>
        <w:spacing w:after="0" w:line="122" w:lineRule="exact"/>
        <w:rPr>
          <w:sz w:val="20"/>
          <w:szCs w:val="20"/>
          <w:color w:val="auto"/>
        </w:rPr>
      </w:pPr>
    </w:p>
    <w:p>
      <w:pPr>
        <w:jc w:val="both"/>
        <w:ind w:left="320" w:firstLine="416"/>
        <w:spacing w:after="0" w:line="226" w:lineRule="auto"/>
        <w:rPr>
          <w:sz w:val="20"/>
          <w:szCs w:val="20"/>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If Restricted Stock Units vest, then within thirty (30) days after the applicable vesting date (or, if the Recipient has, prior to vesting, delivered a written request to defer delivery in a form specified by the Board or the Committee, but in no event later than March 15 of the next calendar year after the year in which such vesting occurs), the Company shall deliver to the Recipient, or if applicable the Recipient’s estate, that number of shares of Common Stock equal to the number of Restricted Stock Units which vested on such vesting date as set forth above.</w:t>
      </w:r>
    </w:p>
    <w:p>
      <w:pPr>
        <w:spacing w:after="0" w:line="121" w:lineRule="exact"/>
        <w:rPr>
          <w:sz w:val="20"/>
          <w:szCs w:val="20"/>
          <w:color w:val="auto"/>
        </w:rPr>
      </w:pPr>
    </w:p>
    <w:p>
      <w:pPr>
        <w:jc w:val="both"/>
        <w:ind w:left="320" w:firstLine="416"/>
        <w:spacing w:after="0" w:line="229" w:lineRule="auto"/>
        <w:rPr>
          <w:sz w:val="20"/>
          <w:szCs w:val="20"/>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Unless delivery of the shares of Common Stock is delayed after the applicable vesting date pursuant to Section 2.4 above, on the vesting date, the Recipient shall recognize taxable income in respect of the Common Stock deliverable and the Company shall report such taxable income to the appropriate taxing authorities in respect thereof as it determines to be necessary and appropriate.</w:t>
      </w:r>
    </w:p>
    <w:p>
      <w:pPr>
        <w:spacing w:after="0" w:line="122" w:lineRule="exact"/>
        <w:rPr>
          <w:sz w:val="20"/>
          <w:szCs w:val="20"/>
          <w:color w:val="auto"/>
        </w:rPr>
      </w:pPr>
    </w:p>
    <w:p>
      <w:pPr>
        <w:jc w:val="both"/>
        <w:ind w:left="320" w:firstLine="416"/>
        <w:spacing w:after="0" w:line="223" w:lineRule="auto"/>
        <w:rPr>
          <w:sz w:val="20"/>
          <w:szCs w:val="20"/>
          <w:color w:val="auto"/>
        </w:rPr>
      </w:pP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Subject to Sections 2.4 and 2.4 above, as soon as practicable after the vesting of the Restricted Stock Units, the Company shall deliver or cause to be delivered one or more certificates issued in the Recipient’s name representing shares of Common Stock equal to the number of vested Restricted Stock Units. If a valid SEC Form S-8 Registration Statement is not in effect at the time, the Certificate shall set forth restrictive legends advising the Recipient that the shares of Common Stock have not been registered under the securities laws of the United States or the laws of any state and that the sale or other disposition of such shares is prohibited unless such sale or other disposition is made in compliance with all such laws.</w:t>
      </w:r>
    </w:p>
    <w:p>
      <w:pPr>
        <w:spacing w:after="0" w:line="125" w:lineRule="exact"/>
        <w:rPr>
          <w:sz w:val="20"/>
          <w:szCs w:val="20"/>
          <w:color w:val="auto"/>
        </w:rPr>
      </w:pPr>
    </w:p>
    <w:p>
      <w:pPr>
        <w:jc w:val="both"/>
        <w:ind w:firstLine="312"/>
        <w:spacing w:after="0" w:line="234" w:lineRule="auto"/>
        <w:rPr>
          <w:sz w:val="20"/>
          <w:szCs w:val="20"/>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Pursuant to Section 11 of the Plan, in the event of a change in capitalization, the Board shall make such equitable changes or adjustments to the number and kind of securities or other property (including cash) issued or issuable in respect of outstanding Restricted Stock Units.</w:t>
      </w:r>
    </w:p>
    <w:p>
      <w:pPr>
        <w:spacing w:after="0" w:line="122" w:lineRule="exact"/>
        <w:rPr>
          <w:sz w:val="20"/>
          <w:szCs w:val="20"/>
          <w:color w:val="auto"/>
        </w:rPr>
      </w:pPr>
    </w:p>
    <w:p>
      <w:pPr>
        <w:jc w:val="both"/>
        <w:ind w:firstLine="312"/>
        <w:spacing w:after="0" w:line="226" w:lineRule="auto"/>
        <w:rPr>
          <w:sz w:val="20"/>
          <w:szCs w:val="20"/>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under this Restricted Stock Unit Agreement shall be in writing and shall be given by e-mail, first class mail, certified or registered with return receipt requests, and shall be deemed to have been duly given three days after mailing (or one-day in case of delivery by e-mail) to the respective parties, as follows: (i) if to the Company, (a) if by mail, addressed to the Company in care of its Corporate Secretary at the principal executive office of the Company, or (b) if by e-mail, addressed to the care of the Corporate Secretary at corporatesecretary@readingrdi.com and (ii) if to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990590" cy="46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53" w:name="page154"/>
    <w:bookmarkEnd w:id="153"/>
    <w:p>
      <w:pPr>
        <w:spacing w:after="0" w:line="249" w:lineRule="auto"/>
        <w:rPr>
          <w:sz w:val="20"/>
          <w:szCs w:val="20"/>
          <w:color w:val="auto"/>
        </w:rPr>
      </w:pPr>
      <w:r>
        <w:rPr>
          <w:rFonts w:ascii="Times New Roman" w:cs="Times New Roman" w:eastAsia="Times New Roman" w:hAnsi="Times New Roman"/>
          <w:sz w:val="17"/>
          <w:szCs w:val="17"/>
          <w:color w:val="auto"/>
        </w:rPr>
        <w:t>using the contact information on file with the Company. Either party hereto may change such party’s address for notices by notice duly given pursuant hereto.</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Protections against Violations of Agreement</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left="320" w:firstLine="416"/>
        <w:spacing w:after="0" w:line="226" w:lineRule="auto"/>
        <w:rPr>
          <w:sz w:val="20"/>
          <w:szCs w:val="20"/>
          <w:color w:val="auto"/>
        </w:rPr>
      </w:pPr>
      <w:r>
        <w:rPr>
          <w:rFonts w:ascii="Times New Roman" w:cs="Times New Roman" w:eastAsia="Times New Roman" w:hAnsi="Times New Roman"/>
          <w:sz w:val="17"/>
          <w:szCs w:val="17"/>
          <w:color w:val="auto"/>
        </w:rPr>
        <w:t>No purported sale, assignment, mortgage, hypothecation, transfer, charge, pledge, encumbrance, gift, transfer in trust (voting or other) or other disposition or creation of a security interest in or lien on, any of the Restricted Stock Units or any agreement or commitment to do any of the foregoing (each a “Transfer”) by any holder thereof in violation of the provisions of this Restricted Stock Unit Agreement will be valid, except (i) a transfer for estate planning purposes, or (ii) with the prior written consent of the Board (such consent shall be granted or withheld in the sole discretion of the Board).</w:t>
      </w:r>
    </w:p>
    <w:p>
      <w:pPr>
        <w:spacing w:after="0" w:line="121" w:lineRule="exact"/>
        <w:rPr>
          <w:sz w:val="20"/>
          <w:szCs w:val="20"/>
          <w:color w:val="auto"/>
        </w:rPr>
      </w:pPr>
    </w:p>
    <w:p>
      <w:pPr>
        <w:jc w:val="both"/>
        <w:ind w:left="320" w:firstLine="416"/>
        <w:spacing w:after="0" w:line="229" w:lineRule="auto"/>
        <w:rPr>
          <w:sz w:val="20"/>
          <w:szCs w:val="20"/>
          <w:color w:val="auto"/>
        </w:rPr>
      </w:pPr>
      <w:r>
        <w:rPr>
          <w:rFonts w:ascii="Times New Roman" w:cs="Times New Roman" w:eastAsia="Times New Roman" w:hAnsi="Times New Roman"/>
          <w:sz w:val="17"/>
          <w:szCs w:val="17"/>
          <w:color w:val="auto"/>
        </w:rPr>
        <w:t>Any purported Transfer of Restricted Stock Units or any economic benefit or interest therein in violation of this Restricted Stock Unit Agreement shall be null and void ab initio, and shall not create any obligation or liability of the Company, and any person purportedly acquiring any Restricted Stock Units or any economic benefit or interest therein transferred in violation of this Restricted Stock Unit Agreement shall not be entitled to receive any Common Stock.</w:t>
      </w:r>
    </w:p>
    <w:p>
      <w:pPr>
        <w:spacing w:after="0" w:line="122" w:lineRule="exact"/>
        <w:rPr>
          <w:sz w:val="20"/>
          <w:szCs w:val="20"/>
          <w:color w:val="auto"/>
        </w:rPr>
      </w:pPr>
    </w:p>
    <w:p>
      <w:pPr>
        <w:jc w:val="both"/>
        <w:ind w:firstLine="312"/>
        <w:spacing w:after="0" w:line="222" w:lineRule="auto"/>
        <w:rPr>
          <w:sz w:val="20"/>
          <w:szCs w:val="20"/>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BY SIGNING THIS RESTRICTED STOCK UNIT AGREEMENT, THE RECIPIENT REPRESENTS THAT HE OR SHE HAS REVIEWED WITH HIS OR HER OWN TAX ADVISORS THE FEDERAL, STATE, LOCAL AND FOREIGN TAX CONSEQUENCES OF THE TRANSACTIONS CONTEMPLATED BY THIS RESTRICTED STOCK UNIT AGREEMENT AND THAT HE OR SHE IS RELYING SOLELY ON SUCH ADVISORS AND NOT ON ANY STATEMENTS OR REPRESENTATIONS OF THE COMPANY OR ANY OF ITS AGENTS. THE RECIPIENT UNDERSTANDS AND AGREES THAT HE OR SHE (AND NOT THE COMPANY) SHALL BE RESPONSIBLE FOR ANY TAX LIABILITY THAT MAY ARISE AS A RESULT OF THE TRANSACTIONS CONTEMPLATED BY THIS RESTRICTED STOCK UNIT AGREEMENT.</w:t>
      </w:r>
    </w:p>
    <w:p>
      <w:pPr>
        <w:spacing w:after="0" w:line="123" w:lineRule="exact"/>
        <w:rPr>
          <w:sz w:val="20"/>
          <w:szCs w:val="20"/>
          <w:color w:val="auto"/>
        </w:rPr>
      </w:pPr>
    </w:p>
    <w:p>
      <w:pPr>
        <w:jc w:val="both"/>
        <w:ind w:right="20" w:firstLine="312"/>
        <w:spacing w:after="0" w:line="251" w:lineRule="auto"/>
        <w:rPr>
          <w:sz w:val="20"/>
          <w:szCs w:val="20"/>
          <w:color w:val="auto"/>
        </w:rPr>
      </w:pPr>
      <w:r>
        <w:rPr>
          <w:rFonts w:ascii="Times New Roman" w:cs="Times New Roman" w:eastAsia="Times New Roman" w:hAnsi="Times New Roman"/>
          <w:sz w:val="17"/>
          <w:szCs w:val="17"/>
          <w:u w:val="single" w:color="auto"/>
          <w:color w:val="auto"/>
        </w:rPr>
        <w:t>Failure to Enforce Not a Waiver</w:t>
      </w:r>
      <w:r>
        <w:rPr>
          <w:rFonts w:ascii="Times New Roman" w:cs="Times New Roman" w:eastAsia="Times New Roman" w:hAnsi="Times New Roman"/>
          <w:sz w:val="17"/>
          <w:szCs w:val="17"/>
          <w:color w:val="auto"/>
        </w:rPr>
        <w:t>. The failure of the Company to enforce at any time any provision of this Restricted Stock Unit Agreement shall in no way be construed to be a waiver of such provision or of any other provision hereof.</w:t>
      </w:r>
    </w:p>
    <w:p>
      <w:pPr>
        <w:spacing w:after="0" w:line="112" w:lineRule="exact"/>
        <w:rPr>
          <w:sz w:val="20"/>
          <w:szCs w:val="20"/>
          <w:color w:val="auto"/>
        </w:rPr>
      </w:pPr>
    </w:p>
    <w:p>
      <w:pPr>
        <w:jc w:val="both"/>
        <w:ind w:firstLine="312"/>
        <w:spacing w:after="0" w:line="221" w:lineRule="auto"/>
        <w:rPr>
          <w:sz w:val="20"/>
          <w:szCs w:val="20"/>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Restricted Stock Unit Agreement shall be governed by and construed and enforced in accordance with the laws of the State of Nevada applicable to contracts made and to be performed herein. Any suit, action or proceeding with respect to this Restricted Stock Unit Agreement, or any judgment entered by any court in respect of any thereof, shall be brought in any court of competent jurisdiction in the State of Nevada, and the Company and the Recipient hereby submit to the exclusive jurisdiction of such courts for the purpose of any such suit, action, proceeding or judgment. The Recipient and the Company hereby irrevocably waive (i) any objections which it may now or hereafter have to the laying of the venue of any suit, action or proceeding arising out of or relating to this Restricted stock Unit Agreement brought in any court of competent jurisdiction in the State of Nevada, (ii) any claim that any such suit, action or proceeding brought in any such court has been brought in any inconvenient forum and (iii) any right to a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5990590" cy="46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54" w:name="page155"/>
    <w:bookmarkEnd w:id="154"/>
    <w:p>
      <w:pPr>
        <w:jc w:val="both"/>
        <w:ind w:firstLine="312"/>
        <w:spacing w:after="0"/>
        <w:rPr>
          <w:sz w:val="20"/>
          <w:szCs w:val="20"/>
          <w:color w:val="auto"/>
        </w:rPr>
      </w:pPr>
      <w:r>
        <w:rPr>
          <w:rFonts w:ascii="Times New Roman" w:cs="Times New Roman" w:eastAsia="Times New Roman" w:hAnsi="Times New Roman"/>
          <w:sz w:val="17"/>
          <w:szCs w:val="17"/>
          <w:u w:val="single" w:color="auto"/>
          <w:color w:val="auto"/>
        </w:rPr>
        <w:t>Incorporation of Plan</w:t>
      </w:r>
      <w:r>
        <w:rPr>
          <w:rFonts w:ascii="Times New Roman" w:cs="Times New Roman" w:eastAsia="Times New Roman" w:hAnsi="Times New Roman"/>
          <w:sz w:val="17"/>
          <w:szCs w:val="17"/>
          <w:color w:val="auto"/>
        </w:rPr>
        <w:t>. The Plan is hereby incorporated by reference and made a part hereof, and the Restricted Stock Units and this Restricted Stock Unit Agreement shall be subject to all terms and conditions of the Plan and this Restricted Stock Unit Agreement.</w:t>
      </w:r>
    </w:p>
    <w:p>
      <w:pPr>
        <w:spacing w:after="0" w:line="302" w:lineRule="exact"/>
        <w:rPr>
          <w:sz w:val="20"/>
          <w:szCs w:val="20"/>
          <w:color w:val="auto"/>
        </w:rPr>
      </w:pPr>
    </w:p>
    <w:p>
      <w:pPr>
        <w:jc w:val="both"/>
        <w:ind w:firstLine="312"/>
        <w:spacing w:after="0" w:line="229" w:lineRule="auto"/>
        <w:rPr>
          <w:sz w:val="20"/>
          <w:szCs w:val="20"/>
          <w:color w:val="auto"/>
        </w:rPr>
      </w:pPr>
      <w:r>
        <w:rPr>
          <w:rFonts w:ascii="Times New Roman" w:cs="Times New Roman" w:eastAsia="Times New Roman" w:hAnsi="Times New Roman"/>
          <w:sz w:val="17"/>
          <w:szCs w:val="17"/>
          <w:u w:val="single" w:color="auto"/>
          <w:color w:val="auto"/>
        </w:rPr>
        <w:t>Amendments / Construction</w:t>
      </w:r>
      <w:r>
        <w:rPr>
          <w:rFonts w:ascii="Times New Roman" w:cs="Times New Roman" w:eastAsia="Times New Roman" w:hAnsi="Times New Roman"/>
          <w:sz w:val="17"/>
          <w:szCs w:val="17"/>
          <w:color w:val="auto"/>
        </w:rPr>
        <w:t>. The Board may amend the terms of this Restricted Stock Unit Agreement prospectively or retroactively at any time, but no such amendment shall impair the rights of the Recipient hereunder without Recipient’s consent. Headings to Sections of this Restricted Stock Unit Agreement are intended for convenience of reference only, are not part of this Restricted Stock Unit Agreement and shall have no effect on the interpretation hereof.</w:t>
      </w:r>
    </w:p>
    <w:p>
      <w:pPr>
        <w:spacing w:after="0" w:line="122" w:lineRule="exact"/>
        <w:rPr>
          <w:sz w:val="20"/>
          <w:szCs w:val="20"/>
          <w:color w:val="auto"/>
        </w:rPr>
      </w:pPr>
    </w:p>
    <w:p>
      <w:pPr>
        <w:jc w:val="both"/>
        <w:ind w:firstLine="312"/>
        <w:spacing w:after="0" w:line="251" w:lineRule="auto"/>
        <w:rPr>
          <w:sz w:val="20"/>
          <w:szCs w:val="20"/>
          <w:color w:val="auto"/>
        </w:rPr>
      </w:pPr>
      <w:r>
        <w:rPr>
          <w:rFonts w:ascii="Times New Roman" w:cs="Times New Roman" w:eastAsia="Times New Roman" w:hAnsi="Times New Roman"/>
          <w:sz w:val="17"/>
          <w:szCs w:val="17"/>
          <w:u w:val="single" w:color="auto"/>
          <w:color w:val="auto"/>
        </w:rPr>
        <w:t>Survival of Terms</w:t>
      </w:r>
      <w:r>
        <w:rPr>
          <w:rFonts w:ascii="Times New Roman" w:cs="Times New Roman" w:eastAsia="Times New Roman" w:hAnsi="Times New Roman"/>
          <w:sz w:val="17"/>
          <w:szCs w:val="17"/>
          <w:color w:val="auto"/>
        </w:rPr>
        <w:t>. This Restricted Stock Unit Agreement shall apply to and bind the Recipient and the Company and their respective permitted assignees and transferees, heirs, legatees, executors, administrators and legal successors.</w:t>
      </w:r>
    </w:p>
    <w:p>
      <w:pPr>
        <w:spacing w:after="0" w:line="112" w:lineRule="exact"/>
        <w:rPr>
          <w:sz w:val="20"/>
          <w:szCs w:val="20"/>
          <w:color w:val="auto"/>
        </w:rPr>
      </w:pPr>
    </w:p>
    <w:p>
      <w:pPr>
        <w:jc w:val="both"/>
        <w:ind w:firstLine="312"/>
        <w:spacing w:after="0" w:line="223" w:lineRule="auto"/>
        <w:rPr>
          <w:sz w:val="20"/>
          <w:szCs w:val="20"/>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The Recipient shall have no rights of a stockholder (including the right to vote and the right to receive distributions or dividends) until the Recipient has received the shares of Common Stock equal to the number of Restricted Stock Units which vested. On the date that the Recipient receives Common Stock with respect to Restricted Stock Units, the Recipient shall receive distributions or dividends that would have been paid to or made with respect to the number of shares of Common Stock that relate to this Restricted Stock Unit Award from the date of vesting until such date of delivery of the Common Stock. The Recipient shall be able to exercise voting rights upon receipt of the shares of Common Stock.</w:t>
      </w:r>
    </w:p>
    <w:p>
      <w:pPr>
        <w:spacing w:after="0" w:line="125" w:lineRule="exact"/>
        <w:rPr>
          <w:sz w:val="20"/>
          <w:szCs w:val="20"/>
          <w:color w:val="auto"/>
        </w:rPr>
      </w:pPr>
    </w:p>
    <w:p>
      <w:pPr>
        <w:jc w:val="both"/>
        <w:ind w:firstLine="312"/>
        <w:spacing w:after="0" w:line="229" w:lineRule="auto"/>
        <w:rPr>
          <w:sz w:val="20"/>
          <w:szCs w:val="20"/>
          <w:color w:val="auto"/>
        </w:rPr>
      </w:pPr>
      <w:r>
        <w:rPr>
          <w:rFonts w:ascii="Times New Roman" w:cs="Times New Roman" w:eastAsia="Times New Roman" w:hAnsi="Times New Roman"/>
          <w:sz w:val="17"/>
          <w:szCs w:val="17"/>
          <w:u w:val="single" w:color="auto"/>
          <w:color w:val="auto"/>
        </w:rPr>
        <w:t>Agreement Not a Contract for Continued Service</w:t>
      </w:r>
      <w:r>
        <w:rPr>
          <w:rFonts w:ascii="Times New Roman" w:cs="Times New Roman" w:eastAsia="Times New Roman" w:hAnsi="Times New Roman"/>
          <w:sz w:val="17"/>
          <w:szCs w:val="17"/>
          <w:color w:val="auto"/>
        </w:rPr>
        <w:t>. Neither the Plan, the granting of the Restricted Stock Units, this Restricted Stock Unit Agreement nor any other action taken pursuant to the Plan shall constitute or be evidence of any agreement or understanding, express or implied, that the Recipient has a right to continue to serve as a director of the Company for any period of time or at any specific rate of compensation.</w:t>
      </w:r>
    </w:p>
    <w:p>
      <w:pPr>
        <w:spacing w:after="0" w:line="122" w:lineRule="exact"/>
        <w:rPr>
          <w:sz w:val="20"/>
          <w:szCs w:val="20"/>
          <w:color w:val="auto"/>
        </w:rPr>
      </w:pPr>
    </w:p>
    <w:p>
      <w:pPr>
        <w:jc w:val="both"/>
        <w:ind w:firstLine="312"/>
        <w:spacing w:after="0" w:line="229" w:lineRule="auto"/>
        <w:rPr>
          <w:sz w:val="20"/>
          <w:szCs w:val="20"/>
          <w:color w:val="auto"/>
        </w:rPr>
      </w:pPr>
      <w:r>
        <w:rPr>
          <w:rFonts w:ascii="Times New Roman" w:cs="Times New Roman" w:eastAsia="Times New Roman" w:hAnsi="Times New Roman"/>
          <w:sz w:val="17"/>
          <w:szCs w:val="17"/>
          <w:u w:val="single" w:color="auto"/>
          <w:color w:val="auto"/>
        </w:rPr>
        <w:t>Authority of the Board; Disputes</w:t>
      </w:r>
      <w:r>
        <w:rPr>
          <w:rFonts w:ascii="Times New Roman" w:cs="Times New Roman" w:eastAsia="Times New Roman" w:hAnsi="Times New Roman"/>
          <w:sz w:val="17"/>
          <w:szCs w:val="17"/>
          <w:color w:val="auto"/>
        </w:rPr>
        <w:t>. The Board, directly or through its delegation of authority to the Committee, shall have full authority to interpret and construe the terms of the Plan and this Restricted Stock Unit Agreement. Notwithstanding the above, nothing within this provision shall restrict the Company or the Recipient from seeking to enforce the terms of this Restricted Stock Unit Agreement under and as provided in Section 8, above.</w:t>
      </w:r>
    </w:p>
    <w:p>
      <w:pPr>
        <w:spacing w:after="0" w:line="122" w:lineRule="exact"/>
        <w:rPr>
          <w:sz w:val="20"/>
          <w:szCs w:val="20"/>
          <w:color w:val="auto"/>
        </w:rPr>
      </w:pPr>
    </w:p>
    <w:p>
      <w:pPr>
        <w:jc w:val="both"/>
        <w:ind w:firstLine="312"/>
        <w:spacing w:after="0" w:line="229" w:lineRule="auto"/>
        <w:rPr>
          <w:sz w:val="20"/>
          <w:szCs w:val="20"/>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Should any provision of this Restricted Stock Unit Agreement be held by a court of competent jurisdiction to be unenforceable, or enforceable only if modified, such holding shall not affect the validity of the remainder of this Restricted Stock Unit Agreement, the balance of which shall continue to be binding upon the parties hereto with any such modification (if any) to become a part hereof and treated as though contained in this original Recipient Restricted Stock Unit Agreement.</w:t>
      </w:r>
    </w:p>
    <w:p>
      <w:pPr>
        <w:spacing w:after="0" w:line="122" w:lineRule="exact"/>
        <w:rPr>
          <w:sz w:val="20"/>
          <w:szCs w:val="20"/>
          <w:color w:val="auto"/>
        </w:rPr>
      </w:pPr>
    </w:p>
    <w:p>
      <w:pPr>
        <w:jc w:val="both"/>
        <w:ind w:firstLine="312"/>
        <w:spacing w:after="0" w:line="234" w:lineRule="auto"/>
        <w:rPr>
          <w:sz w:val="20"/>
          <w:szCs w:val="20"/>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Board, directly or through its delegation of authority to the Committee, has the right to amend, alter, suspend, discontinue or cancel the Restricted Stock Unit, prospectively or retroactively; provided, that, no such amendment shall adversely affect the Recipient’s material rights under this Agreement without the Recipient’s consent.</w:t>
      </w:r>
    </w:p>
    <w:p>
      <w:pPr>
        <w:spacing w:after="0" w:line="122" w:lineRule="exact"/>
        <w:rPr>
          <w:sz w:val="20"/>
          <w:szCs w:val="20"/>
          <w:color w:val="auto"/>
        </w:rPr>
      </w:pPr>
    </w:p>
    <w:p>
      <w:pPr>
        <w:jc w:val="both"/>
        <w:ind w:firstLine="312"/>
        <w:spacing w:after="0" w:line="234" w:lineRule="auto"/>
        <w:rPr>
          <w:sz w:val="20"/>
          <w:szCs w:val="20"/>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5990590" cy="46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55" w:name="page156"/>
    <w:bookmarkEnd w:id="155"/>
    <w:p>
      <w:pPr>
        <w:jc w:val="both"/>
        <w:spacing w:after="0" w:line="249" w:lineRule="auto"/>
        <w:rPr>
          <w:sz w:val="20"/>
          <w:szCs w:val="20"/>
          <w:color w:val="auto"/>
        </w:rPr>
      </w:pPr>
      <w:r>
        <w:rPr>
          <w:rFonts w:ascii="Times New Roman" w:cs="Times New Roman" w:eastAsia="Times New Roman" w:hAnsi="Times New Roman"/>
          <w:sz w:val="17"/>
          <w:szCs w:val="17"/>
          <w:color w:val="auto"/>
        </w:rPr>
        <w:t>to preserve the original graphic and pictorial appearance of a document, will have the same effect as physical delivery of the paper document bearing an original signature.</w:t>
      </w:r>
    </w:p>
    <w:p>
      <w:pPr>
        <w:spacing w:after="0" w:line="114" w:lineRule="exact"/>
        <w:rPr>
          <w:sz w:val="20"/>
          <w:szCs w:val="20"/>
          <w:color w:val="auto"/>
        </w:rPr>
      </w:pPr>
    </w:p>
    <w:p>
      <w:pPr>
        <w:jc w:val="both"/>
        <w:ind w:firstLine="312"/>
        <w:spacing w:after="0"/>
        <w:rPr>
          <w:sz w:val="20"/>
          <w:szCs w:val="20"/>
          <w:color w:val="auto"/>
        </w:rPr>
      </w:pP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The Recipient hereby acknowledges receipt of a copy of the Plan and this Agreement. The Recipient has read and understands the terms and provisions thereof, and accepts the Restricted Stock Units subject to all of the terms and conditions of the Plan and this Agreement. The Recipient acknowledges that there may be adverse tax consequences upon vesting of the Restricted Stock Unit or disposition of the underlying shares and that the Recipient should consult a tax advisor prior to such exercise or disposition.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5990590" cy="463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56" w:name="page157"/>
    <w:bookmarkEnd w:id="156"/>
    <w:p>
      <w:pPr>
        <w:ind w:left="34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ectPr>
          <w:pgSz w:w="11900" w:h="16838" w:orient="portrait"/>
          <w:cols w:equalWidth="0" w:num="1">
            <w:col w:w="9019"/>
          </w:cols>
          <w:pgMar w:left="1440" w:top="366" w:right="1440" w:bottom="1440" w:gutter="0" w:footer="0" w:header="0"/>
        </w:sectPr>
      </w:pPr>
    </w:p>
    <w:p>
      <w:pPr>
        <w:spacing w:after="0" w:line="3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READING INTERNATIONAL, INC.</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By_____________________</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 Ellen Cotter</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spacing w:after="0" w:line="27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RECIPIENT</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By_____________________</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972820</wp:posOffset>
            </wp:positionV>
            <wp:extent cx="5990590" cy="463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type w:val="continuous"/>
        </w:sectPr>
      </w:pPr>
    </w:p>
    <w:bookmarkStart w:id="157" w:name="page158"/>
    <w:bookmarkEnd w:id="157"/>
    <w:p>
      <w:pPr>
        <w:ind w:left="2840"/>
        <w:spacing w:after="0"/>
        <w:rPr>
          <w:sz w:val="20"/>
          <w:szCs w:val="20"/>
          <w:color w:val="auto"/>
        </w:rPr>
      </w:pPr>
      <w:r>
        <w:rPr>
          <w:rFonts w:ascii="Times New Roman" w:cs="Times New Roman" w:eastAsia="Times New Roman" w:hAnsi="Times New Roman"/>
          <w:sz w:val="17"/>
          <w:szCs w:val="17"/>
          <w:b w:val="1"/>
          <w:bCs w:val="1"/>
          <w:color w:val="auto"/>
        </w:rPr>
        <w:t>RESTRICTED STOCK UNIT GRANT NOTICE</w:t>
      </w:r>
    </w:p>
    <w:p>
      <w:pPr>
        <w:ind w:left="4160"/>
        <w:spacing w:after="0" w:line="213" w:lineRule="auto"/>
        <w:rPr>
          <w:sz w:val="20"/>
          <w:szCs w:val="20"/>
          <w:color w:val="auto"/>
        </w:rPr>
      </w:pPr>
      <w:r>
        <w:rPr>
          <w:rFonts w:ascii="Times New Roman" w:cs="Times New Roman" w:eastAsia="Times New Roman" w:hAnsi="Times New Roman"/>
          <w:sz w:val="17"/>
          <w:szCs w:val="17"/>
          <w:b w:val="1"/>
          <w:bCs w:val="1"/>
          <w:color w:val="auto"/>
        </w:rPr>
        <w:t>UNDER THE</w:t>
      </w:r>
    </w:p>
    <w:p>
      <w:pPr>
        <w:ind w:left="3280"/>
        <w:spacing w:after="0" w:line="213" w:lineRule="auto"/>
        <w:rPr>
          <w:sz w:val="20"/>
          <w:szCs w:val="20"/>
          <w:color w:val="auto"/>
        </w:rPr>
      </w:pPr>
      <w:r>
        <w:rPr>
          <w:rFonts w:ascii="Times New Roman" w:cs="Times New Roman" w:eastAsia="Times New Roman" w:hAnsi="Times New Roman"/>
          <w:sz w:val="17"/>
          <w:szCs w:val="17"/>
          <w:b w:val="1"/>
          <w:bCs w:val="1"/>
          <w:color w:val="auto"/>
        </w:rPr>
        <w:t>READING INTERNATIONAL, INC.</w:t>
      </w:r>
    </w:p>
    <w:p>
      <w:pPr>
        <w:ind w:left="3420"/>
        <w:spacing w:after="0"/>
        <w:rPr>
          <w:sz w:val="20"/>
          <w:szCs w:val="20"/>
          <w:color w:val="auto"/>
        </w:rPr>
      </w:pPr>
      <w:r>
        <w:rPr>
          <w:rFonts w:ascii="Times New Roman" w:cs="Times New Roman" w:eastAsia="Times New Roman" w:hAnsi="Times New Roman"/>
          <w:sz w:val="17"/>
          <w:szCs w:val="17"/>
          <w:b w:val="1"/>
          <w:bCs w:val="1"/>
          <w:color w:val="auto"/>
        </w:rPr>
        <w:t>2010 STOCK INCENTIVE PLAN</w:t>
      </w:r>
    </w:p>
    <w:p>
      <w:pPr>
        <w:spacing w:after="0" w:line="305" w:lineRule="exact"/>
        <w:rPr>
          <w:sz w:val="20"/>
          <w:szCs w:val="20"/>
          <w:color w:val="auto"/>
        </w:rPr>
      </w:pPr>
    </w:p>
    <w:p>
      <w:pPr>
        <w:jc w:val="both"/>
        <w:ind w:right="20" w:firstLine="1041"/>
        <w:spacing w:after="0"/>
        <w:rPr>
          <w:sz w:val="20"/>
          <w:szCs w:val="20"/>
          <w:color w:val="auto"/>
        </w:rPr>
      </w:pPr>
      <w:r>
        <w:rPr>
          <w:rFonts w:ascii="Times New Roman" w:cs="Times New Roman" w:eastAsia="Times New Roman" w:hAnsi="Times New Roman"/>
          <w:sz w:val="17"/>
          <w:szCs w:val="17"/>
          <w:color w:val="auto"/>
        </w:rPr>
        <w:t>Reading International,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pursuant to its 2010 Stock Incentive Plan, as amended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hereby grants to the Recipient set forth below the number of Restricted Stock Units set forth below. The Restricted Stock Units are subject to all of the terms and conditions as set forth herein, in the Restricted Stock Unit Agreement (attached hereto), and in the Plan, all of which are incorporated herein in their entirety. Capitalized terms not otherwise defined herein shall have the meaning set forth in the Plan.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Recipient</w:t>
      </w:r>
      <w:r>
        <w:rPr>
          <w:rFonts w:ascii="Times New Roman" w:cs="Times New Roman" w:eastAsia="Times New Roman" w:hAnsi="Times New Roman"/>
          <w:sz w:val="17"/>
          <w:szCs w:val="17"/>
          <w:color w:val="auto"/>
        </w:rPr>
        <w: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Restricted Stock Units</w:t>
      </w:r>
      <w:r>
        <w:rPr>
          <w:rFonts w:ascii="Times New Roman" w:cs="Times New Roman" w:eastAsia="Times New Roman" w:hAnsi="Times New Roman"/>
          <w:sz w:val="17"/>
          <w:szCs w:val="17"/>
          <w:color w:val="auto"/>
        </w:rPr>
        <w: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350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__________, 20__</w:t>
            </w:r>
          </w:p>
        </w:tc>
        <w:tc>
          <w:tcPr>
            <w:tcW w:w="94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28"/>
        </w:trPr>
        <w:tc>
          <w:tcPr>
            <w:tcW w:w="1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100% of the Restricted Stock Units granted hereunder shall vest on the fifth business day of the</w:t>
            </w:r>
          </w:p>
        </w:tc>
      </w:tr>
      <w:tr>
        <w:trPr>
          <w:trHeight w:val="184"/>
        </w:trPr>
        <w:tc>
          <w:tcPr>
            <w:tcW w:w="1960" w:type="dxa"/>
            <w:vAlign w:val="bottom"/>
          </w:tcPr>
          <w:p>
            <w:pPr>
              <w:spacing w:after="0"/>
              <w:rPr>
                <w:sz w:val="16"/>
                <w:szCs w:val="16"/>
                <w:color w:val="auto"/>
              </w:rPr>
            </w:pPr>
          </w:p>
        </w:tc>
        <w:tc>
          <w:tcPr>
            <w:tcW w:w="7420" w:type="dxa"/>
            <w:vAlign w:val="bottom"/>
            <w:gridSpan w:val="3"/>
          </w:tcPr>
          <w:p>
            <w:pPr>
              <w:ind w:left="660"/>
              <w:spacing w:after="0" w:line="185" w:lineRule="exact"/>
              <w:rPr>
                <w:sz w:val="20"/>
                <w:szCs w:val="20"/>
                <w:color w:val="auto"/>
              </w:rPr>
            </w:pPr>
            <w:r>
              <w:rPr>
                <w:rFonts w:ascii="Times New Roman" w:cs="Times New Roman" w:eastAsia="Times New Roman" w:hAnsi="Times New Roman"/>
                <w:sz w:val="17"/>
                <w:szCs w:val="17"/>
                <w:color w:val="auto"/>
              </w:rPr>
              <w:t>year following the Grant Date (the “Vesting Date”); provided that the Recipient has not</w:t>
            </w:r>
          </w:p>
        </w:tc>
      </w:tr>
      <w:tr>
        <w:trPr>
          <w:trHeight w:val="20"/>
        </w:trPr>
        <w:tc>
          <w:tcPr>
            <w:tcW w:w="1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43"/>
        </w:trPr>
        <w:tc>
          <w:tcPr>
            <w:tcW w:w="1960" w:type="dxa"/>
            <w:vAlign w:val="bottom"/>
          </w:tcPr>
          <w:p>
            <w:pPr>
              <w:spacing w:after="0"/>
              <w:rPr>
                <w:sz w:val="12"/>
                <w:szCs w:val="12"/>
                <w:color w:val="auto"/>
              </w:rPr>
            </w:pPr>
          </w:p>
        </w:tc>
        <w:tc>
          <w:tcPr>
            <w:tcW w:w="7420" w:type="dxa"/>
            <w:vAlign w:val="bottom"/>
            <w:gridSpan w:val="3"/>
          </w:tcPr>
          <w:p>
            <w:pPr>
              <w:ind w:left="660"/>
              <w:spacing w:after="0" w:line="143" w:lineRule="exact"/>
              <w:rPr>
                <w:sz w:val="20"/>
                <w:szCs w:val="20"/>
                <w:color w:val="auto"/>
              </w:rPr>
            </w:pPr>
            <w:r>
              <w:rPr>
                <w:rFonts w:ascii="Times New Roman" w:cs="Times New Roman" w:eastAsia="Times New Roman" w:hAnsi="Times New Roman"/>
                <w:sz w:val="16"/>
                <w:szCs w:val="16"/>
                <w:color w:val="auto"/>
              </w:rPr>
              <w:t>undergone a termination of his or her services as a Director at the time of the Vesting Date (or an</w:t>
            </w:r>
          </w:p>
        </w:tc>
      </w:tr>
      <w:tr>
        <w:trPr>
          <w:trHeight w:val="227"/>
        </w:trPr>
        <w:tc>
          <w:tcPr>
            <w:tcW w:w="1960" w:type="dxa"/>
            <w:vAlign w:val="bottom"/>
          </w:tcPr>
          <w:p>
            <w:pPr>
              <w:spacing w:after="0"/>
              <w:rPr>
                <w:sz w:val="19"/>
                <w:szCs w:val="19"/>
                <w:color w:val="auto"/>
              </w:rPr>
            </w:pP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earlier accelerating event).</w:t>
            </w:r>
          </w:p>
        </w:tc>
      </w:tr>
    </w:tbl>
    <w:p>
      <w:pPr>
        <w:spacing w:after="0" w:line="150"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b w:val="1"/>
          <w:bCs w:val="1"/>
          <w:color w:val="auto"/>
        </w:rPr>
        <w:t>THE UNDERSIGNED RECIPIENT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Restricted Stock Unit Grant Notice is dated as of __________, 20__.</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tc>
        <w:tc>
          <w:tcPr>
            <w:tcW w:w="616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“Recipient”</w:t>
            </w:r>
          </w:p>
        </w:tc>
      </w:tr>
      <w:tr>
        <w:trPr>
          <w:trHeight w:val="642"/>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________________________________</w:t>
            </w:r>
          </w:p>
        </w:tc>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By:</w:t>
            </w:r>
          </w:p>
        </w:tc>
      </w:tr>
      <w:tr>
        <w:trPr>
          <w:trHeight w:val="174"/>
        </w:trPr>
        <w:tc>
          <w:tcPr>
            <w:tcW w:w="324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Name: Ellen Cotter</w:t>
            </w:r>
          </w:p>
        </w:tc>
        <w:tc>
          <w:tcPr>
            <w:tcW w:w="6160" w:type="dxa"/>
            <w:vAlign w:val="bottom"/>
          </w:tcPr>
          <w:p>
            <w:pPr>
              <w:ind w:left="460"/>
              <w:spacing w:after="0" w:line="174" w:lineRule="exact"/>
              <w:rPr>
                <w:sz w:val="20"/>
                <w:szCs w:val="20"/>
                <w:color w:val="auto"/>
              </w:rPr>
            </w:pPr>
            <w:r>
              <w:rPr>
                <w:rFonts w:ascii="Times New Roman" w:cs="Times New Roman" w:eastAsia="Times New Roman" w:hAnsi="Times New Roman"/>
                <w:sz w:val="17"/>
                <w:szCs w:val="17"/>
                <w:color w:val="auto"/>
              </w:rPr>
              <w:t>Name:</w:t>
            </w: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880"/>
        </w:trPr>
        <w:tc>
          <w:tcPr>
            <w:tcW w:w="6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r>
        <w:trPr>
          <w:trHeight w:val="20"/>
        </w:trPr>
        <w:tc>
          <w:tcPr>
            <w:tcW w:w="660" w:type="dxa"/>
            <w:vAlign w:val="bottom"/>
            <w:tcBorders>
              <w:bottom w:val="single" w:sz="8" w:color="EEEEEE"/>
            </w:tcBorders>
          </w:tcPr>
          <w:p>
            <w:pPr>
              <w:spacing w:after="0" w:line="20" w:lineRule="exact"/>
              <w:rPr>
                <w:sz w:val="1"/>
                <w:szCs w:val="1"/>
                <w:color w:val="auto"/>
              </w:rPr>
            </w:pPr>
          </w:p>
        </w:tc>
        <w:tc>
          <w:tcPr>
            <w:tcW w:w="2580" w:type="dxa"/>
            <w:vAlign w:val="bottom"/>
            <w:tcBorders>
              <w:bottom w:val="single" w:sz="8" w:color="EEEEEE"/>
            </w:tcBorders>
          </w:tcPr>
          <w:p>
            <w:pPr>
              <w:spacing w:after="0" w:line="20" w:lineRule="exact"/>
              <w:rPr>
                <w:sz w:val="1"/>
                <w:szCs w:val="1"/>
                <w:color w:val="auto"/>
              </w:rPr>
            </w:pPr>
          </w:p>
        </w:tc>
        <w:tc>
          <w:tcPr>
            <w:tcW w:w="6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-33020</wp:posOffset>
            </wp:positionV>
            <wp:extent cx="32385" cy="46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32385" cy="46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400"/>
          </w:cols>
          <w:pgMar w:left="1260" w:top="104" w:right="12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[Non-Directors]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Restricted Stock Unit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 into as of this ______ day of _________, 2017</w:t>
      </w:r>
    </w:p>
    <w:p>
      <w:pPr>
        <w:spacing w:after="0" w:line="2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by and between Reading International, Inc.,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______________ (the</w:t>
      </w:r>
    </w:p>
    <w:p>
      <w:pPr>
        <w:spacing w:after="0" w:line="23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Recipient</w:t>
      </w:r>
      <w:r>
        <w:rPr>
          <w:rFonts w:ascii="Times New Roman" w:cs="Times New Roman" w:eastAsia="Times New Roman" w:hAnsi="Times New Roman"/>
          <w:sz w:val="17"/>
          <w:szCs w:val="17"/>
          <w:color w:val="auto"/>
        </w:rPr>
        <w:t>"). Capitalized terms not defined herein shall have the meaning ascribed to them the in the Company’s 2010 Stock Incentive Plan, as amended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Grant of Restricted Stock Units</w:t>
      </w:r>
      <w:r>
        <w:rPr>
          <w:rFonts w:ascii="Times New Roman" w:cs="Times New Roman" w:eastAsia="Times New Roman" w:hAnsi="Times New Roman"/>
          <w:sz w:val="17"/>
          <w:szCs w:val="17"/>
          <w:color w:val="auto"/>
        </w:rPr>
        <w:t>. The Company hereby grants to the Recipient _______ share units (such units, the “</w:t>
      </w:r>
      <w:r>
        <w:rPr>
          <w:rFonts w:ascii="Times New Roman" w:cs="Times New Roman" w:eastAsia="Times New Roman" w:hAnsi="Times New Roman"/>
          <w:sz w:val="17"/>
          <w:szCs w:val="17"/>
          <w:b w:val="1"/>
          <w:bCs w:val="1"/>
          <w:color w:val="auto"/>
        </w:rPr>
        <w:t>Restricted</w:t>
      </w:r>
    </w:p>
    <w:p>
      <w:pPr>
        <w:spacing w:after="0"/>
        <w:rPr>
          <w:sz w:val="20"/>
          <w:szCs w:val="20"/>
          <w:color w:val="auto"/>
        </w:rPr>
      </w:pPr>
      <w:r>
        <w:rPr>
          <w:rFonts w:ascii="Times New Roman" w:cs="Times New Roman" w:eastAsia="Times New Roman" w:hAnsi="Times New Roman"/>
          <w:sz w:val="17"/>
          <w:szCs w:val="17"/>
          <w:b w:val="1"/>
          <w:bCs w:val="1"/>
          <w:color w:val="auto"/>
        </w:rPr>
        <w:t>Stock Units</w:t>
      </w:r>
      <w:r>
        <w:rPr>
          <w:rFonts w:ascii="Times New Roman" w:cs="Times New Roman" w:eastAsia="Times New Roman" w:hAnsi="Times New Roman"/>
          <w:sz w:val="17"/>
          <w:szCs w:val="17"/>
          <w:color w:val="auto"/>
        </w:rPr>
        <w:t>”), subject to all of the terms and conditions of this Restricted Stock Unit Agreement and the Plan.</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Vesting and Payment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320" w:firstLine="416"/>
        <w:spacing w:after="0" w:line="264" w:lineRule="auto"/>
        <w:rPr>
          <w:sz w:val="20"/>
          <w:szCs w:val="20"/>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Subject to the limitations set forth in this Section 2, Restricted Stock Units will vest, if at all, in accordance with the vesting schedule set forth in the Grant Notice.</w:t>
      </w:r>
    </w:p>
    <w:p>
      <w:pPr>
        <w:spacing w:after="0" w:line="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u w:val="single" w:color="auto"/>
          <w:color w:val="auto"/>
        </w:rPr>
        <w:t>Forfeiture upon Termination</w:t>
      </w:r>
      <w:r>
        <w:rPr>
          <w:rFonts w:ascii="Times New Roman" w:cs="Times New Roman" w:eastAsia="Times New Roman" w:hAnsi="Times New Roman"/>
          <w:sz w:val="17"/>
          <w:szCs w:val="17"/>
          <w:color w:val="auto"/>
        </w:rPr>
        <w:t>.</w:t>
      </w:r>
    </w:p>
    <w:p>
      <w:pPr>
        <w:spacing w:after="0" w:line="87" w:lineRule="exact"/>
        <w:rPr>
          <w:sz w:val="20"/>
          <w:szCs w:val="20"/>
          <w:color w:val="auto"/>
        </w:rPr>
      </w:pPr>
    </w:p>
    <w:p>
      <w:pPr>
        <w:jc w:val="both"/>
        <w:ind w:left="740" w:firstLine="521"/>
        <w:spacing w:after="0" w:line="229" w:lineRule="auto"/>
        <w:rPr>
          <w:sz w:val="20"/>
          <w:szCs w:val="20"/>
          <w:color w:val="auto"/>
        </w:rPr>
      </w:pPr>
      <w:r>
        <w:rPr>
          <w:rFonts w:ascii="Times New Roman" w:cs="Times New Roman" w:eastAsia="Times New Roman" w:hAnsi="Times New Roman"/>
          <w:sz w:val="17"/>
          <w:szCs w:val="17"/>
          <w:color w:val="auto"/>
        </w:rPr>
        <w:t>Subject to the provisions of Sections 2.3, upon termination of the Recipient’s Services, whether by the Company or by the Recipient, any unvested Restricted Stock Units shall be immediately forfeited and neither the Recipient nor any of the Recipient’s successors, heirs, assigns or personal representatives shall thereafter have any further rights or interests in such Restricted Stock Units.</w:t>
      </w:r>
    </w:p>
    <w:p>
      <w:pPr>
        <w:spacing w:after="0" w:line="1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u w:val="single" w:color="auto"/>
          <w:color w:val="auto"/>
        </w:rPr>
        <w:t>Acceleration of Vesting.</w:t>
      </w:r>
    </w:p>
    <w:p>
      <w:pPr>
        <w:spacing w:after="0" w:line="97" w:lineRule="exact"/>
        <w:rPr>
          <w:sz w:val="20"/>
          <w:szCs w:val="20"/>
          <w:color w:val="auto"/>
        </w:rPr>
      </w:pPr>
    </w:p>
    <w:p>
      <w:pPr>
        <w:ind w:left="740" w:right="100" w:firstLine="521"/>
        <w:spacing w:after="0" w:line="251" w:lineRule="auto"/>
        <w:rPr>
          <w:sz w:val="20"/>
          <w:szCs w:val="20"/>
          <w:color w:val="auto"/>
        </w:rPr>
      </w:pPr>
      <w:r>
        <w:rPr>
          <w:rFonts w:ascii="Times New Roman" w:cs="Times New Roman" w:eastAsia="Times New Roman" w:hAnsi="Times New Roman"/>
          <w:sz w:val="17"/>
          <w:szCs w:val="17"/>
          <w:color w:val="auto"/>
        </w:rPr>
        <w:t>In the event that of Recipient’s death or Disability (as defined in the Plan), all unvested Restricted Stock Units shall immediately vest as of the date of death or Disability.</w:t>
      </w:r>
    </w:p>
    <w:p>
      <w:pPr>
        <w:spacing w:after="0" w:line="112" w:lineRule="exact"/>
        <w:rPr>
          <w:sz w:val="20"/>
          <w:szCs w:val="20"/>
          <w:color w:val="auto"/>
        </w:rPr>
      </w:pPr>
    </w:p>
    <w:p>
      <w:pPr>
        <w:jc w:val="both"/>
        <w:ind w:left="740" w:firstLine="521"/>
        <w:spacing w:after="0" w:line="226" w:lineRule="auto"/>
        <w:rPr>
          <w:sz w:val="20"/>
          <w:szCs w:val="20"/>
          <w:color w:val="auto"/>
        </w:rPr>
      </w:pPr>
      <w:r>
        <w:rPr>
          <w:rFonts w:ascii="Times New Roman" w:cs="Times New Roman" w:eastAsia="Times New Roman" w:hAnsi="Times New Roman"/>
          <w:sz w:val="17"/>
          <w:szCs w:val="17"/>
          <w:color w:val="auto"/>
        </w:rPr>
        <w:t>In the event that, within twenty-four months after a Change in Control, Recipient is Terminated Without Cause by the Company or any successor Person, or Resigns For Good Reason, and the Recipient is not a Participant in such Change in Control, the vesting of all Restricted Stock Units which are not otherwise fully vested shall automatically accelerate so that all such Restricted Stock Units shall, immediately when the Recipient is Terminated Without Cause or Resigns for Good Reason, become fully vested, free of all restrictions.</w:t>
      </w:r>
    </w:p>
    <w:p>
      <w:pPr>
        <w:spacing w:after="0" w:line="121" w:lineRule="exact"/>
        <w:rPr>
          <w:sz w:val="20"/>
          <w:szCs w:val="20"/>
          <w:color w:val="auto"/>
        </w:rPr>
      </w:pPr>
    </w:p>
    <w:p>
      <w:pPr>
        <w:jc w:val="both"/>
        <w:ind w:left="740" w:firstLine="521"/>
        <w:spacing w:after="0" w:line="229" w:lineRule="auto"/>
        <w:rPr>
          <w:sz w:val="20"/>
          <w:szCs w:val="20"/>
          <w:color w:val="auto"/>
        </w:rPr>
      </w:pPr>
      <w:r>
        <w:rPr>
          <w:rFonts w:ascii="Times New Roman" w:cs="Times New Roman" w:eastAsia="Times New Roman" w:hAnsi="Times New Roman"/>
          <w:sz w:val="17"/>
          <w:szCs w:val="17"/>
          <w:color w:val="auto"/>
        </w:rPr>
        <w:t>In the event of a Corporate Transaction in which the Restricted Stock Units are not to be Appropriately Replaced at or prior to the effective time of such Corporate Transaction, the vesting of all Restricted Stock Units which are not otherwise fully vested shall automatically accelerate so that all such Restricted Stock Units shall, immediately prior to the effective time of the Corporate Transaction, become fully vested, free of all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990590" cy="46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4" w:right="1259" w:bottom="1440" w:gutter="0" w:footer="0" w:header="0"/>
        </w:sectPr>
      </w:pPr>
    </w:p>
    <w:bookmarkStart w:id="159" w:name="page160"/>
    <w:bookmarkEnd w:id="159"/>
    <w:p>
      <w:pPr>
        <w:jc w:val="both"/>
        <w:ind w:left="560" w:firstLine="521"/>
        <w:spacing w:after="0" w:line="222" w:lineRule="auto"/>
        <w:rPr>
          <w:sz w:val="20"/>
          <w:szCs w:val="20"/>
          <w:color w:val="auto"/>
        </w:rPr>
      </w:pPr>
      <w:r>
        <w:rPr>
          <w:rFonts w:ascii="Times New Roman" w:cs="Times New Roman" w:eastAsia="Times New Roman" w:hAnsi="Times New Roman"/>
          <w:sz w:val="17"/>
          <w:szCs w:val="17"/>
          <w:color w:val="auto"/>
        </w:rPr>
        <w:t>In the event that, within twenty-four months after a Corporate Transaction at or prior to which the Restricted Stock Units have been Appropriately Replaced, Recipient is Terminated Without Cause by the Company or any successor Person, or Resigns For Good Reason, and the Recipient is not a Participant in such Corporate Transaction, the vesting of all Restricted Stock Units (or the substitute awards by which the Restricted Stock Units are Appropriately Replaced) which are not otherwise fully vested shall automatically accelerate so that all such Restricted Stock Units (or such substitute awards) shall, immediately when the Recipient is Terminated Without Cause or Resigns For Good Reason, become fully vested, free of all restrictions.</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For purposes of this Section 2.3:</w:t>
      </w:r>
    </w:p>
    <w:p>
      <w:pPr>
        <w:spacing w:after="0" w:line="152" w:lineRule="exact"/>
        <w:rPr>
          <w:sz w:val="20"/>
          <w:szCs w:val="20"/>
          <w:color w:val="auto"/>
        </w:rPr>
      </w:pPr>
    </w:p>
    <w:p>
      <w:pPr>
        <w:jc w:val="both"/>
        <w:ind w:left="1080" w:firstLine="521"/>
        <w:spacing w:after="0" w:line="216" w:lineRule="auto"/>
        <w:rPr>
          <w:sz w:val="20"/>
          <w:szCs w:val="20"/>
          <w:color w:val="auto"/>
        </w:rPr>
      </w:pPr>
      <w:r>
        <w:rPr>
          <w:rFonts w:ascii="Times New Roman" w:cs="Times New Roman" w:eastAsia="Times New Roman" w:hAnsi="Times New Roman"/>
          <w:sz w:val="17"/>
          <w:szCs w:val="17"/>
          <w:color w:val="auto"/>
        </w:rPr>
        <w:t xml:space="preserve">Restricted Stock Units shall be considered “Appropriately Replaced” if, in addition to providing for acceleration as provided in clause (d) of this Section 2.3, at or prior to the Corporate Transaction, in the judgment of the Committee as constituted at the time the Corporate Transaction is proposed or announced to the Company (the “Evaluating Committee”), the Restricted Stock Units or a substituted award will confer the right to receive, for each share of Common Stock that may be received pursuant to the Restricted Stock Units existing immediately prior to the Corporate Transaction, on substantially the same vesting and other terms and conditions (including acceleration if the Recipient is Terminated Without Cause or Resigns For Good Reason) as were applicable to the Restricted Stock Units immediately prior to the Corporate Transaction, the consideration (whether stock, cash or other securities or property) to be received in the Corporate Transaction by holders of Common Stock for each such share held on the effective date of such transaction (and if holders were offered a choice of consideration, the type of consideration chosen by the holders of a majority of the outstanding shares of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if such consideration to be received in the transaction constituting a Corporate Transaction is not solely cash and/or common stock of the successor company or its parent or subsidiary, the Evaluating Committee may, if the obligations are to be assumed by the successor company, or its parent or subsidiary, approve that the consideration to be received upon the exercise or vesting of the Restricted Stock Units (or the substituted award) will be common stock of the successor company or its parent or subsidiary substantially equal in fair market value to the per-share consideration received by holders of Common Stock in the transaction constituting a Corporate Transaction. The determination of such substantial equality of value of consideration shall be made by the Evaluating Committee in its sole discretion and its determination shall be conclusive and binding.</w:t>
      </w:r>
    </w:p>
    <w:p>
      <w:pPr>
        <w:spacing w:after="0" w:line="12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The term “Change in Control” shall mean:</w:t>
      </w:r>
    </w:p>
    <w:p>
      <w:pPr>
        <w:spacing w:after="0" w:line="152" w:lineRule="exact"/>
        <w:rPr>
          <w:sz w:val="20"/>
          <w:szCs w:val="20"/>
          <w:color w:val="auto"/>
        </w:rPr>
      </w:pPr>
    </w:p>
    <w:p>
      <w:pPr>
        <w:ind w:left="1600" w:firstLine="521"/>
        <w:spacing w:after="0" w:line="251" w:lineRule="auto"/>
        <w:rPr>
          <w:sz w:val="20"/>
          <w:szCs w:val="20"/>
          <w:color w:val="auto"/>
        </w:rPr>
      </w:pPr>
      <w:r>
        <w:rPr>
          <w:rFonts w:ascii="Times New Roman" w:cs="Times New Roman" w:eastAsia="Times New Roman" w:hAnsi="Times New Roman"/>
          <w:sz w:val="17"/>
          <w:szCs w:val="17"/>
          <w:color w:val="auto"/>
        </w:rPr>
        <w:t>a change, after the Grant Date, in the composition of the Board such that the Incumbent Board ceases for any reason to constitute at least a majority of the Board; or</w:t>
      </w:r>
    </w:p>
    <w:p>
      <w:pPr>
        <w:spacing w:after="0" w:line="112" w:lineRule="exact"/>
        <w:rPr>
          <w:sz w:val="20"/>
          <w:szCs w:val="20"/>
          <w:color w:val="auto"/>
        </w:rPr>
      </w:pPr>
    </w:p>
    <w:p>
      <w:pPr>
        <w:ind w:left="1600" w:firstLine="521"/>
        <w:spacing w:after="0" w:line="251" w:lineRule="auto"/>
        <w:rPr>
          <w:sz w:val="20"/>
          <w:szCs w:val="20"/>
          <w:color w:val="auto"/>
        </w:rPr>
      </w:pPr>
      <w:r>
        <w:rPr>
          <w:rFonts w:ascii="Times New Roman" w:cs="Times New Roman" w:eastAsia="Times New Roman" w:hAnsi="Times New Roman"/>
          <w:sz w:val="17"/>
          <w:szCs w:val="17"/>
          <w:color w:val="auto"/>
        </w:rPr>
        <w:t>after the Grant Date a Person (as defined below) other than a Permitted Holder (as defined below) becomes the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79375</wp:posOffset>
            </wp:positionV>
            <wp:extent cx="5990590" cy="463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60" w:name="page161"/>
    <w:bookmarkEnd w:id="160"/>
    <w:p>
      <w:pPr>
        <w:jc w:val="both"/>
        <w:ind w:left="1600"/>
        <w:spacing w:after="0" w:line="228" w:lineRule="auto"/>
        <w:rPr>
          <w:sz w:val="20"/>
          <w:szCs w:val="20"/>
          <w:color w:val="auto"/>
        </w:rPr>
      </w:pPr>
      <w:r>
        <w:rPr>
          <w:rFonts w:ascii="Times New Roman" w:cs="Times New Roman" w:eastAsia="Times New Roman" w:hAnsi="Times New Roman"/>
          <w:sz w:val="17"/>
          <w:szCs w:val="17"/>
          <w:color w:val="auto"/>
        </w:rPr>
        <w:t xml:space="preserve">Owner” (as defined in Rules 13d-3 and 13d-5 under the Exchange Act), directly or indirectly, of securities of the Company representing in the aggregate thirty percent (30%) or more of the then outstanding Voting Securities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Change in Control shall not be deemed to have occurred for purposes of this clause (B) solely as the result of:</w:t>
      </w:r>
    </w:p>
    <w:p>
      <w:pPr>
        <w:spacing w:after="0" w:line="123" w:lineRule="exact"/>
        <w:rPr>
          <w:sz w:val="20"/>
          <w:szCs w:val="20"/>
          <w:color w:val="auto"/>
        </w:rPr>
      </w:pPr>
    </w:p>
    <w:p>
      <w:pPr>
        <w:jc w:val="both"/>
        <w:ind w:left="2120" w:hanging="1"/>
        <w:spacing w:after="0" w:line="234" w:lineRule="auto"/>
        <w:tabs>
          <w:tab w:leader="none" w:pos="284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directly from the Company, other than an acquisition by virtue of the exercise of a conversion privilege unless the security being so converted itself was acquired directly from the Company,</w:t>
      </w:r>
    </w:p>
    <w:p>
      <w:pPr>
        <w:spacing w:after="0" w:line="122" w:lineRule="exact"/>
        <w:rPr>
          <w:rFonts w:ascii="Times New Roman" w:cs="Times New Roman" w:eastAsia="Times New Roman" w:hAnsi="Times New Roman"/>
          <w:sz w:val="17"/>
          <w:szCs w:val="17"/>
          <w:color w:val="auto"/>
        </w:rPr>
      </w:pPr>
    </w:p>
    <w:p>
      <w:pPr>
        <w:ind w:left="2840" w:hanging="721"/>
        <w:spacing w:after="0"/>
        <w:tabs>
          <w:tab w:leader="none" w:pos="28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repurchase of securities by the Company,</w:t>
      </w:r>
    </w:p>
    <w:p>
      <w:pPr>
        <w:spacing w:after="0" w:line="151" w:lineRule="exact"/>
        <w:rPr>
          <w:rFonts w:ascii="Times New Roman" w:cs="Times New Roman" w:eastAsia="Times New Roman" w:hAnsi="Times New Roman"/>
          <w:sz w:val="17"/>
          <w:szCs w:val="17"/>
          <w:color w:val="auto"/>
        </w:rPr>
      </w:pPr>
    </w:p>
    <w:p>
      <w:pPr>
        <w:ind w:left="2120" w:hanging="1"/>
        <w:spacing w:after="0" w:line="251" w:lineRule="auto"/>
        <w:tabs>
          <w:tab w:leader="none" w:pos="284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by any employee benefit plan (or related trust) sponsored or maintained by the Company or any entity controlled by the Company, an</w:t>
      </w:r>
    </w:p>
    <w:p>
      <w:pPr>
        <w:spacing w:after="0" w:line="111" w:lineRule="exact"/>
        <w:rPr>
          <w:rFonts w:ascii="Times New Roman" w:cs="Times New Roman" w:eastAsia="Times New Roman" w:hAnsi="Times New Roman"/>
          <w:sz w:val="17"/>
          <w:szCs w:val="17"/>
          <w:color w:val="auto"/>
        </w:rPr>
      </w:pPr>
    </w:p>
    <w:p>
      <w:pPr>
        <w:ind w:left="2120" w:hanging="1"/>
        <w:spacing w:after="0" w:line="251" w:lineRule="auto"/>
        <w:tabs>
          <w:tab w:leader="none" w:pos="284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pursuant to a transaction that is excluded from the definition of Corporate Transaction pursuant to approval by the Incumbent Board.</w:t>
      </w:r>
    </w:p>
    <w:p>
      <w:pPr>
        <w:spacing w:after="0" w:line="11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The term “Corporate Transaction” shall mean:</w:t>
      </w:r>
    </w:p>
    <w:p>
      <w:pPr>
        <w:spacing w:after="0" w:line="152" w:lineRule="exact"/>
        <w:rPr>
          <w:sz w:val="20"/>
          <w:szCs w:val="20"/>
          <w:color w:val="auto"/>
        </w:rPr>
      </w:pPr>
    </w:p>
    <w:p>
      <w:pPr>
        <w:jc w:val="both"/>
        <w:ind w:left="1600" w:firstLine="521"/>
        <w:spacing w:after="0" w:line="229" w:lineRule="auto"/>
        <w:rPr>
          <w:sz w:val="20"/>
          <w:szCs w:val="20"/>
          <w:color w:val="auto"/>
        </w:rPr>
      </w:pPr>
      <w:r>
        <w:rPr>
          <w:rFonts w:ascii="Times New Roman" w:cs="Times New Roman" w:eastAsia="Times New Roman" w:hAnsi="Times New Roman"/>
          <w:sz w:val="17"/>
          <w:szCs w:val="17"/>
          <w:color w:val="auto"/>
        </w:rPr>
        <w:t xml:space="preserve">the consummation of a reorganization, merger or consolidation or sale or other disposition of all or substantially all of the assets of the Company, whether directly or indirectly through the sale of any one or more of the Company’s subsidiaries or the assets of such one or more subsidiaries; </w:t>
      </w:r>
      <w:r>
        <w:rPr>
          <w:rFonts w:ascii="Times New Roman" w:cs="Times New Roman" w:eastAsia="Times New Roman" w:hAnsi="Times New Roman"/>
          <w:sz w:val="17"/>
          <w:szCs w:val="17"/>
          <w:u w:val="single" w:color="auto"/>
          <w:color w:val="auto"/>
        </w:rPr>
        <w:t>excluding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any such transaction approved by the Incumbent Board (as defined below); or</w:t>
      </w:r>
    </w:p>
    <w:p>
      <w:pPr>
        <w:spacing w:after="0" w:line="1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the liquidation or dissolution of the Company.</w:t>
      </w:r>
    </w:p>
    <w:p>
      <w:pPr>
        <w:spacing w:after="0" w:line="152" w:lineRule="exact"/>
        <w:rPr>
          <w:sz w:val="20"/>
          <w:szCs w:val="20"/>
          <w:color w:val="auto"/>
        </w:rPr>
      </w:pPr>
    </w:p>
    <w:p>
      <w:pPr>
        <w:jc w:val="both"/>
        <w:ind w:left="1080" w:firstLine="521"/>
        <w:spacing w:after="0"/>
        <w:rPr>
          <w:sz w:val="20"/>
          <w:szCs w:val="20"/>
          <w:color w:val="auto"/>
        </w:rPr>
      </w:pPr>
      <w:r>
        <w:rPr>
          <w:rFonts w:ascii="Times New Roman" w:cs="Times New Roman" w:eastAsia="Times New Roman" w:hAnsi="Times New Roman"/>
          <w:sz w:val="17"/>
          <w:szCs w:val="17"/>
          <w:color w:val="auto"/>
        </w:rPr>
        <w:t xml:space="preserve">The term “Incumbent Board” shall mean the individuals who, as of the Grant Date, constitute the entire Board together with any individual(s) who becomes a member of the Board subsequent to the Grant Date, whose election, or nomination for election by the Company’s stockholders, was approved by a vote of at least a majority of those individuals who are members of the Board and who were also members of the then-Incumbent Board (or deemed to be such pursuant to this proviso);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p>
      <w:pPr>
        <w:spacing w:after="0" w:line="172" w:lineRule="exact"/>
        <w:rPr>
          <w:sz w:val="20"/>
          <w:szCs w:val="20"/>
          <w:color w:val="auto"/>
        </w:rPr>
      </w:pPr>
    </w:p>
    <w:p>
      <w:pPr>
        <w:jc w:val="both"/>
        <w:ind w:left="1080" w:firstLine="521"/>
        <w:spacing w:after="0" w:line="234" w:lineRule="auto"/>
        <w:rPr>
          <w:sz w:val="20"/>
          <w:szCs w:val="20"/>
          <w:color w:val="auto"/>
        </w:rPr>
      </w:pPr>
      <w:r>
        <w:rPr>
          <w:rFonts w:ascii="Times New Roman" w:cs="Times New Roman" w:eastAsia="Times New Roman" w:hAnsi="Times New Roman"/>
          <w:sz w:val="17"/>
          <w:szCs w:val="17"/>
          <w:color w:val="auto"/>
        </w:rPr>
        <w:t>The term “Participant” in a Change in Control or a Corporate Transaction shall mean any Person who, after such Change in Control or Corporate Transaction either (a) is or controls any Person whose acquisition or control of securities of the Company gives rise to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86360</wp:posOffset>
            </wp:positionV>
            <wp:extent cx="5990590" cy="46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61" w:name="page162"/>
    <w:bookmarkEnd w:id="161"/>
    <w:p>
      <w:pPr>
        <w:jc w:val="both"/>
        <w:ind w:left="1080"/>
        <w:spacing w:after="0"/>
        <w:rPr>
          <w:sz w:val="20"/>
          <w:szCs w:val="20"/>
          <w:color w:val="auto"/>
        </w:rPr>
      </w:pPr>
      <w:r>
        <w:rPr>
          <w:rFonts w:ascii="Times New Roman" w:cs="Times New Roman" w:eastAsia="Times New Roman" w:hAnsi="Times New Roman"/>
          <w:sz w:val="17"/>
          <w:szCs w:val="17"/>
          <w:color w:val="auto"/>
        </w:rPr>
        <w:t>pursuant to Section 2.3(c)(ii)(B) above, or (b) is or controls any Permitted Holder as of the effective date of such Change in Control or Corporate Transaction but was not or did not control such Permitted Holder as of the date hereof.</w:t>
      </w:r>
    </w:p>
    <w:p>
      <w:pPr>
        <w:spacing w:after="0" w:line="302" w:lineRule="exact"/>
        <w:rPr>
          <w:sz w:val="20"/>
          <w:szCs w:val="20"/>
          <w:color w:val="auto"/>
        </w:rPr>
      </w:pPr>
    </w:p>
    <w:p>
      <w:pPr>
        <w:jc w:val="both"/>
        <w:ind w:left="1080" w:firstLine="521"/>
        <w:spacing w:after="0" w:line="229" w:lineRule="auto"/>
        <w:rPr>
          <w:sz w:val="20"/>
          <w:szCs w:val="20"/>
          <w:color w:val="auto"/>
        </w:rPr>
      </w:pPr>
      <w:r>
        <w:rPr>
          <w:rFonts w:ascii="Times New Roman" w:cs="Times New Roman" w:eastAsia="Times New Roman" w:hAnsi="Times New Roman"/>
          <w:sz w:val="17"/>
          <w:szCs w:val="17"/>
          <w:color w:val="auto"/>
        </w:rPr>
        <w:t>The term “Permitted Holder” shall mean (i) the Company or any trustee or other fiduciary holding securities under an employee benefit plan of the Company, (ii) any Person who, since the Grant Date, has continuously been the Beneficial Owner of not less than thirty percent (30%) of the Voting Securities, or (iii) any Person controlled, directly or indirectly, by one or more of the foregoing Persons referred to in the immediately preceding clause (ii).</w:t>
      </w:r>
    </w:p>
    <w:p>
      <w:pPr>
        <w:spacing w:after="0" w:line="122" w:lineRule="exact"/>
        <w:rPr>
          <w:sz w:val="20"/>
          <w:szCs w:val="20"/>
          <w:color w:val="auto"/>
        </w:rPr>
      </w:pPr>
    </w:p>
    <w:p>
      <w:pPr>
        <w:jc w:val="both"/>
        <w:ind w:left="1080" w:firstLine="521"/>
        <w:spacing w:after="0" w:line="223" w:lineRule="auto"/>
        <w:rPr>
          <w:sz w:val="20"/>
          <w:szCs w:val="20"/>
          <w:color w:val="auto"/>
        </w:rPr>
      </w:pPr>
      <w:r>
        <w:rPr>
          <w:rFonts w:ascii="Times New Roman" w:cs="Times New Roman" w:eastAsia="Times New Roman" w:hAnsi="Times New Roman"/>
          <w:sz w:val="17"/>
          <w:szCs w:val="17"/>
          <w:color w:val="auto"/>
        </w:rPr>
        <w:t>The term “Person” shall mean any individual (whether acting in an individual capacity or in a representative capacity so as to have sole or shared voting power of Voting Securities), entity (including, without limitation, any corporation, charitable or not-for profit corporation, private foundation, partnership, limited liability company, trust (including, without limitation, any private, charitable or split-interest trust), joint venture, association or governmental body) or group (as defined in Section 13(d)(3) or 14(d)(2) of the Exchange Act and the rules and regulations thereunder.</w:t>
      </w:r>
    </w:p>
    <w:p>
      <w:pPr>
        <w:spacing w:after="0" w:line="125" w:lineRule="exact"/>
        <w:rPr>
          <w:sz w:val="20"/>
          <w:szCs w:val="20"/>
          <w:color w:val="auto"/>
        </w:rPr>
      </w:pPr>
    </w:p>
    <w:p>
      <w:pPr>
        <w:jc w:val="both"/>
        <w:ind w:left="1080" w:firstLine="521"/>
        <w:spacing w:after="0" w:line="217" w:lineRule="auto"/>
        <w:rPr>
          <w:sz w:val="20"/>
          <w:szCs w:val="20"/>
          <w:color w:val="auto"/>
        </w:rPr>
      </w:pPr>
      <w:r>
        <w:rPr>
          <w:rFonts w:ascii="Times New Roman" w:cs="Times New Roman" w:eastAsia="Times New Roman" w:hAnsi="Times New Roman"/>
          <w:sz w:val="17"/>
          <w:szCs w:val="17"/>
          <w:color w:val="auto"/>
        </w:rPr>
        <w:t>The term “Resigns For Good Reason” shall mean the termination by Recipient of Recipient’s Services or election not to continue to provide such Services for Good Reason. The term “Good Reason” shall mean: [</w:t>
      </w:r>
      <w:r>
        <w:rPr>
          <w:rFonts w:ascii="Times New Roman" w:cs="Times New Roman" w:eastAsia="Times New Roman" w:hAnsi="Times New Roman"/>
          <w:sz w:val="17"/>
          <w:szCs w:val="17"/>
          <w:u w:val="single" w:color="auto"/>
          <w:color w:val="auto"/>
        </w:rPr>
        <w:t>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case of an employee</w:t>
      </w:r>
      <w:r>
        <w:rPr>
          <w:rFonts w:ascii="Times New Roman" w:cs="Times New Roman" w:eastAsia="Times New Roman" w:hAnsi="Times New Roman"/>
          <w:sz w:val="17"/>
          <w:szCs w:val="17"/>
          <w:color w:val="auto"/>
        </w:rPr>
        <w:t>, (A) a material, adverse change in the Recipient’s authority, duties or responsibilities; (B) a material, adverse change in the authority, duties or responsibilities of the Recipient's supervisor (including, for example, requiring the Recipient to report to another officer, instead of the Board); (C) a material reduction in the Recipient's base salary or a material reduction in the Recipient’s bonus opportunity, equity compensation or other material component of overall compensation; (D) a material reduction in Recipient’s indemnification rights, directors and officers insurance coverage, (E) a relocation of the Recipient's principal place of employment by more than ten (10) miles; or (F) the employer's material breach of the Recipient’s employment agreement;][</w:t>
      </w:r>
      <w:r>
        <w:rPr>
          <w:rFonts w:ascii="Times New Roman" w:cs="Times New Roman" w:eastAsia="Times New Roman" w:hAnsi="Times New Roman"/>
          <w:sz w:val="17"/>
          <w:szCs w:val="17"/>
          <w:u w:val="single" w:color="auto"/>
          <w:color w:val="auto"/>
        </w:rPr>
        <w:t>in the case of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(A) any material, adverse change in the Recipient’s compensation or work arrangements, (B) any reduction in Recipient’s indemnification rights and/or insurance coverage, or (C) any material, adverse change in the manner or location required for the performance of Recipient’s Services; provided, however, that Recipient shall give written notice to the Company or the successor entity of any events giving that would constitute Good Reason within ninety (90) days of date on which such facts or events arise, the Company or such successor shall have not less than thirty (30) days’ opportunity to cure, and Recipient shall terminate his or her [employment/consultancy] not later than thirty (30) days of the failure of the Company or such successor to timely cure.</w:t>
      </w:r>
    </w:p>
    <w:p>
      <w:pPr>
        <w:spacing w:after="0" w:line="122" w:lineRule="exact"/>
        <w:rPr>
          <w:sz w:val="20"/>
          <w:szCs w:val="20"/>
          <w:color w:val="auto"/>
        </w:rPr>
      </w:pPr>
    </w:p>
    <w:p>
      <w:pPr>
        <w:jc w:val="both"/>
        <w:ind w:left="1080" w:firstLine="521"/>
        <w:spacing w:after="0" w:line="251" w:lineRule="auto"/>
        <w:rPr>
          <w:sz w:val="20"/>
          <w:szCs w:val="20"/>
          <w:color w:val="auto"/>
        </w:rPr>
      </w:pPr>
      <w:r>
        <w:rPr>
          <w:rFonts w:ascii="Times New Roman" w:cs="Times New Roman" w:eastAsia="Times New Roman" w:hAnsi="Times New Roman"/>
          <w:sz w:val="17"/>
          <w:szCs w:val="17"/>
          <w:color w:val="auto"/>
        </w:rPr>
        <w:t>Services shall mean Recipient’s [services as a consultant to/services as an employee of] the Company or any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79375</wp:posOffset>
            </wp:positionV>
            <wp:extent cx="5990590" cy="463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62" w:name="page163"/>
    <w:bookmarkEnd w:id="162"/>
    <w:p>
      <w:pPr>
        <w:jc w:val="both"/>
        <w:ind w:left="1080" w:firstLine="521"/>
        <w:spacing w:after="0" w:line="220" w:lineRule="auto"/>
        <w:rPr>
          <w:sz w:val="20"/>
          <w:szCs w:val="20"/>
          <w:color w:val="auto"/>
        </w:rPr>
      </w:pPr>
      <w:r>
        <w:rPr>
          <w:rFonts w:ascii="Times New Roman" w:cs="Times New Roman" w:eastAsia="Times New Roman" w:hAnsi="Times New Roman"/>
          <w:sz w:val="17"/>
          <w:szCs w:val="17"/>
          <w:color w:val="auto"/>
        </w:rPr>
        <w:t>The term “Terminated without Cause” shall mean the termination of the Recipient’s [services as a consultant to/employment with] the Company or any successor Person (including the failure to renew, extend or continue, as applicable) for any reason other than Cause. The term “Cause” shall mean: (A) the repeated failure or refusal of Recipient to perform the duties or render the services consistent with Recipient’s title and position, which failure is not cured within thirty (30) days after written notice is delivered to Recipient; (B) fraud, embezzlement or other theft; (C) conviction of, or plea of guilty or nolo contendere to, a felony or gross misdemeanor involving moral turpitude; (D) intentional or gross misconduct or neglect that causes harm to the Company or its successor; or (E) substance abuse that affects the Recipient’s performance.</w:t>
      </w:r>
    </w:p>
    <w:p>
      <w:pPr>
        <w:spacing w:after="0" w:line="127" w:lineRule="exact"/>
        <w:rPr>
          <w:sz w:val="20"/>
          <w:szCs w:val="20"/>
          <w:color w:val="auto"/>
        </w:rPr>
      </w:pPr>
    </w:p>
    <w:p>
      <w:pPr>
        <w:jc w:val="both"/>
        <w:ind w:left="1080" w:firstLine="521"/>
        <w:spacing w:after="0" w:line="229" w:lineRule="auto"/>
        <w:rPr>
          <w:sz w:val="20"/>
          <w:szCs w:val="20"/>
          <w:color w:val="auto"/>
        </w:rPr>
      </w:pPr>
      <w:r>
        <w:rPr>
          <w:rFonts w:ascii="Times New Roman" w:cs="Times New Roman" w:eastAsia="Times New Roman" w:hAnsi="Times New Roman"/>
          <w:sz w:val="17"/>
          <w:szCs w:val="17"/>
          <w:color w:val="auto"/>
        </w:rPr>
        <w:t>The term “Voting Securities” shall mean all securities of a corporation having the right under ordinary circumstances to vote in an election of the board of directors of such corporation, or other interests having comparable rights to elect managers or fiduciary persons or boards in non-corporate entities. As of the date hereof, the Voting Securities of the Company includes the shares of Class B common stock of the Company.</w:t>
      </w:r>
    </w:p>
    <w:p>
      <w:pPr>
        <w:spacing w:after="0" w:line="133" w:lineRule="exact"/>
        <w:rPr>
          <w:sz w:val="20"/>
          <w:szCs w:val="20"/>
          <w:color w:val="auto"/>
        </w:rPr>
      </w:pPr>
    </w:p>
    <w:p>
      <w:pPr>
        <w:jc w:val="both"/>
        <w:ind w:left="140" w:firstLine="416"/>
        <w:spacing w:after="0" w:line="236" w:lineRule="auto"/>
        <w:rPr>
          <w:sz w:val="20"/>
          <w:szCs w:val="20"/>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If Restricted Stock Units vest, then within thirty (30) days after the applicable vesting date (or, if the Recipient has, prior to vesting, delivered a written request to defer delivery in a form specified by the Board or the Committee, but in no event later than March 15 of the next calendar year after the year in which such vesting occurs), the Company shall deliver to the Recipient, or if applicable the Recipient’s estate, that number of shares of Common Stock equal to the number of Restricted Stock Units which vested on such vesting date as set forth above.</w:t>
      </w:r>
    </w:p>
    <w:p>
      <w:pPr>
        <w:spacing w:after="0" w:line="80" w:lineRule="exact"/>
        <w:rPr>
          <w:sz w:val="20"/>
          <w:szCs w:val="20"/>
          <w:color w:val="auto"/>
        </w:rPr>
      </w:pPr>
    </w:p>
    <w:p>
      <w:pPr>
        <w:jc w:val="both"/>
        <w:ind w:left="140" w:firstLine="416"/>
        <w:spacing w:after="0" w:line="232" w:lineRule="auto"/>
        <w:rPr>
          <w:sz w:val="20"/>
          <w:szCs w:val="20"/>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Unless delivery of the shares of Common Stock is delayed after the applicable vesting date pursuant to Section 2.4 above, on the vesting date, the Recipient shall recognize taxable income in respect of the Common Stock deliverable and the Company shall report such taxable income to the appropriate taxing authorities in respect thereof as it determines to be necessary and appropriate. The Recipient, if an employee, shall pay to the Company promptly upon request and in any event at the time the Recipient recognizes taxable income an amount equal to the taxes, if any, the Company determines it is required or permitted to withhold under the applicable tax laws. Such payment may be made in the form of cash. The Recipient also may satisfy, in whole or in part, the foregoing withholding liability, and the Company may withhold amounts as allowed by the Plan, by having the Company withhold from the number of shares of Common Stock otherwise issuable pursuant to the vesting of the Restricted Stock Units with a fair market value equal to such withholding.</w:t>
      </w:r>
    </w:p>
    <w:p>
      <w:pPr>
        <w:spacing w:after="0" w:line="67" w:lineRule="exact"/>
        <w:rPr>
          <w:sz w:val="20"/>
          <w:szCs w:val="20"/>
          <w:color w:val="auto"/>
        </w:rPr>
      </w:pPr>
    </w:p>
    <w:p>
      <w:pPr>
        <w:jc w:val="both"/>
        <w:ind w:left="140" w:firstLine="416"/>
        <w:spacing w:after="0" w:line="236" w:lineRule="auto"/>
        <w:rPr>
          <w:sz w:val="20"/>
          <w:szCs w:val="20"/>
          <w:color w:val="auto"/>
        </w:rPr>
      </w:pP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Subject to Sections 2.4 and 2.4 above, as soon as practicable after the vesting of the Restricted Stock Units, the Company shall deliver or cause to be delivered one or more certificates issued in the Recipient’s name representing shares of Common Stock equal to the number of vested Restricted Stock Units. If a valid SEC Form S-8 Registration Statement is not in effect at the time, the Certificate shall set forth restrictive legends advising the Recipient that the shares of Common Stock have not been registered under the securities laws of the United States or the laws of any state and that the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86995</wp:posOffset>
            </wp:positionV>
            <wp:extent cx="5990590" cy="46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200"/>
          </w:cols>
          <w:pgMar w:left="1440" w:top="108" w:right="1259" w:bottom="1440" w:gutter="0" w:footer="0" w:header="0"/>
        </w:sectPr>
      </w:pPr>
    </w:p>
    <w:bookmarkStart w:id="163" w:name="page164"/>
    <w:bookmarkEnd w:id="163"/>
    <w:p>
      <w:pPr>
        <w:ind w:left="320"/>
        <w:spacing w:after="0"/>
        <w:rPr>
          <w:sz w:val="20"/>
          <w:szCs w:val="20"/>
          <w:color w:val="auto"/>
        </w:rPr>
      </w:pPr>
      <w:r>
        <w:rPr>
          <w:rFonts w:ascii="Times New Roman" w:cs="Times New Roman" w:eastAsia="Times New Roman" w:hAnsi="Times New Roman"/>
          <w:sz w:val="17"/>
          <w:szCs w:val="17"/>
          <w:color w:val="auto"/>
        </w:rPr>
        <w:t>other disposition of such shares is prohibited unless such sale or other disposition is made in compliance with all such laws.</w:t>
      </w:r>
    </w:p>
    <w:p>
      <w:pPr>
        <w:spacing w:after="0" w:line="97" w:lineRule="exact"/>
        <w:rPr>
          <w:sz w:val="20"/>
          <w:szCs w:val="20"/>
          <w:color w:val="auto"/>
        </w:rPr>
      </w:pPr>
    </w:p>
    <w:p>
      <w:pPr>
        <w:jc w:val="both"/>
        <w:ind w:firstLine="312"/>
        <w:spacing w:after="0" w:line="234" w:lineRule="auto"/>
        <w:rPr>
          <w:sz w:val="20"/>
          <w:szCs w:val="20"/>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Pursuant to Section 11 of the Plan, in the event of a change in capitalization, the Board shall make such equitable changes or adjustments to the number and kind of securities or other property (including cash) issued or issuable in respect of outstanding Restricted Stock Units.</w:t>
      </w:r>
    </w:p>
    <w:p>
      <w:pPr>
        <w:spacing w:after="0" w:line="122" w:lineRule="exact"/>
        <w:rPr>
          <w:sz w:val="20"/>
          <w:szCs w:val="20"/>
          <w:color w:val="auto"/>
        </w:rPr>
      </w:pPr>
    </w:p>
    <w:p>
      <w:pPr>
        <w:jc w:val="both"/>
        <w:ind w:firstLine="312"/>
        <w:spacing w:after="0"/>
        <w:rPr>
          <w:sz w:val="20"/>
          <w:szCs w:val="20"/>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under this Restricted Stock Unit Agreement shall be in writing and shall be given by e-mail, first class mail, certified or registered with return receipt requests, and shall be deemed to have been duly given three days after mailing (or one-day in case of delivery by e-mail) to the respective parties, as follows: (i) if to the Company, (a) if by mail, addressed to the Company in care of its Corporate Secretary at the principal executive office of the Company, or (b) if by e-mail, addressed to the care of the Corporate Secretary at corporatesecretary@readingrdi.com and (ii) if to the Recipient, using the contact information on file with the Company. Either party hereto may change such party’s address for notices by notice duly given pursuant hereto</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Protections against Violations of Agreement</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left="320" w:firstLine="416"/>
        <w:spacing w:after="0" w:line="226" w:lineRule="auto"/>
        <w:rPr>
          <w:sz w:val="20"/>
          <w:szCs w:val="20"/>
          <w:color w:val="auto"/>
        </w:rPr>
      </w:pPr>
      <w:r>
        <w:rPr>
          <w:rFonts w:ascii="Times New Roman" w:cs="Times New Roman" w:eastAsia="Times New Roman" w:hAnsi="Times New Roman"/>
          <w:sz w:val="17"/>
          <w:szCs w:val="17"/>
          <w:color w:val="auto"/>
        </w:rPr>
        <w:t>No purported sale, assignment, mortgage, hypothecation, transfer, charge, pledge, encumbrance, gift, transfer in trust (voting or other) or other disposition or creation of a security interest in or lien on, any of the Restricted Stock Units or any agreement or commitment to do any of the foregoing (each a “Transfer”) by any holder thereof in violation of the provisions of this Restricted Stock Unit Agreement will be valid, except (i) a transfer for estate planning purposes, or (ii) with the prior written consent of the Board (such consent shall be granted or withheld in the sole discretion of the Board</w:t>
      </w:r>
    </w:p>
    <w:p>
      <w:pPr>
        <w:spacing w:after="0" w:line="121" w:lineRule="exact"/>
        <w:rPr>
          <w:sz w:val="20"/>
          <w:szCs w:val="20"/>
          <w:color w:val="auto"/>
        </w:rPr>
      </w:pPr>
    </w:p>
    <w:p>
      <w:pPr>
        <w:jc w:val="both"/>
        <w:ind w:left="320" w:firstLine="416"/>
        <w:spacing w:after="0" w:line="229" w:lineRule="auto"/>
        <w:rPr>
          <w:sz w:val="20"/>
          <w:szCs w:val="20"/>
          <w:color w:val="auto"/>
        </w:rPr>
      </w:pPr>
      <w:r>
        <w:rPr>
          <w:rFonts w:ascii="Times New Roman" w:cs="Times New Roman" w:eastAsia="Times New Roman" w:hAnsi="Times New Roman"/>
          <w:sz w:val="17"/>
          <w:szCs w:val="17"/>
          <w:color w:val="auto"/>
        </w:rPr>
        <w:t>Any purported Transfer of Restricted Stock Units or any economic benefit or interest therein in violation of this Restricted Stock Unit Agreement shall be null and void ab initio, and shall not create any obligation or liability of the Company, and any person purportedly acquiring any Restricted Stock Units or any economic benefit or interest therein transferred in violation of this Restricted Stock Unit Agreement shall not be entitled to receive any Common Stock</w:t>
      </w:r>
    </w:p>
    <w:p>
      <w:pPr>
        <w:spacing w:after="0" w:line="122" w:lineRule="exact"/>
        <w:rPr>
          <w:sz w:val="20"/>
          <w:szCs w:val="20"/>
          <w:color w:val="auto"/>
        </w:rPr>
      </w:pPr>
    </w:p>
    <w:p>
      <w:pPr>
        <w:jc w:val="both"/>
        <w:ind w:firstLine="312"/>
        <w:spacing w:after="0" w:line="222" w:lineRule="auto"/>
        <w:rPr>
          <w:sz w:val="20"/>
          <w:szCs w:val="20"/>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BY SIGNING THIS RESTRICTED STOCK UNIT AGREEMENT, THE RECIPIENT REPRESENTS THAT HE OR SHE HAS REVIEWED WITH HIS OR HER OWN TAX ADVISORS THE FEDERAL, STATE, LOCAL AND FOREIGN TAX CONSEQUENCES OF THE TRANSACTIONS CONTEMPLATED BY THIS RESTRICTED STOCK UNIT AGREEMENT AND THAT HE OR SHE IS RELYING SOLELY ON SUCH ADVISORS AND NOT ON ANY STATEMENTS OR REPRESENTATIONS OF THE COMPANY OR ANY OF ITS AGENTS. THE RECIPIENT UNDERSTANDS AND AGREES THAT HE OR SHE (AND NOT THE COMPANY) SHALL BE RESPONSIBLE FOR ANY TAX LIABILITY THAT MAY ARISE AS A RESULT OF THE TRANSACTIONS CONTEMPLATED BY THIS RESTRICTED STOCK UNIT AGREEMENT</w:t>
      </w:r>
    </w:p>
    <w:p>
      <w:pPr>
        <w:spacing w:after="0" w:line="123" w:lineRule="exact"/>
        <w:rPr>
          <w:sz w:val="20"/>
          <w:szCs w:val="20"/>
          <w:color w:val="auto"/>
        </w:rPr>
      </w:pPr>
    </w:p>
    <w:p>
      <w:pPr>
        <w:jc w:val="both"/>
        <w:ind w:right="20" w:firstLine="312"/>
        <w:spacing w:after="0" w:line="251" w:lineRule="auto"/>
        <w:rPr>
          <w:sz w:val="20"/>
          <w:szCs w:val="20"/>
          <w:color w:val="auto"/>
        </w:rPr>
      </w:pPr>
      <w:r>
        <w:rPr>
          <w:rFonts w:ascii="Times New Roman" w:cs="Times New Roman" w:eastAsia="Times New Roman" w:hAnsi="Times New Roman"/>
          <w:sz w:val="17"/>
          <w:szCs w:val="17"/>
          <w:u w:val="single" w:color="auto"/>
          <w:color w:val="auto"/>
        </w:rPr>
        <w:t>Failure to Enforce Not a Waiver</w:t>
      </w:r>
      <w:r>
        <w:rPr>
          <w:rFonts w:ascii="Times New Roman" w:cs="Times New Roman" w:eastAsia="Times New Roman" w:hAnsi="Times New Roman"/>
          <w:sz w:val="17"/>
          <w:szCs w:val="17"/>
          <w:color w:val="auto"/>
        </w:rPr>
        <w:t>. The failure of the Company to enforce at any time any provision of this Restricted Stock Unit Agreement shall in no way be construed to be a waiver of such provision or of any other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5990590" cy="463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18" w:right="1259" w:bottom="1440" w:gutter="0" w:footer="0" w:header="0"/>
        </w:sectPr>
      </w:pPr>
    </w:p>
    <w:bookmarkStart w:id="164" w:name="page165"/>
    <w:bookmarkEnd w:id="164"/>
    <w:p>
      <w:pPr>
        <w:jc w:val="both"/>
        <w:ind w:firstLine="312"/>
        <w:spacing w:after="0" w:line="220" w:lineRule="auto"/>
        <w:rPr>
          <w:sz w:val="20"/>
          <w:szCs w:val="20"/>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Restricted Stock Unit Agreement shall be governed by and construed and enforced in accordance with the laws of the State of Nevada applicable to contracts made and to be performed herein. Any suit, action or proceeding with respect to this Restricted Stock Unit Agreement, or any judgment entered by any court in respect of any thereof, shall be brought in any court of competent jurisdiction in the State of Nevada, and the Company and the Recipient hereby submit to the exclusive jurisdiction of such courts for the purpose of any such suit, action, proceeding or judgment. The Recipient and the Company hereby irrevocably waive (i) any objections which it may now or hereafter have to the laying of the venue of any suit, action or proceeding arising out of or relating to this Restricted stock Unit Agreement brought in any court of competent jurisdiction in the State of Nevada, (ii) any claim that any such suit, action or proceeding brought in any such court has been brought in any inconvenient forum and (iii) any right to a jury trial.</w:t>
      </w:r>
    </w:p>
    <w:p>
      <w:pPr>
        <w:spacing w:after="0" w:line="127" w:lineRule="exact"/>
        <w:rPr>
          <w:sz w:val="20"/>
          <w:szCs w:val="20"/>
          <w:color w:val="auto"/>
        </w:rPr>
      </w:pPr>
    </w:p>
    <w:p>
      <w:pPr>
        <w:jc w:val="both"/>
        <w:ind w:firstLine="312"/>
        <w:spacing w:after="0"/>
        <w:rPr>
          <w:sz w:val="20"/>
          <w:szCs w:val="20"/>
          <w:color w:val="auto"/>
        </w:rPr>
      </w:pPr>
      <w:r>
        <w:rPr>
          <w:rFonts w:ascii="Times New Roman" w:cs="Times New Roman" w:eastAsia="Times New Roman" w:hAnsi="Times New Roman"/>
          <w:sz w:val="17"/>
          <w:szCs w:val="17"/>
          <w:u w:val="single" w:color="auto"/>
          <w:color w:val="auto"/>
        </w:rPr>
        <w:t>Incorporation of Plan</w:t>
      </w:r>
      <w:r>
        <w:rPr>
          <w:rFonts w:ascii="Times New Roman" w:cs="Times New Roman" w:eastAsia="Times New Roman" w:hAnsi="Times New Roman"/>
          <w:sz w:val="17"/>
          <w:szCs w:val="17"/>
          <w:color w:val="auto"/>
        </w:rPr>
        <w:t>. The Plan is hereby incorporated by reference and made a part hereof, and the Restricted Stock Units and this Restricted Stock Unit Agreement shall be subject to all terms and conditions of the Plan and this Restricted Stock Unit Agreement.</w:t>
      </w:r>
    </w:p>
    <w:p>
      <w:pPr>
        <w:spacing w:after="0" w:line="303" w:lineRule="exact"/>
        <w:rPr>
          <w:sz w:val="20"/>
          <w:szCs w:val="20"/>
          <w:color w:val="auto"/>
        </w:rPr>
      </w:pPr>
    </w:p>
    <w:p>
      <w:pPr>
        <w:jc w:val="both"/>
        <w:ind w:firstLine="312"/>
        <w:spacing w:after="0" w:line="229" w:lineRule="auto"/>
        <w:rPr>
          <w:sz w:val="20"/>
          <w:szCs w:val="20"/>
          <w:color w:val="auto"/>
        </w:rPr>
      </w:pPr>
      <w:r>
        <w:rPr>
          <w:rFonts w:ascii="Times New Roman" w:cs="Times New Roman" w:eastAsia="Times New Roman" w:hAnsi="Times New Roman"/>
          <w:sz w:val="17"/>
          <w:szCs w:val="17"/>
          <w:u w:val="single" w:color="auto"/>
          <w:color w:val="auto"/>
        </w:rPr>
        <w:t>Amendments / Construction</w:t>
      </w:r>
      <w:r>
        <w:rPr>
          <w:rFonts w:ascii="Times New Roman" w:cs="Times New Roman" w:eastAsia="Times New Roman" w:hAnsi="Times New Roman"/>
          <w:sz w:val="17"/>
          <w:szCs w:val="17"/>
          <w:color w:val="auto"/>
        </w:rPr>
        <w:t>. The Board may amend the terms of this Restricted Stock Unit Agreement prospectively or retroactively at any time, but no such amendment shall impair the rights of the Recipient hereunder without Recipient’s consent. Headings to Sections of this Restricted Stock Unit Agreement are intended for convenience of reference only, are not part of this Restricted Stock Unit Agreement and shall have no effect on the interpretation hereof.</w:t>
      </w:r>
    </w:p>
    <w:p>
      <w:pPr>
        <w:spacing w:after="0" w:line="122" w:lineRule="exact"/>
        <w:rPr>
          <w:sz w:val="20"/>
          <w:szCs w:val="20"/>
          <w:color w:val="auto"/>
        </w:rPr>
      </w:pPr>
    </w:p>
    <w:p>
      <w:pPr>
        <w:jc w:val="both"/>
        <w:ind w:firstLine="312"/>
        <w:spacing w:after="0" w:line="251" w:lineRule="auto"/>
        <w:rPr>
          <w:sz w:val="20"/>
          <w:szCs w:val="20"/>
          <w:color w:val="auto"/>
        </w:rPr>
      </w:pPr>
      <w:r>
        <w:rPr>
          <w:rFonts w:ascii="Times New Roman" w:cs="Times New Roman" w:eastAsia="Times New Roman" w:hAnsi="Times New Roman"/>
          <w:sz w:val="17"/>
          <w:szCs w:val="17"/>
          <w:u w:val="single" w:color="auto"/>
          <w:color w:val="auto"/>
        </w:rPr>
        <w:t>Survival of Terms</w:t>
      </w:r>
      <w:r>
        <w:rPr>
          <w:rFonts w:ascii="Times New Roman" w:cs="Times New Roman" w:eastAsia="Times New Roman" w:hAnsi="Times New Roman"/>
          <w:sz w:val="17"/>
          <w:szCs w:val="17"/>
          <w:color w:val="auto"/>
        </w:rPr>
        <w:t>. This Restricted Stock Unit Agreement shall apply to and bind the Recipient and the Company and their respective permitted assignees and transferees, heirs, legatees, executors, administrators and legal successors.</w:t>
      </w:r>
    </w:p>
    <w:p>
      <w:pPr>
        <w:spacing w:after="0" w:line="112" w:lineRule="exact"/>
        <w:rPr>
          <w:sz w:val="20"/>
          <w:szCs w:val="20"/>
          <w:color w:val="auto"/>
        </w:rPr>
      </w:pPr>
    </w:p>
    <w:p>
      <w:pPr>
        <w:jc w:val="both"/>
        <w:ind w:firstLine="312"/>
        <w:spacing w:after="0" w:line="223" w:lineRule="auto"/>
        <w:rPr>
          <w:sz w:val="20"/>
          <w:szCs w:val="20"/>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The Recipient shall have no rights of a stockholder (including the right to vote and the right to receive distributions or dividends) until the Recipient has received the shares of Common Stock equal to the number of Restricted Stock Units which vested. On the date that the Recipient receives Common Stock with respect to Restricted Stock Units, the Recipient shall receive distributions or dividends that would have been paid to or made with respect to the number of shares of Common Stock that relate to this Restricted Stock Unit Award from the date of vesting until such date of delivery of the Common Stock. The Recipient shall be able to exercise voting rights upon receipt of the shares of Common Stock.</w:t>
      </w:r>
    </w:p>
    <w:p>
      <w:pPr>
        <w:spacing w:after="0" w:line="125" w:lineRule="exact"/>
        <w:rPr>
          <w:sz w:val="20"/>
          <w:szCs w:val="20"/>
          <w:color w:val="auto"/>
        </w:rPr>
      </w:pPr>
    </w:p>
    <w:p>
      <w:pPr>
        <w:jc w:val="both"/>
        <w:ind w:firstLine="312"/>
        <w:spacing w:after="0" w:line="229" w:lineRule="auto"/>
        <w:rPr>
          <w:sz w:val="20"/>
          <w:szCs w:val="20"/>
          <w:color w:val="auto"/>
        </w:rPr>
      </w:pPr>
      <w:r>
        <w:rPr>
          <w:rFonts w:ascii="Times New Roman" w:cs="Times New Roman" w:eastAsia="Times New Roman" w:hAnsi="Times New Roman"/>
          <w:sz w:val="17"/>
          <w:szCs w:val="17"/>
          <w:u w:val="single" w:color="auto"/>
          <w:color w:val="auto"/>
        </w:rPr>
        <w:t>Agreement Not a Contract for Employment</w:t>
      </w:r>
      <w:r>
        <w:rPr>
          <w:rFonts w:ascii="Times New Roman" w:cs="Times New Roman" w:eastAsia="Times New Roman" w:hAnsi="Times New Roman"/>
          <w:sz w:val="17"/>
          <w:szCs w:val="17"/>
          <w:color w:val="auto"/>
        </w:rPr>
        <w:t>. Neither the Plan, the granting of the Restricted Stock Units, this Restricted Stock Unit Agreement nor any other action taken pursuant to the Plan shall constitute or be evidence of any agreement or understanding, express or implied, that the Recipient has a right to continue to provide employment as an officer, director, employee, consultant or advisor of the Company or any Subsidiary or Affiliate for any period of time or at any specific rate of compensation.</w:t>
      </w:r>
    </w:p>
    <w:p>
      <w:pPr>
        <w:spacing w:after="0" w:line="122" w:lineRule="exact"/>
        <w:rPr>
          <w:sz w:val="20"/>
          <w:szCs w:val="20"/>
          <w:color w:val="auto"/>
        </w:rPr>
      </w:pPr>
    </w:p>
    <w:p>
      <w:pPr>
        <w:jc w:val="both"/>
        <w:ind w:firstLine="312"/>
        <w:spacing w:after="0" w:line="229" w:lineRule="auto"/>
        <w:rPr>
          <w:sz w:val="20"/>
          <w:szCs w:val="20"/>
          <w:color w:val="auto"/>
        </w:rPr>
      </w:pPr>
      <w:r>
        <w:rPr>
          <w:rFonts w:ascii="Times New Roman" w:cs="Times New Roman" w:eastAsia="Times New Roman" w:hAnsi="Times New Roman"/>
          <w:sz w:val="17"/>
          <w:szCs w:val="17"/>
          <w:u w:val="single" w:color="auto"/>
          <w:color w:val="auto"/>
        </w:rPr>
        <w:t>Authority of the Board; Disputes</w:t>
      </w:r>
      <w:r>
        <w:rPr>
          <w:rFonts w:ascii="Times New Roman" w:cs="Times New Roman" w:eastAsia="Times New Roman" w:hAnsi="Times New Roman"/>
          <w:sz w:val="17"/>
          <w:szCs w:val="17"/>
          <w:color w:val="auto"/>
        </w:rPr>
        <w:t>. The Board, directly or through its delegation of authority to the Committee, shall have full authority to interpret and construe the terms of the Plan and this Restricted Stock Unit Agreement. Notwithstanding the above, nothing within this provision shall restrict the Company or the Recipient from seeking to enforce the terms of this Restricted Stock Unit Agreement under and as provided in Section 8, above.</w:t>
      </w:r>
    </w:p>
    <w:p>
      <w:pPr>
        <w:spacing w:after="0" w:line="122" w:lineRule="exact"/>
        <w:rPr>
          <w:sz w:val="20"/>
          <w:szCs w:val="20"/>
          <w:color w:val="auto"/>
        </w:rPr>
      </w:pPr>
    </w:p>
    <w:p>
      <w:pPr>
        <w:jc w:val="both"/>
        <w:ind w:firstLine="312"/>
        <w:spacing w:after="0" w:line="251" w:lineRule="auto"/>
        <w:rPr>
          <w:sz w:val="20"/>
          <w:szCs w:val="20"/>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Should any provision of this Restricted Stock Unit Agreement be held by a court of competent jurisdiction to be unenforceable, or enforceable only if modified,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5990590" cy="46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65" w:name="page166"/>
    <w:bookmarkEnd w:id="165"/>
    <w:p>
      <w:pPr>
        <w:jc w:val="both"/>
        <w:spacing w:after="0" w:line="234" w:lineRule="auto"/>
        <w:rPr>
          <w:sz w:val="20"/>
          <w:szCs w:val="20"/>
          <w:color w:val="auto"/>
        </w:rPr>
      </w:pPr>
      <w:r>
        <w:rPr>
          <w:rFonts w:ascii="Times New Roman" w:cs="Times New Roman" w:eastAsia="Times New Roman" w:hAnsi="Times New Roman"/>
          <w:sz w:val="17"/>
          <w:szCs w:val="17"/>
          <w:color w:val="auto"/>
        </w:rPr>
        <w:t>holding shall not affect the validity of the remainder of this Restricted Stock Unit Agreement, the balance of which shall continue to be binding upon the parties hereto with any such modification (if any) to become a part hereof and treated as though contained in this original Recipient Restricted Stock Unit Agreement..</w:t>
      </w:r>
    </w:p>
    <w:p>
      <w:pPr>
        <w:spacing w:after="0" w:line="121" w:lineRule="exact"/>
        <w:rPr>
          <w:sz w:val="20"/>
          <w:szCs w:val="20"/>
          <w:color w:val="auto"/>
        </w:rPr>
      </w:pPr>
    </w:p>
    <w:p>
      <w:pPr>
        <w:jc w:val="both"/>
        <w:ind w:firstLine="312"/>
        <w:spacing w:after="0" w:line="234" w:lineRule="auto"/>
        <w:rPr>
          <w:sz w:val="20"/>
          <w:szCs w:val="20"/>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Board, directly or through its delegation of authority to the Committee, has the right to amend, alter, suspend, discontinue or cancel the Restricted Stock Unit, prospectively or retroactively; provided, that, no such amendment shall adversely affect the Recipient’s material rights under this Agreement without the Recipient’s consent</w:t>
      </w:r>
    </w:p>
    <w:p>
      <w:pPr>
        <w:spacing w:after="0" w:line="122" w:lineRule="exact"/>
        <w:rPr>
          <w:sz w:val="20"/>
          <w:szCs w:val="20"/>
          <w:color w:val="auto"/>
        </w:rPr>
      </w:pPr>
    </w:p>
    <w:p>
      <w:pPr>
        <w:jc w:val="both"/>
        <w:ind w:firstLine="312"/>
        <w:spacing w:after="0"/>
        <w:rPr>
          <w:sz w:val="20"/>
          <w:szCs w:val="20"/>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59" w:lineRule="exact"/>
        <w:rPr>
          <w:sz w:val="20"/>
          <w:szCs w:val="20"/>
          <w:color w:val="auto"/>
        </w:rPr>
      </w:pPr>
    </w:p>
    <w:p>
      <w:pPr>
        <w:jc w:val="both"/>
        <w:ind w:firstLine="312"/>
        <w:spacing w:after="0"/>
        <w:rPr>
          <w:sz w:val="20"/>
          <w:szCs w:val="20"/>
          <w:color w:val="auto"/>
        </w:rPr>
      </w:pP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The Recipient hereby acknowledges receipt of a copy of the Plan and this Agreement. The Recipient has read and understands the terms and provisions thereof, and accepts the Restricted Stock Units subject to all of the terms and conditions of the Plan and this Agreement. The Recipient acknowledges that there may be adverse tax consequences upon vesting of the Restricted Stock Unit or disposition of the underlying shares and that the Recipient should consult a tax advisor prior to such exercise or disposition.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5990590" cy="46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66" w:name="page167"/>
    <w:bookmarkEnd w:id="166"/>
    <w:p>
      <w:pPr>
        <w:ind w:left="34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ectPr>
          <w:pgSz w:w="11900" w:h="16838" w:orient="portrait"/>
          <w:cols w:equalWidth="0" w:num="1">
            <w:col w:w="9019"/>
          </w:cols>
          <w:pgMar w:left="1440" w:top="108" w:right="1440" w:bottom="1440" w:gutter="0" w:footer="0" w:header="0"/>
        </w:sectPr>
      </w:pPr>
    </w:p>
    <w:p>
      <w:pPr>
        <w:spacing w:after="0" w:line="3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READING INTERNATIONAL, INC.</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By_____________________</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 Ellen Cotter</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spacing w:after="0" w:line="2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RECIPIENT</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By_____________________</w:t>
      </w:r>
    </w:p>
    <w:p>
      <w:pPr>
        <w:spacing w:after="0" w:line="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986790</wp:posOffset>
            </wp:positionV>
            <wp:extent cx="5990590" cy="46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67" w:name="page168"/>
    <w:bookmarkEnd w:id="167"/>
    <w:p>
      <w:pPr>
        <w:ind w:left="2840"/>
        <w:spacing w:after="0"/>
        <w:rPr>
          <w:sz w:val="20"/>
          <w:szCs w:val="20"/>
          <w:color w:val="auto"/>
        </w:rPr>
      </w:pPr>
      <w:r>
        <w:rPr>
          <w:rFonts w:ascii="Times New Roman" w:cs="Times New Roman" w:eastAsia="Times New Roman" w:hAnsi="Times New Roman"/>
          <w:sz w:val="17"/>
          <w:szCs w:val="17"/>
          <w:b w:val="1"/>
          <w:bCs w:val="1"/>
          <w:color w:val="auto"/>
        </w:rPr>
        <w:t>RESTRICTED STOCK UNIT GRANT NOTICE</w:t>
      </w:r>
    </w:p>
    <w:p>
      <w:pPr>
        <w:ind w:left="4160"/>
        <w:spacing w:after="0" w:line="213" w:lineRule="auto"/>
        <w:rPr>
          <w:sz w:val="20"/>
          <w:szCs w:val="20"/>
          <w:color w:val="auto"/>
        </w:rPr>
      </w:pPr>
      <w:r>
        <w:rPr>
          <w:rFonts w:ascii="Times New Roman" w:cs="Times New Roman" w:eastAsia="Times New Roman" w:hAnsi="Times New Roman"/>
          <w:sz w:val="17"/>
          <w:szCs w:val="17"/>
          <w:b w:val="1"/>
          <w:bCs w:val="1"/>
          <w:color w:val="auto"/>
        </w:rPr>
        <w:t>UNDER THE</w:t>
      </w:r>
    </w:p>
    <w:p>
      <w:pPr>
        <w:ind w:left="3280"/>
        <w:spacing w:after="0" w:line="213" w:lineRule="auto"/>
        <w:rPr>
          <w:sz w:val="20"/>
          <w:szCs w:val="20"/>
          <w:color w:val="auto"/>
        </w:rPr>
      </w:pPr>
      <w:r>
        <w:rPr>
          <w:rFonts w:ascii="Times New Roman" w:cs="Times New Roman" w:eastAsia="Times New Roman" w:hAnsi="Times New Roman"/>
          <w:sz w:val="17"/>
          <w:szCs w:val="17"/>
          <w:b w:val="1"/>
          <w:bCs w:val="1"/>
          <w:color w:val="auto"/>
        </w:rPr>
        <w:t>READING INTERNATIONAL, INC.</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2010 STOCK INCENTIVE PLAN</w:t>
      </w:r>
    </w:p>
    <w:p>
      <w:pPr>
        <w:spacing w:after="0" w:line="305" w:lineRule="exact"/>
        <w:rPr>
          <w:sz w:val="20"/>
          <w:szCs w:val="20"/>
          <w:color w:val="auto"/>
        </w:rPr>
      </w:pPr>
    </w:p>
    <w:p>
      <w:pPr>
        <w:jc w:val="both"/>
        <w:ind w:right="20" w:firstLine="1041"/>
        <w:spacing w:after="0"/>
        <w:rPr>
          <w:sz w:val="20"/>
          <w:szCs w:val="20"/>
          <w:color w:val="auto"/>
        </w:rPr>
      </w:pPr>
      <w:r>
        <w:rPr>
          <w:rFonts w:ascii="Times New Roman" w:cs="Times New Roman" w:eastAsia="Times New Roman" w:hAnsi="Times New Roman"/>
          <w:sz w:val="17"/>
          <w:szCs w:val="17"/>
          <w:color w:val="auto"/>
        </w:rPr>
        <w:t>Reading International,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pursuant to its 2010 Stock Incentive Plan, as amended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hereby grants to the Recipient set forth below the number of Restricted Stock Units set forth below. The Restricted Stock Units are subject to all of the terms and conditions as set forth herein, in the Restricted Stock Unit Agreement (attached hereto), and in the Plan, all of which are incorporated herein in their entirety. Capitalized terms not otherwise defined herein shall have the meaning set forth in the Plan.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Recipient</w:t>
      </w:r>
      <w:r>
        <w:rPr>
          <w:rFonts w:ascii="Times New Roman" w:cs="Times New Roman" w:eastAsia="Times New Roman" w:hAnsi="Times New Roman"/>
          <w:sz w:val="17"/>
          <w:szCs w:val="17"/>
          <w:color w:val="auto"/>
        </w:rPr>
        <w: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Restricted Stock Units</w:t>
      </w:r>
      <w:r>
        <w:rPr>
          <w:rFonts w:ascii="Times New Roman" w:cs="Times New Roman" w:eastAsia="Times New Roman" w:hAnsi="Times New Roman"/>
          <w:sz w:val="17"/>
          <w:szCs w:val="17"/>
          <w:color w:val="auto"/>
        </w:rPr>
        <w:t>:</w:t>
      </w:r>
    </w:p>
    <w:p>
      <w:pPr>
        <w:sectPr>
          <w:pgSz w:w="11900" w:h="16838" w:orient="portrait"/>
          <w:cols w:equalWidth="0" w:num="1">
            <w:col w:w="9400"/>
          </w:cols>
          <w:pgMar w:left="1260" w:top="104" w:right="1239" w:bottom="1440" w:gutter="0" w:footer="0" w:header="0"/>
        </w:sect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20__</w:t>
      </w:r>
    </w:p>
    <w:p>
      <w:pPr>
        <w:spacing w:after="0" w:line="182" w:lineRule="exact"/>
        <w:rPr>
          <w:sz w:val="20"/>
          <w:szCs w:val="20"/>
          <w:color w:val="auto"/>
        </w:rPr>
      </w:pPr>
    </w:p>
    <w:p>
      <w:pPr>
        <w:sectPr>
          <w:pgSz w:w="11900" w:h="16838" w:orient="portrait"/>
          <w:cols w:equalWidth="0" w:num="2">
            <w:col w:w="2420" w:space="720"/>
            <w:col w:w="6260"/>
          </w:cols>
          <w:pgMar w:left="1260" w:top="104" w:right="1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34" w:lineRule="auto"/>
        <w:rPr>
          <w:sz w:val="20"/>
          <w:szCs w:val="20"/>
          <w:color w:val="auto"/>
        </w:rPr>
      </w:pPr>
      <w:r>
        <w:rPr>
          <w:rFonts w:ascii="Times New Roman" w:cs="Times New Roman" w:eastAsia="Times New Roman" w:hAnsi="Times New Roman"/>
          <w:sz w:val="17"/>
          <w:szCs w:val="17"/>
          <w:color w:val="auto"/>
        </w:rPr>
        <w:t>Describe Vesting Schedule; provided that the Recipient has not undergone a termination of his or her services as [an employee/consultant] at the time of the Vesting Date (or an earlier accelerating event)</w:t>
      </w:r>
    </w:p>
    <w:p>
      <w:pPr>
        <w:spacing w:after="0" w:line="153" w:lineRule="exact"/>
        <w:rPr>
          <w:sz w:val="20"/>
          <w:szCs w:val="20"/>
          <w:color w:val="auto"/>
        </w:rPr>
      </w:pPr>
    </w:p>
    <w:p>
      <w:pPr>
        <w:sectPr>
          <w:pgSz w:w="11900" w:h="16838" w:orient="portrait"/>
          <w:cols w:equalWidth="0" w:num="2">
            <w:col w:w="1900" w:space="720"/>
            <w:col w:w="6780"/>
          </w:cols>
          <w:pgMar w:left="1260" w:top="104" w:right="1239" w:bottom="1440" w:gutter="0" w:footer="0" w:header="0"/>
          <w:type w:val="continuous"/>
        </w:sectPr>
      </w:pPr>
    </w:p>
    <w:p>
      <w:pPr>
        <w:jc w:val="both"/>
        <w:ind w:right="20"/>
        <w:spacing w:after="0" w:line="229" w:lineRule="auto"/>
        <w:rPr>
          <w:sz w:val="20"/>
          <w:szCs w:val="20"/>
          <w:color w:val="auto"/>
        </w:rPr>
      </w:pPr>
      <w:r>
        <w:rPr>
          <w:rFonts w:ascii="Times New Roman" w:cs="Times New Roman" w:eastAsia="Times New Roman" w:hAnsi="Times New Roman"/>
          <w:sz w:val="17"/>
          <w:szCs w:val="17"/>
          <w:b w:val="1"/>
          <w:bCs w:val="1"/>
          <w:color w:val="auto"/>
        </w:rPr>
        <w:t>THE UNDERSIGNED RECIPIENT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Restricted Stock Unit Grant Notice is dated as of __________, 20__.</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Reading International, Inc.</w:t>
            </w:r>
          </w:p>
        </w:tc>
        <w:tc>
          <w:tcPr>
            <w:tcW w:w="616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“Recipient”</w:t>
            </w:r>
          </w:p>
        </w:tc>
      </w:tr>
      <w:tr>
        <w:trPr>
          <w:trHeight w:val="642"/>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________________________________</w:t>
            </w:r>
          </w:p>
        </w:tc>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By:</w:t>
            </w:r>
          </w:p>
        </w:tc>
      </w:tr>
      <w:tr>
        <w:trPr>
          <w:trHeight w:val="174"/>
        </w:trPr>
        <w:tc>
          <w:tcPr>
            <w:tcW w:w="324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Name: Ellen Cotter</w:t>
            </w:r>
          </w:p>
        </w:tc>
        <w:tc>
          <w:tcPr>
            <w:tcW w:w="6160" w:type="dxa"/>
            <w:vAlign w:val="bottom"/>
          </w:tcPr>
          <w:p>
            <w:pPr>
              <w:ind w:left="460"/>
              <w:spacing w:after="0" w:line="174" w:lineRule="exact"/>
              <w:rPr>
                <w:sz w:val="20"/>
                <w:szCs w:val="20"/>
                <w:color w:val="auto"/>
              </w:rPr>
            </w:pPr>
            <w:r>
              <w:rPr>
                <w:rFonts w:ascii="Times New Roman" w:cs="Times New Roman" w:eastAsia="Times New Roman" w:hAnsi="Times New Roman"/>
                <w:sz w:val="17"/>
                <w:szCs w:val="17"/>
                <w:color w:val="auto"/>
              </w:rPr>
              <w:t>Name:</w:t>
            </w: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923"/>
        </w:trPr>
        <w:tc>
          <w:tcPr>
            <w:tcW w:w="6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r>
        <w:trPr>
          <w:trHeight w:val="20"/>
        </w:trPr>
        <w:tc>
          <w:tcPr>
            <w:tcW w:w="660" w:type="dxa"/>
            <w:vAlign w:val="bottom"/>
            <w:tcBorders>
              <w:bottom w:val="single" w:sz="8" w:color="EEEEEE"/>
            </w:tcBorders>
          </w:tcPr>
          <w:p>
            <w:pPr>
              <w:spacing w:after="0" w:line="20" w:lineRule="exact"/>
              <w:rPr>
                <w:sz w:val="1"/>
                <w:szCs w:val="1"/>
                <w:color w:val="auto"/>
              </w:rPr>
            </w:pPr>
          </w:p>
        </w:tc>
        <w:tc>
          <w:tcPr>
            <w:tcW w:w="2580" w:type="dxa"/>
            <w:vAlign w:val="bottom"/>
            <w:tcBorders>
              <w:bottom w:val="single" w:sz="8" w:color="EEEEEE"/>
            </w:tcBorders>
          </w:tcPr>
          <w:p>
            <w:pPr>
              <w:spacing w:after="0" w:line="20" w:lineRule="exact"/>
              <w:rPr>
                <w:sz w:val="1"/>
                <w:szCs w:val="1"/>
                <w:color w:val="auto"/>
              </w:rPr>
            </w:pPr>
          </w:p>
        </w:tc>
        <w:tc>
          <w:tcPr>
            <w:tcW w:w="6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-33020</wp:posOffset>
            </wp:positionV>
            <wp:extent cx="32385" cy="46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32385" cy="46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400"/>
          </w:cols>
          <w:pgMar w:left="1260" w:top="104" w:right="1239" w:bottom="1440"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11"/>
        </w:trPr>
        <w:tc>
          <w:tcPr>
            <w:tcW w:w="5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READING INTERNATIONAL, INC. –LIST OF SUBSIDIARIES</w:t>
            </w: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0"/>
        </w:trPr>
        <w:tc>
          <w:tcPr>
            <w:tcW w:w="5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Subsidiary</w:t>
            </w:r>
          </w:p>
        </w:tc>
        <w:tc>
          <w:tcPr>
            <w:tcW w:w="38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Jurisdiction of Incorporation</w:t>
            </w:r>
          </w:p>
        </w:tc>
        <w:tc>
          <w:tcPr>
            <w:tcW w:w="20" w:type="dxa"/>
            <w:vAlign w:val="bottom"/>
          </w:tcPr>
          <w:p>
            <w:pPr>
              <w:spacing w:after="0"/>
              <w:rPr>
                <w:sz w:val="24"/>
                <w:szCs w:val="24"/>
                <w:color w:val="auto"/>
              </w:rPr>
            </w:pPr>
          </w:p>
        </w:tc>
      </w:tr>
      <w:tr>
        <w:trPr>
          <w:trHeight w:val="208"/>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A.C.N. 143 633 096 Pty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Australia</w:t>
            </w:r>
          </w:p>
        </w:tc>
        <w:tc>
          <w:tcPr>
            <w:tcW w:w="20" w:type="dxa"/>
            <w:vAlign w:val="bottom"/>
          </w:tcPr>
          <w:p>
            <w:pPr>
              <w:spacing w:after="0"/>
              <w:rPr>
                <w:sz w:val="18"/>
                <w:szCs w:val="18"/>
                <w:color w:val="auto"/>
              </w:rPr>
            </w:pPr>
          </w:p>
        </w:tc>
      </w:tr>
      <w:tr>
        <w:trPr>
          <w:trHeight w:val="209"/>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AHGP, Inc.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AHLP, Inc.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Angelika Film Centers,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Angelika Film Center Mosaic,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Angelika Film Centers (Dallas), Inc.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Texas</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Angelika Film Center Union Market,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Angelika Film Centers (Plano) LP</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Angelika Plano Beverage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Texas</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Angelika Plano Holdings,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Australia Country Cinemas Pty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Australia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Australian Equipment Supply Pty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Australia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Bayou Cinemas LP</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Bogart Holdings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New Zealand</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Burwood Developments Pty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Australia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Carmel Theatres,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Citadel Agriculture, Inc.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California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Citadel Cinemas, Inc.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Citadel Realty, Inc.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City Cinemas,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Consolidated Amusement Holdings,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Consolidated Cinema Services,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Consolidated Cinemas Kapolei,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Consolidated Entertainment,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Courtenay Car Park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New Zealand</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Craig Corporation</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Darnelle Enterprises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New Zealand</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Dimension Specialty, Inc.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Epping Cinemas Pty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Australia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Gaslamp Theatres,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Hope Street Hospitality,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Hotel Newmarket Pty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Australia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Kaahumanu Cinemas,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Kahala Cinema Company,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KMA Cinemas,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Liberty Live,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Liberty Theaters,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Liberty Theatricals,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Liberty Theatres Properties,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Minetta Live, LLC</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Nevada</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Movieland Cinemas (NZ)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New Zealand</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 Zealand Equipment Supply Limited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New Zealand</w:t>
            </w:r>
          </w:p>
        </w:tc>
        <w:tc>
          <w:tcPr>
            <w:tcW w:w="20" w:type="dxa"/>
            <w:vAlign w:val="bottom"/>
          </w:tcPr>
          <w:p>
            <w:pPr>
              <w:spacing w:after="0"/>
              <w:rPr>
                <w:sz w:val="18"/>
                <w:szCs w:val="18"/>
                <w:color w:val="auto"/>
              </w:rPr>
            </w:pPr>
          </w:p>
        </w:tc>
      </w:tr>
      <w:tr>
        <w:trPr>
          <w:trHeight w:val="217"/>
        </w:trPr>
        <w:tc>
          <w:tcPr>
            <w:tcW w:w="5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Newmarket Properties #3 Pty Ltd</w:t>
            </w:r>
          </w:p>
        </w:tc>
        <w:tc>
          <w:tcPr>
            <w:tcW w:w="38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Australia</w:t>
            </w:r>
          </w:p>
        </w:tc>
        <w:tc>
          <w:tcPr>
            <w:tcW w:w="20" w:type="dxa"/>
            <w:vAlign w:val="bottom"/>
          </w:tcPr>
          <w:p>
            <w:pPr>
              <w:spacing w:after="0"/>
              <w:rPr>
                <w:sz w:val="18"/>
                <w:szCs w:val="18"/>
                <w:color w:val="auto"/>
              </w:rPr>
            </w:pPr>
          </w:p>
        </w:tc>
      </w:tr>
      <w:tr>
        <w:trPr>
          <w:trHeight w:val="180"/>
        </w:trPr>
        <w:tc>
          <w:tcPr>
            <w:tcW w:w="5540" w:type="dxa"/>
            <w:vAlign w:val="bottom"/>
            <w:tcBorders>
              <w:bottom w:val="single" w:sz="8" w:color="9A9A9A"/>
            </w:tcBorders>
          </w:tcPr>
          <w:p>
            <w:pPr>
              <w:spacing w:after="0"/>
              <w:rPr>
                <w:sz w:val="15"/>
                <w:szCs w:val="15"/>
                <w:color w:val="auto"/>
              </w:rPr>
            </w:pPr>
          </w:p>
        </w:tc>
        <w:tc>
          <w:tcPr>
            <w:tcW w:w="3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r>
      <w:tr>
        <w:trPr>
          <w:trHeight w:val="20"/>
        </w:trPr>
        <w:tc>
          <w:tcPr>
            <w:tcW w:w="554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-33020</wp:posOffset>
            </wp:positionV>
            <wp:extent cx="32385" cy="46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32385" cy="46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8"/>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Newmarket Properties No. 2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Newmarket Properties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Orpheum Live,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Queenstown Land Holdings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RCPA LLC (fka Reading Company)</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Pennsylvania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RDI Employee Investment Fund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California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Arthouse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Auburn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Australia Leasing (E&amp;R)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Belmont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Beverages (California)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spacing w:after="0"/>
              <w:rPr>
                <w:sz w:val="18"/>
                <w:szCs w:val="18"/>
                <w:color w:val="auto"/>
              </w:rPr>
            </w:pP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28"/>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Burwood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Cannon Park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Capital Corporation</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Center Development Corporation</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Pennsylvania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Charlestown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Cinemas Courtenay Central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Cinemas Management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Cinemas NJ, Inc.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Cinemas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Cinemas Puerto Rico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Cinemas USA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Colac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Consolidated Holdings, Inc.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Consolidated Holdings (Hawaii), Inc.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Hawaii</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Courtenay Central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Dandenong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Dunedin Limited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Elizabeth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Entertainment Australia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Exhibition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Foundation,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Holdings, Inc.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International,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International Cinemas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International Services Company</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California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IP,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Licenses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Maitland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Malulani,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Management NZ Limited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Melton Pty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Murrieta Theater, LLC</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New Lynn Limited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New Zealand Ltd</w:t>
            </w:r>
          </w:p>
        </w:tc>
        <w:tc>
          <w:tcPr>
            <w:tcW w:w="456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New Zealand</w:t>
            </w:r>
          </w:p>
        </w:tc>
      </w:tr>
      <w:tr>
        <w:trPr>
          <w:trHeight w:val="180"/>
        </w:trPr>
        <w:tc>
          <w:tcPr>
            <w:tcW w:w="4840" w:type="dxa"/>
            <w:vAlign w:val="bottom"/>
            <w:tcBorders>
              <w:bottom w:val="single" w:sz="8" w:color="9A9A9A"/>
            </w:tcBorders>
          </w:tcPr>
          <w:p>
            <w:pPr>
              <w:spacing w:after="0"/>
              <w:rPr>
                <w:sz w:val="15"/>
                <w:szCs w:val="15"/>
                <w:color w:val="auto"/>
              </w:rPr>
            </w:pPr>
          </w:p>
        </w:tc>
        <w:tc>
          <w:tcPr>
            <w:tcW w:w="4560" w:type="dxa"/>
            <w:vAlign w:val="bottom"/>
            <w:tcBorders>
              <w:bottom w:val="single" w:sz="8" w:color="9A9A9A"/>
            </w:tcBorders>
          </w:tcPr>
          <w:p>
            <w:pPr>
              <w:spacing w:after="0"/>
              <w:rPr>
                <w:sz w:val="15"/>
                <w:szCs w:val="15"/>
                <w:color w:val="auto"/>
              </w:rPr>
            </w:pPr>
          </w:p>
        </w:tc>
      </w:tr>
      <w:tr>
        <w:trPr>
          <w:trHeight w:val="20"/>
        </w:trPr>
        <w:tc>
          <w:tcPr>
            <w:tcW w:w="4840" w:type="dxa"/>
            <w:vAlign w:val="bottom"/>
            <w:tcBorders>
              <w:bottom w:val="single" w:sz="8" w:color="EEEEEE"/>
            </w:tcBorders>
          </w:tcPr>
          <w:p>
            <w:pPr>
              <w:spacing w:after="0" w:line="20" w:lineRule="exact"/>
              <w:rPr>
                <w:sz w:val="1"/>
                <w:szCs w:val="1"/>
                <w:color w:val="auto"/>
              </w:rPr>
            </w:pPr>
          </w:p>
        </w:tc>
        <w:tc>
          <w:tcPr>
            <w:tcW w:w="4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-33020</wp:posOffset>
            </wp:positionV>
            <wp:extent cx="32385" cy="46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32385" cy="46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-4958715</wp:posOffset>
            </wp:positionV>
            <wp:extent cx="2493645" cy="1447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2493645" cy="144780"/>
                    </a:xfrm>
                    <a:prstGeom prst="rect">
                      <a:avLst/>
                    </a:prstGeom>
                    <a:noFill/>
                  </pic:spPr>
                </pic:pic>
              </a:graphicData>
            </a:graphic>
          </wp:anchor>
        </w:drawing>
      </w:r>
    </w:p>
    <w:p>
      <w:pPr>
        <w:sectPr>
          <w:pgSz w:w="11900" w:h="16838" w:orient="portrait"/>
          <w:cols w:equalWidth="0" w:num="1">
            <w:col w:w="9400"/>
          </w:cols>
          <w:pgMar w:left="1260" w:top="143" w:right="1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8"/>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Pacific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Productions,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Properties LLC (fka - GardenWalk Cinemas,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Properties Indooroopilly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Properties Lake Taupo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Properties Manukau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Properties New Zealand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Properties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Properties Taringa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Property Holdings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Queenstown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RREC LLC (Reading Real Estate Company)</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Restaurants NZ Limited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Rouse Hill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Royal George,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Delaware</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South City Square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Sunbury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Theaters, Inc.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Delaware</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Traralgon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Reading Wellington Properties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Rhodes Peninsula Cinema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Rialto Cinemas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Rialto Entertainment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Ronwood Investments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Rydal Equipment Co.</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Note Liquidation Company,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Sails Apartments Management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Shadow View Land and Farming,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Sutton Hill Properties,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Theatre At Legacy L.P.</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Texas</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Tobrooke Holdings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Trans-Pacific Finance Fund I,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Delaware</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Trenton-Princeton Traction Company</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New Jersey</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Twin Cities Cinemas, Inc.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Delaware</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Agricultural Investors,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Delaware</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Development, LLC</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Nevada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International Property Finance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Washington and Franklin Railway Company</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Westlakes Cinema Pty Ltd</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Wilmington and Northern Railroad Company</w:t>
            </w:r>
          </w:p>
        </w:tc>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Pennsylvania</w:t>
            </w:r>
          </w:p>
        </w:tc>
      </w:tr>
      <w:tr>
        <w:trPr>
          <w:trHeight w:val="397"/>
        </w:trPr>
        <w:tc>
          <w:tcPr>
            <w:tcW w:w="52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r>
        <w:trPr>
          <w:trHeight w:val="20"/>
        </w:trPr>
        <w:tc>
          <w:tcPr>
            <w:tcW w:w="5260" w:type="dxa"/>
            <w:vAlign w:val="bottom"/>
            <w:tcBorders>
              <w:bottom w:val="single" w:sz="8" w:color="EEEEEE"/>
            </w:tcBorders>
          </w:tcPr>
          <w:p>
            <w:pPr>
              <w:spacing w:after="0" w:line="20" w:lineRule="exact"/>
              <w:rPr>
                <w:sz w:val="1"/>
                <w:szCs w:val="1"/>
                <w:color w:val="auto"/>
              </w:rPr>
            </w:pPr>
          </w:p>
        </w:tc>
        <w:tc>
          <w:tcPr>
            <w:tcW w:w="4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-33020</wp:posOffset>
            </wp:positionV>
            <wp:extent cx="32385" cy="46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32385" cy="463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32385" cy="463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32385" cy="46355"/>
                    </a:xfrm>
                    <a:prstGeom prst="rect">
                      <a:avLst/>
                    </a:prstGeom>
                    <a:noFill/>
                  </pic:spPr>
                </pic:pic>
              </a:graphicData>
            </a:graphic>
          </wp:anchor>
        </w:drawing>
      </w:r>
    </w:p>
    <w:p>
      <w:pPr>
        <w:sectPr>
          <w:pgSz w:w="11900" w:h="16838" w:orient="portrait"/>
          <w:cols w:equalWidth="0" w:num="1">
            <w:col w:w="9400"/>
          </w:cols>
          <w:pgMar w:left="1260" w:top="143" w:right="1239" w:bottom="1440" w:gutter="0" w:footer="0" w:header="0"/>
        </w:sectPr>
      </w:pPr>
    </w:p>
    <w:bookmarkStart w:id="171" w:name="page172"/>
    <w:bookmarkEnd w:id="171"/>
    <w:p>
      <w:pPr>
        <w:jc w:val="center"/>
        <w:ind w:right="-39"/>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20"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6"/>
          <w:szCs w:val="16"/>
          <w:color w:val="auto"/>
        </w:rPr>
        <w:t>We have issued our reports dated March 15, 2018 with respect to the consolidated financial statements and internal control over financial reporting in the Annual Report of Reading International, Inc. on Form 10-K for the year ended December 31, 2017. We consent to the incorporation by reference of the said reports in the Registration Statements of Reading International, Inc. on Forms S-8 (File No. 333-36277, File No. 333-53684, File No. 333-112069, and File No. 333-167101).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 Angeles, CA</w:t>
      </w:r>
    </w:p>
    <w:p>
      <w:pPr>
        <w:spacing w:after="0"/>
        <w:rPr>
          <w:sz w:val="20"/>
          <w:szCs w:val="20"/>
          <w:color w:val="auto"/>
        </w:rPr>
      </w:pPr>
      <w:r>
        <w:rPr>
          <w:rFonts w:ascii="Times New Roman" w:cs="Times New Roman" w:eastAsia="Times New Roman" w:hAnsi="Times New Roman"/>
          <w:sz w:val="16"/>
          <w:szCs w:val="16"/>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5990590" cy="46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40"/>
          </w:cols>
          <w:pgMar w:left="1260" w:top="110" w:right="12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5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 OF THE SARBANES-OXLEY ACT OF 2002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Ellen M. Cotter, certify that:</w:t>
      </w:r>
    </w:p>
    <w:p>
      <w:pPr>
        <w:spacing w:after="0" w:line="132" w:lineRule="exact"/>
        <w:rPr>
          <w:sz w:val="20"/>
          <w:szCs w:val="20"/>
          <w:color w:val="auto"/>
        </w:rPr>
      </w:pPr>
    </w:p>
    <w:p>
      <w:pPr>
        <w:ind w:left="260" w:hanging="252"/>
        <w:spacing w:after="0"/>
        <w:tabs>
          <w:tab w:leader="none" w:pos="2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10-K of Reading International, Inc.;</w:t>
      </w:r>
    </w:p>
    <w:p>
      <w:pPr>
        <w:spacing w:after="0" w:line="121" w:lineRule="exact"/>
        <w:rPr>
          <w:rFonts w:ascii="Times New Roman" w:cs="Times New Roman" w:eastAsia="Times New Roman" w:hAnsi="Times New Roman"/>
          <w:sz w:val="14"/>
          <w:szCs w:val="14"/>
          <w:color w:val="auto"/>
        </w:rPr>
      </w:pPr>
    </w:p>
    <w:p>
      <w:pPr>
        <w:ind w:left="260" w:hanging="252"/>
        <w:spacing w:after="0" w:line="251" w:lineRule="auto"/>
        <w:tabs>
          <w:tab w:leader="none" w:pos="2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Times New Roman" w:cs="Times New Roman" w:eastAsia="Times New Roman" w:hAnsi="Times New Roman"/>
          <w:sz w:val="14"/>
          <w:szCs w:val="14"/>
          <w:color w:val="auto"/>
        </w:rPr>
      </w:pPr>
    </w:p>
    <w:p>
      <w:pPr>
        <w:ind w:left="260" w:hanging="252"/>
        <w:spacing w:after="0" w:line="251" w:lineRule="auto"/>
        <w:tabs>
          <w:tab w:leader="none" w:pos="2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Times New Roman" w:cs="Times New Roman" w:eastAsia="Times New Roman" w:hAnsi="Times New Roman"/>
          <w:sz w:val="14"/>
          <w:szCs w:val="14"/>
          <w:color w:val="auto"/>
        </w:rPr>
      </w:pPr>
    </w:p>
    <w:p>
      <w:pPr>
        <w:jc w:val="both"/>
        <w:ind w:left="260" w:hanging="252"/>
        <w:spacing w:after="0" w:line="233" w:lineRule="auto"/>
        <w:tabs>
          <w:tab w:leader="none" w:pos="2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jc w:val="both"/>
        <w:ind w:left="520" w:hanging="252"/>
        <w:spacing w:after="0" w:line="233" w:lineRule="auto"/>
        <w:tabs>
          <w:tab w:leader="none" w:pos="5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4"/>
          <w:szCs w:val="14"/>
          <w:color w:val="auto"/>
        </w:rPr>
      </w:pPr>
    </w:p>
    <w:p>
      <w:pPr>
        <w:jc w:val="both"/>
        <w:ind w:left="520" w:hanging="252"/>
        <w:spacing w:after="0" w:line="233" w:lineRule="auto"/>
        <w:tabs>
          <w:tab w:leader="none" w:pos="5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4"/>
          <w:szCs w:val="14"/>
          <w:color w:val="auto"/>
        </w:rPr>
      </w:pPr>
    </w:p>
    <w:p>
      <w:pPr>
        <w:ind w:left="520" w:hanging="252"/>
        <w:spacing w:after="0" w:line="251" w:lineRule="auto"/>
        <w:tabs>
          <w:tab w:leader="none" w:pos="5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4"/>
          <w:szCs w:val="14"/>
          <w:color w:val="auto"/>
        </w:rPr>
      </w:pPr>
    </w:p>
    <w:p>
      <w:pPr>
        <w:jc w:val="both"/>
        <w:ind w:left="520" w:hanging="252"/>
        <w:spacing w:after="0" w:line="233" w:lineRule="auto"/>
        <w:tabs>
          <w:tab w:leader="none" w:pos="5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left="260" w:hanging="252"/>
        <w:spacing w:after="0" w:line="251" w:lineRule="auto"/>
        <w:tabs>
          <w:tab w:leader="none" w:pos="2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6" w:lineRule="exact"/>
        <w:rPr>
          <w:rFonts w:ascii="Times New Roman" w:cs="Times New Roman" w:eastAsia="Times New Roman" w:hAnsi="Times New Roman"/>
          <w:sz w:val="14"/>
          <w:szCs w:val="14"/>
          <w:color w:val="auto"/>
        </w:rPr>
      </w:pPr>
    </w:p>
    <w:p>
      <w:pPr>
        <w:ind w:left="520" w:hanging="252"/>
        <w:spacing w:after="0" w:line="251" w:lineRule="auto"/>
        <w:tabs>
          <w:tab w:leader="none" w:pos="5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4"/>
          <w:szCs w:val="14"/>
          <w:color w:val="auto"/>
        </w:rPr>
      </w:pPr>
    </w:p>
    <w:p>
      <w:pPr>
        <w:ind w:left="520" w:hanging="252"/>
        <w:spacing w:after="0" w:line="251" w:lineRule="auto"/>
        <w:tabs>
          <w:tab w:leader="none" w:pos="5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Ellen M. Cotter</w:t>
      </w:r>
    </w:p>
    <w:p>
      <w:pPr>
        <w:spacing w:after="0" w:line="207" w:lineRule="auto"/>
        <w:rPr>
          <w:sz w:val="20"/>
          <w:szCs w:val="20"/>
          <w:color w:val="auto"/>
        </w:rPr>
      </w:pPr>
      <w:r>
        <w:rPr>
          <w:rFonts w:ascii="Times New Roman" w:cs="Times New Roman" w:eastAsia="Times New Roman" w:hAnsi="Times New Roman"/>
          <w:sz w:val="14"/>
          <w:szCs w:val="14"/>
          <w:color w:val="auto"/>
        </w:rPr>
        <w:t>Ellen M. Cotter</w:t>
      </w:r>
    </w:p>
    <w:p>
      <w:pPr>
        <w:spacing w:after="0" w:line="198" w:lineRule="auto"/>
        <w:rPr>
          <w:sz w:val="20"/>
          <w:szCs w:val="20"/>
          <w:color w:val="auto"/>
        </w:rPr>
      </w:pPr>
      <w:r>
        <w:rPr>
          <w:rFonts w:ascii="Times New Roman" w:cs="Times New Roman" w:eastAsia="Times New Roman" w:hAnsi="Times New Roman"/>
          <w:sz w:val="16"/>
          <w:szCs w:val="16"/>
          <w:color w:val="auto"/>
        </w:rPr>
        <w:t>President and Chief Executive Officer</w:t>
      </w:r>
    </w:p>
    <w:p>
      <w:pP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5990590" cy="46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12" w:right="125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5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 OF THE SARBANES-OXLEY ACT OF 2002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Devasis Ghose, certify that:</w:t>
      </w:r>
    </w:p>
    <w:p>
      <w:pPr>
        <w:spacing w:after="0" w:line="132" w:lineRule="exact"/>
        <w:rPr>
          <w:sz w:val="20"/>
          <w:szCs w:val="20"/>
          <w:color w:val="auto"/>
        </w:rPr>
      </w:pPr>
    </w:p>
    <w:p>
      <w:pPr>
        <w:ind w:left="260" w:hanging="252"/>
        <w:spacing w:after="0"/>
        <w:tabs>
          <w:tab w:leader="none" w:pos="2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10-K of Reading International, Inc.;</w:t>
      </w:r>
    </w:p>
    <w:p>
      <w:pPr>
        <w:spacing w:after="0" w:line="121" w:lineRule="exact"/>
        <w:rPr>
          <w:rFonts w:ascii="Times New Roman" w:cs="Times New Roman" w:eastAsia="Times New Roman" w:hAnsi="Times New Roman"/>
          <w:sz w:val="14"/>
          <w:szCs w:val="14"/>
          <w:color w:val="auto"/>
        </w:rPr>
      </w:pPr>
    </w:p>
    <w:p>
      <w:pPr>
        <w:ind w:left="260" w:hanging="252"/>
        <w:spacing w:after="0" w:line="251" w:lineRule="auto"/>
        <w:tabs>
          <w:tab w:leader="none" w:pos="2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Times New Roman" w:cs="Times New Roman" w:eastAsia="Times New Roman" w:hAnsi="Times New Roman"/>
          <w:sz w:val="14"/>
          <w:szCs w:val="14"/>
          <w:color w:val="auto"/>
        </w:rPr>
      </w:pPr>
    </w:p>
    <w:p>
      <w:pPr>
        <w:ind w:left="260" w:hanging="252"/>
        <w:spacing w:after="0" w:line="251" w:lineRule="auto"/>
        <w:tabs>
          <w:tab w:leader="none" w:pos="2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Times New Roman" w:cs="Times New Roman" w:eastAsia="Times New Roman" w:hAnsi="Times New Roman"/>
          <w:sz w:val="14"/>
          <w:szCs w:val="14"/>
          <w:color w:val="auto"/>
        </w:rPr>
      </w:pPr>
    </w:p>
    <w:p>
      <w:pPr>
        <w:jc w:val="both"/>
        <w:ind w:left="260" w:hanging="252"/>
        <w:spacing w:after="0" w:line="233" w:lineRule="auto"/>
        <w:tabs>
          <w:tab w:leader="none" w:pos="2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jc w:val="both"/>
        <w:ind w:left="520" w:hanging="252"/>
        <w:spacing w:after="0" w:line="233" w:lineRule="auto"/>
        <w:tabs>
          <w:tab w:leader="none" w:pos="5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4"/>
          <w:szCs w:val="14"/>
          <w:color w:val="auto"/>
        </w:rPr>
      </w:pPr>
    </w:p>
    <w:p>
      <w:pPr>
        <w:jc w:val="both"/>
        <w:ind w:left="520" w:hanging="252"/>
        <w:spacing w:after="0" w:line="233" w:lineRule="auto"/>
        <w:tabs>
          <w:tab w:leader="none" w:pos="5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4"/>
          <w:szCs w:val="14"/>
          <w:color w:val="auto"/>
        </w:rPr>
      </w:pPr>
    </w:p>
    <w:p>
      <w:pPr>
        <w:ind w:left="520" w:hanging="252"/>
        <w:spacing w:after="0" w:line="251" w:lineRule="auto"/>
        <w:tabs>
          <w:tab w:leader="none" w:pos="5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4"/>
          <w:szCs w:val="14"/>
          <w:color w:val="auto"/>
        </w:rPr>
      </w:pPr>
    </w:p>
    <w:p>
      <w:pPr>
        <w:jc w:val="both"/>
        <w:ind w:left="520" w:hanging="252"/>
        <w:spacing w:after="0" w:line="233" w:lineRule="auto"/>
        <w:tabs>
          <w:tab w:leader="none" w:pos="5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left="260" w:hanging="252"/>
        <w:spacing w:after="0" w:line="251" w:lineRule="auto"/>
        <w:tabs>
          <w:tab w:leader="none" w:pos="2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6" w:lineRule="exact"/>
        <w:rPr>
          <w:rFonts w:ascii="Times New Roman" w:cs="Times New Roman" w:eastAsia="Times New Roman" w:hAnsi="Times New Roman"/>
          <w:sz w:val="14"/>
          <w:szCs w:val="14"/>
          <w:color w:val="auto"/>
        </w:rPr>
      </w:pPr>
    </w:p>
    <w:p>
      <w:pPr>
        <w:ind w:left="520" w:hanging="252"/>
        <w:spacing w:after="0" w:line="251" w:lineRule="auto"/>
        <w:tabs>
          <w:tab w:leader="none" w:pos="5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4"/>
          <w:szCs w:val="14"/>
          <w:color w:val="auto"/>
        </w:rPr>
      </w:pPr>
    </w:p>
    <w:p>
      <w:pPr>
        <w:ind w:left="520" w:hanging="252"/>
        <w:spacing w:after="0" w:line="251" w:lineRule="auto"/>
        <w:tabs>
          <w:tab w:leader="none" w:pos="52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Devasis Ghose</w:t>
      </w:r>
    </w:p>
    <w:p>
      <w:pPr>
        <w:spacing w:after="0" w:line="210" w:lineRule="auto"/>
        <w:rPr>
          <w:sz w:val="20"/>
          <w:szCs w:val="20"/>
          <w:color w:val="auto"/>
        </w:rPr>
      </w:pPr>
      <w:r>
        <w:rPr>
          <w:rFonts w:ascii="Times New Roman" w:cs="Times New Roman" w:eastAsia="Times New Roman" w:hAnsi="Times New Roman"/>
          <w:sz w:val="14"/>
          <w:szCs w:val="14"/>
          <w:color w:val="auto"/>
        </w:rPr>
        <w:t>Devasis Ghose</w:t>
      </w:r>
    </w:p>
    <w:p>
      <w:pPr>
        <w:spacing w:after="0" w:line="210" w:lineRule="auto"/>
        <w:rPr>
          <w:sz w:val="20"/>
          <w:szCs w:val="20"/>
          <w:color w:val="auto"/>
        </w:rPr>
      </w:pPr>
      <w:r>
        <w:rPr>
          <w:rFonts w:ascii="Times New Roman" w:cs="Times New Roman" w:eastAsia="Times New Roman" w:hAnsi="Times New Roman"/>
          <w:sz w:val="14"/>
          <w:szCs w:val="14"/>
          <w:color w:val="auto"/>
        </w:rPr>
        <w:t>Executive Vice President &amp; Chief Financial Officer</w:t>
      </w:r>
    </w:p>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5990590" cy="46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12" w:right="125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906 OF THE SARBANES-OXLEY ACT OF 2002</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58" w:lineRule="exact"/>
        <w:rPr>
          <w:sz w:val="20"/>
          <w:szCs w:val="20"/>
          <w:color w:val="auto"/>
        </w:rPr>
      </w:pPr>
    </w:p>
    <w:p>
      <w:pPr>
        <w:jc w:val="both"/>
        <w:ind w:firstLine="521"/>
        <w:spacing w:after="0" w:line="233" w:lineRule="auto"/>
        <w:rPr>
          <w:sz w:val="20"/>
          <w:szCs w:val="20"/>
          <w:color w:val="auto"/>
        </w:rPr>
      </w:pPr>
      <w:r>
        <w:rPr>
          <w:rFonts w:ascii="Times New Roman" w:cs="Times New Roman" w:eastAsia="Times New Roman" w:hAnsi="Times New Roman"/>
          <w:sz w:val="14"/>
          <w:szCs w:val="14"/>
          <w:color w:val="auto"/>
        </w:rPr>
        <w:t>In connection with the accompanying Annual Report of Reading International, Inc. (the “Company”) on Form 10-K for the fiscal year ended December 31, 2017 (the “Report”), I, Ellen M. Cotter, Chief Executive Officer of the Company, certify, pursuant to 18 U.S.C. §1350, as adopted pursuant to §906 of the Sarbanes-Oxley Act of 2002, that:</w:t>
      </w:r>
    </w:p>
    <w:p>
      <w:pPr>
        <w:spacing w:after="0" w:line="95" w:lineRule="exact"/>
        <w:rPr>
          <w:sz w:val="20"/>
          <w:szCs w:val="20"/>
          <w:color w:val="auto"/>
        </w:rPr>
      </w:pPr>
    </w:p>
    <w:p>
      <w:pPr>
        <w:ind w:left="520" w:hanging="252"/>
        <w:spacing w:after="0"/>
        <w:tabs>
          <w:tab w:leader="none" w:pos="5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of the Securities Exchange Act of 1934; and</w:t>
      </w:r>
    </w:p>
    <w:p>
      <w:pPr>
        <w:spacing w:after="0" w:line="121"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Ellen M. Cotter</w:t>
      </w:r>
    </w:p>
    <w:p>
      <w:pPr>
        <w:spacing w:after="0" w:line="207" w:lineRule="auto"/>
        <w:rPr>
          <w:sz w:val="20"/>
          <w:szCs w:val="20"/>
          <w:color w:val="auto"/>
        </w:rPr>
      </w:pPr>
      <w:r>
        <w:rPr>
          <w:rFonts w:ascii="Times New Roman" w:cs="Times New Roman" w:eastAsia="Times New Roman" w:hAnsi="Times New Roman"/>
          <w:sz w:val="14"/>
          <w:szCs w:val="14"/>
          <w:color w:val="auto"/>
        </w:rPr>
        <w:t>Ellen M. Cotter</w:t>
      </w:r>
    </w:p>
    <w:p>
      <w:pPr>
        <w:spacing w:after="0" w:line="198" w:lineRule="auto"/>
        <w:rPr>
          <w:sz w:val="20"/>
          <w:szCs w:val="20"/>
          <w:color w:val="auto"/>
        </w:rPr>
      </w:pPr>
      <w:r>
        <w:rPr>
          <w:rFonts w:ascii="Times New Roman" w:cs="Times New Roman" w:eastAsia="Times New Roman" w:hAnsi="Times New Roman"/>
          <w:sz w:val="16"/>
          <w:szCs w:val="16"/>
          <w:color w:val="auto"/>
        </w:rPr>
        <w:t>President and Chief Executive Officer</w:t>
      </w:r>
    </w:p>
    <w:p>
      <w:pP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5990590" cy="46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p>
      <w:pPr>
        <w:sectPr>
          <w:pgSz w:w="11900" w:h="16838" w:orient="portrait"/>
          <w:cols w:equalWidth="0" w:num="1">
            <w:col w:w="9380"/>
          </w:cols>
          <w:pgMar w:left="1260" w:top="112" w:right="125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906 OF THE SARBANES-OXLEY ACT OF 2002</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58" w:lineRule="exact"/>
        <w:rPr>
          <w:sz w:val="20"/>
          <w:szCs w:val="20"/>
          <w:color w:val="auto"/>
        </w:rPr>
      </w:pPr>
    </w:p>
    <w:p>
      <w:pPr>
        <w:jc w:val="both"/>
        <w:ind w:firstLine="521"/>
        <w:spacing w:after="0" w:line="233" w:lineRule="auto"/>
        <w:rPr>
          <w:sz w:val="20"/>
          <w:szCs w:val="20"/>
          <w:color w:val="auto"/>
        </w:rPr>
      </w:pPr>
      <w:r>
        <w:rPr>
          <w:rFonts w:ascii="Times New Roman" w:cs="Times New Roman" w:eastAsia="Times New Roman" w:hAnsi="Times New Roman"/>
          <w:sz w:val="14"/>
          <w:szCs w:val="14"/>
          <w:color w:val="auto"/>
        </w:rPr>
        <w:t>In connection with the accompanying Annual Report of Reading International, Inc. (the “Company”) on Form 10-K for the fiscal year ended December 31, 2017 (the “Report”), I, Devasis Ghose, Chief Financial Officer of the Company, certify, pursuant to 18 U.S.C. §1350, as adopted pursuant to §906 of the Sarbanes-Oxley Act of 2002, that:</w:t>
      </w:r>
    </w:p>
    <w:p>
      <w:pPr>
        <w:spacing w:after="0" w:line="95" w:lineRule="exact"/>
        <w:rPr>
          <w:sz w:val="20"/>
          <w:szCs w:val="20"/>
          <w:color w:val="auto"/>
        </w:rPr>
      </w:pPr>
    </w:p>
    <w:p>
      <w:pPr>
        <w:ind w:left="520" w:hanging="252"/>
        <w:spacing w:after="0"/>
        <w:tabs>
          <w:tab w:leader="none" w:pos="5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of the Securities Exchange Act of 1934; and</w:t>
      </w:r>
    </w:p>
    <w:p>
      <w:pPr>
        <w:spacing w:after="0" w:line="121"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Devasis Ghose</w:t>
      </w:r>
    </w:p>
    <w:p>
      <w:pPr>
        <w:spacing w:after="0" w:line="210" w:lineRule="auto"/>
        <w:rPr>
          <w:sz w:val="20"/>
          <w:szCs w:val="20"/>
          <w:color w:val="auto"/>
        </w:rPr>
      </w:pPr>
      <w:r>
        <w:rPr>
          <w:rFonts w:ascii="Times New Roman" w:cs="Times New Roman" w:eastAsia="Times New Roman" w:hAnsi="Times New Roman"/>
          <w:sz w:val="14"/>
          <w:szCs w:val="14"/>
          <w:color w:val="auto"/>
        </w:rPr>
        <w:t>Devasis Ghose</w:t>
      </w:r>
    </w:p>
    <w:p>
      <w:pPr>
        <w:spacing w:after="0" w:line="210" w:lineRule="auto"/>
        <w:rPr>
          <w:sz w:val="20"/>
          <w:szCs w:val="20"/>
          <w:color w:val="auto"/>
        </w:rPr>
      </w:pPr>
      <w:r>
        <w:rPr>
          <w:rFonts w:ascii="Times New Roman" w:cs="Times New Roman" w:eastAsia="Times New Roman" w:hAnsi="Times New Roman"/>
          <w:sz w:val="14"/>
          <w:szCs w:val="14"/>
          <w:color w:val="auto"/>
        </w:rPr>
        <w:t>Executive Vice President &amp; Chief Financial Officer</w:t>
      </w:r>
    </w:p>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5990590" cy="46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5990590" cy="46355"/>
                    </a:xfrm>
                    <a:prstGeom prst="rect">
                      <a:avLst/>
                    </a:prstGeom>
                    <a:noFill/>
                  </pic:spPr>
                </pic:pic>
              </a:graphicData>
            </a:graphic>
          </wp:anchor>
        </w:drawing>
      </w:r>
    </w:p>
    <w:sectPr>
      <w:pgSz w:w="11900" w:h="16838" w:orient="portrait"/>
      <w:cols w:equalWidth="0" w:num="1">
        <w:col w:w="9380"/>
      </w:cols>
      <w:pgMar w:left="1260" w:top="112"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lvl w:ilvl="1">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1)"/>
      <w:numFmt w:val="decimal"/>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lvl w:ilvl="1">
      <w:lvlJc w:val="left"/>
      <w:lvlText w:val="o"/>
      <w:numFmt w:val="bullet"/>
      <w:start w:val="1"/>
    </w:lvl>
  </w:abstractNum>
  <w:abstractNum w:abstractNumId="11">
    <w:nsid w:val="42963E5A"/>
    <w:multiLevelType w:val="hybridMultilevel"/>
    <w:lvl w:ilvl="0">
      <w:lvlJc w:val="left"/>
      <w:lvlText w:val="o"/>
      <w:numFmt w:val="bullet"/>
      <w:start w:val="1"/>
    </w:lvl>
  </w:abstractNum>
  <w:abstractNum w:abstractNumId="12">
    <w:nsid w:val="A0382C5"/>
    <w:multiLevelType w:val="hybridMultilevel"/>
    <w:lvl w:ilvl="0">
      <w:lvlJc w:val="left"/>
      <w:lvlText w:val="\endash "/>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1."/>
      <w:numFmt w:val="lowerLetter"/>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1)"/>
      <w:numFmt w:val="decimal"/>
      <w:start w:val="1"/>
    </w:lvl>
  </w:abstractNum>
  <w:abstractNum w:abstractNumId="21">
    <w:nsid w:val="7FFFCA11"/>
    <w:multiLevelType w:val="hybridMultilevel"/>
    <w:lvl w:ilvl="0">
      <w:lvlJc w:val="left"/>
      <w:lvlText w:val="(%1)"/>
      <w:numFmt w:val="decimal"/>
      <w:start w:val="1"/>
    </w:lvl>
  </w:abstractNum>
  <w:abstractNum w:abstractNumId="22">
    <w:nsid w:val="1A27709E"/>
    <w:multiLevelType w:val="hybridMultilevel"/>
    <w:lvl w:ilvl="0">
      <w:lvlJc w:val="left"/>
      <w:lvlText w:val="(%1)"/>
      <w:numFmt w:val="decimal"/>
      <w:start w:val="4"/>
    </w:lvl>
  </w:abstractNum>
  <w:abstractNum w:abstractNumId="23">
    <w:nsid w:val="71EA1109"/>
    <w:multiLevelType w:val="hybridMultilevel"/>
    <w:lvl w:ilvl="0">
      <w:lvlJc w:val="left"/>
      <w:lvlText w:val="(%1)"/>
      <w:numFmt w:val="decimal"/>
      <w:start w:val="1"/>
    </w:lvl>
  </w:abstractNum>
  <w:abstractNum w:abstractNumId="24">
    <w:nsid w:val="100F59DC"/>
    <w:multiLevelType w:val="hybridMultilevel"/>
    <w:lvl w:ilvl="0">
      <w:lvlJc w:val="left"/>
      <w:lvlText w:val="(%1)"/>
      <w:numFmt w:val="decimal"/>
      <w:start w:val="2"/>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1)"/>
      <w:numFmt w:val="decimal"/>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1)"/>
      <w:numFmt w:val="decimal"/>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1)"/>
      <w:numFmt w:val="lowerRoman"/>
      <w:start w:val="3"/>
    </w:lvl>
  </w:abstractNum>
  <w:abstractNum w:abstractNumId="48">
    <w:nsid w:val="7055A5F5"/>
    <w:multiLevelType w:val="hybridMultilevel"/>
    <w:lvl w:ilvl="0">
      <w:lvlJc w:val="left"/>
      <w:lvlText w:val="(%1)"/>
      <w:numFmt w:val="lowerRoman"/>
      <w:start w:val="1"/>
    </w:lvl>
    <w:lvl w:ilvl="1">
      <w:lvlJc w:val="left"/>
      <w:lvlText w:val="\endash "/>
      <w:numFmt w:val="bullet"/>
      <w:start w:val="1"/>
    </w:lvl>
  </w:abstractNum>
  <w:abstractNum w:abstractNumId="49">
    <w:nsid w:val="5FB8370B"/>
    <w:multiLevelType w:val="hybridMultilevel"/>
    <w:lvl w:ilvl="0">
      <w:lvlJc w:val="left"/>
      <w:lvlText w:val="(%1)"/>
      <w:numFmt w:val="lowerRoman"/>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1)"/>
      <w:numFmt w:val="decimal"/>
      <w:start w:val="3"/>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1)"/>
      <w:numFmt w:val="decimal"/>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1)"/>
      <w:numFmt w:val="decimal"/>
      <w:start w:val="1"/>
    </w:lvl>
  </w:abstractNum>
  <w:abstractNum w:abstractNumId="57">
    <w:nsid w:val="7D5E18F8"/>
    <w:multiLevelType w:val="hybridMultilevel"/>
    <w:lvl w:ilvl="0">
      <w:lvlJc w:val="left"/>
      <w:lvlText w:val="(%1)"/>
      <w:numFmt w:val="decimal"/>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1)"/>
      <w:numFmt w:val="lowerRoman"/>
      <w:start w:val="1"/>
    </w:lvl>
  </w:abstractNum>
  <w:abstractNum w:abstractNumId="61">
    <w:nsid w:val="555C55B5"/>
    <w:multiLevelType w:val="hybridMultilevel"/>
    <w:lvl w:ilvl="0">
      <w:lvlJc w:val="left"/>
      <w:lvlText w:val="(%1)"/>
      <w:numFmt w:val="lowerRoman"/>
      <w:start w:val="1"/>
    </w:lvl>
  </w:abstractNum>
  <w:abstractNum w:abstractNumId="62">
    <w:nsid w:val="3FA62ACA"/>
    <w:multiLevelType w:val="hybridMultilevel"/>
    <w:lvl w:ilvl="0">
      <w:lvlJc w:val="left"/>
      <w:lvlText w:val="(%1)"/>
      <w:numFmt w:val="lowerRoman"/>
      <w:start w:val="1"/>
    </w:lvl>
  </w:abstractNum>
  <w:abstractNum w:abstractNumId="63">
    <w:nsid w:val="14FCE74E"/>
    <w:multiLevelType w:val="hybridMultilevel"/>
    <w:lvl w:ilvl="0">
      <w:lvlJc w:val="left"/>
      <w:lvlText w:val="(%1)"/>
      <w:numFmt w:val="lowerRoman"/>
      <w:start w:val="1"/>
    </w:lvl>
  </w:abstractNum>
  <w:abstractNum w:abstractNumId="64">
    <w:nsid w:val="6A3DD3E8"/>
    <w:multiLevelType w:val="hybridMultilevel"/>
    <w:lvl w:ilvl="0">
      <w:lvlJc w:val="left"/>
      <w:lvlText w:val="(%1)"/>
      <w:numFmt w:val="lowerRoman"/>
      <w:start w:val="1"/>
    </w:lvl>
    <w:lvl w:ilvl="1">
      <w:lvlJc w:val="left"/>
      <w:lvlText w:val="·"/>
      <w:numFmt w:val="bullet"/>
      <w:start w:val="1"/>
    </w:lvl>
  </w:abstractNum>
  <w:abstractNum w:abstractNumId="65">
    <w:nsid w:val="71C91298"/>
    <w:multiLevelType w:val="hybridMultilevel"/>
    <w:lvl w:ilvl="0">
      <w:lvlJc w:val="left"/>
      <w:lvlText w:val="(%1)"/>
      <w:numFmt w:val="lowerRoman"/>
      <w:start w:val="1"/>
    </w:lvl>
  </w:abstractNum>
  <w:abstractNum w:abstractNumId="66">
    <w:nsid w:val="9DAF632"/>
    <w:multiLevelType w:val="hybridMultilevel"/>
    <w:lvl w:ilvl="0">
      <w:lvlJc w:val="left"/>
      <w:lvlText w:val="(%1)"/>
      <w:numFmt w:val="lowerRoman"/>
      <w:start w:val="1"/>
    </w:lvl>
    <w:lvl w:ilvl="1">
      <w:lvlJc w:val="left"/>
      <w:lvlText w:val="·"/>
      <w:numFmt w:val="bullet"/>
      <w:start w:val="1"/>
    </w:lvl>
  </w:abstractNum>
  <w:abstractNum w:abstractNumId="67">
    <w:nsid w:val="53299938"/>
    <w:multiLevelType w:val="hybridMultilevel"/>
    <w:lvl w:ilvl="0">
      <w:lvlJc w:val="left"/>
      <w:lvlText w:val="(%1)"/>
      <w:numFmt w:val="lowerRoman"/>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v"/>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lvl w:ilvl="1">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v"/>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1)"/>
      <w:numFmt w:val="decimal"/>
      <w:start w:val="1"/>
    </w:lvl>
  </w:abstractNum>
  <w:abstractNum w:abstractNumId="79">
    <w:nsid w:val="415E286C"/>
    <w:multiLevelType w:val="hybridMultilevel"/>
    <w:lvl w:ilvl="0">
      <w:lvlJc w:val="left"/>
      <w:lvlText w:val="(%1)"/>
      <w:numFmt w:val="decimal"/>
      <w:start w:val="1"/>
    </w:lvl>
  </w:abstractNum>
  <w:abstractNum w:abstractNumId="80">
    <w:nsid w:val="7C58FD05"/>
    <w:multiLevelType w:val="hybridMultilevel"/>
    <w:lvl w:ilvl="0">
      <w:lvlJc w:val="left"/>
      <w:lvlText w:val="(%1)"/>
      <w:numFmt w:val="decimal"/>
      <w:start w:val="1"/>
    </w:lvl>
  </w:abstractNum>
  <w:abstractNum w:abstractNumId="81">
    <w:nsid w:val="23D86AAC"/>
    <w:multiLevelType w:val="hybridMultilevel"/>
    <w:lvl w:ilvl="0">
      <w:lvlJc w:val="left"/>
      <w:lvlText w:val="(%1)"/>
      <w:numFmt w:val="decimal"/>
      <w:start w:val="1"/>
    </w:lvl>
  </w:abstractNum>
  <w:abstractNum w:abstractNumId="82">
    <w:nsid w:val="45E6D486"/>
    <w:multiLevelType w:val="hybridMultilevel"/>
    <w:lvl w:ilvl="0">
      <w:lvlJc w:val="left"/>
      <w:lvlText w:val="(%1)"/>
      <w:numFmt w:val="decimal"/>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1)"/>
      <w:numFmt w:val="decimal"/>
      <w:start w:val="1"/>
    </w:lvl>
  </w:abstractNum>
  <w:abstractNum w:abstractNumId="85">
    <w:nsid w:val="3C5991AA"/>
    <w:multiLevelType w:val="hybridMultilevel"/>
    <w:lvl w:ilvl="0">
      <w:lvlJc w:val="left"/>
      <w:lvlText w:val="(%1)"/>
      <w:numFmt w:val="decimal"/>
      <w:start w:val="1"/>
    </w:lvl>
  </w:abstractNum>
  <w:abstractNum w:abstractNumId="86">
    <w:nsid w:val="4BD8591A"/>
    <w:multiLevelType w:val="hybridMultilevel"/>
    <w:lvl w:ilvl="0">
      <w:lvlJc w:val="left"/>
      <w:lvlText w:val="(%1)"/>
      <w:numFmt w:val="decimal"/>
      <w:start w:val="1"/>
    </w:lvl>
  </w:abstractNum>
  <w:abstractNum w:abstractNumId="87">
    <w:nsid w:val="78DF6A55"/>
    <w:multiLevelType w:val="hybridMultilevel"/>
    <w:lvl w:ilvl="0">
      <w:lvlJc w:val="left"/>
      <w:lvlText w:val="(%1)"/>
      <w:numFmt w:val="decimal"/>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1)"/>
      <w:numFmt w:val="decimal"/>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1."/>
      <w:numFmt w:val="lowerLetter"/>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1)"/>
      <w:numFmt w:val="decimal"/>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lvl w:ilvl="1">
      <w:lvlJc w:val="left"/>
      <w:lvlText w:val="%2."/>
      <w:numFmt w:val="lowerRoman"/>
      <w:start w:val="1"/>
    </w:lvl>
  </w:abstractNum>
  <w:abstractNum w:abstractNumId="98">
    <w:nsid w:val="3DD15094"/>
    <w:multiLevelType w:val="hybridMultilevel"/>
    <w:lvl w:ilvl="0">
      <w:lvlJc w:val="left"/>
      <w:lvlText w:val="(%1)"/>
      <w:numFmt w:val="decimal"/>
      <w:start w:val="1"/>
    </w:lvl>
  </w:abstractNum>
  <w:abstractNum w:abstractNumId="99">
    <w:nsid w:val="3DB012B3"/>
    <w:multiLevelType w:val="hybridMultilevel"/>
    <w:lvl w:ilvl="0">
      <w:lvlJc w:val="left"/>
      <w:lvlText w:val="(%1)"/>
      <w:numFmt w:val="decimal"/>
      <w:start w:val="1"/>
    </w:lvl>
  </w:abstractNum>
  <w:abstractNum w:abstractNumId="100">
    <w:nsid w:val="2708C9AF"/>
    <w:multiLevelType w:val="hybridMultilevel"/>
    <w:lvl w:ilvl="0">
      <w:lvlJc w:val="left"/>
      <w:lvlText w:val="(%1)"/>
      <w:numFmt w:val="decimal"/>
      <w:start w:val="1"/>
    </w:lvl>
  </w:abstractNum>
  <w:abstractNum w:abstractNumId="101">
    <w:nsid w:val="5B25ACE2"/>
    <w:multiLevelType w:val="hybridMultilevel"/>
    <w:lvl w:ilvl="0">
      <w:lvlJc w:val="left"/>
      <w:lvlText w:val="(%1)"/>
      <w:numFmt w:val="lowerLetter"/>
      <w:start w:val="1"/>
    </w:lvl>
    <w:lvl w:ilvl="1">
      <w:lvlJc w:val="left"/>
      <w:lvlText w:val="%2."/>
      <w:numFmt w:val="decimal"/>
      <w:start w:val="1"/>
    </w:lvl>
  </w:abstractNum>
  <w:abstractNum w:abstractNumId="102">
    <w:nsid w:val="175DFCF0"/>
    <w:multiLevelType w:val="hybridMultilevel"/>
    <w:lvl w:ilvl="0">
      <w:lvlJc w:val="left"/>
      <w:lvlText w:val="%1"/>
      <w:numFmt w:val="lowerLetter"/>
      <w:start w:val="1"/>
    </w:lvl>
    <w:lvl w:ilvl="1">
      <w:lvlJc w:val="left"/>
      <w:lvlText w:val="%2."/>
      <w:numFmt w:val="decimal"/>
      <w:start w:val="3"/>
    </w:lvl>
  </w:abstractNum>
  <w:abstractNum w:abstractNumId="103">
    <w:nsid w:val="4F97E3E4"/>
    <w:multiLevelType w:val="hybridMultilevel"/>
    <w:lvl w:ilvl="0">
      <w:lvlJc w:val="left"/>
      <w:lvlText w:val="(%1)"/>
      <w:numFmt w:val="lowerLetter"/>
      <w:start w:val="2"/>
    </w:lvl>
    <w:lvl w:ilvl="1">
      <w:lvlJc w:val="left"/>
      <w:lvlText w:val="%2"/>
      <w:numFmt w:val="decimal"/>
      <w:start w:val="1"/>
    </w:lvl>
  </w:abstractNum>
  <w:abstractNum w:abstractNumId="104">
    <w:nsid w:val="53B0A9E"/>
    <w:multiLevelType w:val="hybridMultilevel"/>
    <w:lvl w:ilvl="0">
      <w:lvlJc w:val="left"/>
      <w:lvlText w:val="(%1)"/>
      <w:numFmt w:val="lowerLetter"/>
      <w:start w:val="3"/>
    </w:lvl>
  </w:abstractNum>
  <w:abstractNum w:abstractNumId="105">
    <w:nsid w:val="34FD6B4F"/>
    <w:multiLevelType w:val="hybridMultilevel"/>
    <w:lvl w:ilvl="0">
      <w:lvlJc w:val="left"/>
      <w:lvlText w:val="1"/>
      <w:numFmt w:val="bullet"/>
      <w:start w:val="1"/>
    </w:lvl>
  </w:abstractNum>
  <w:abstractNum w:abstractNumId="106">
    <w:nsid w:val="5915FF32"/>
    <w:multiLevelType w:val="hybridMultilevel"/>
    <w:lvl w:ilvl="0">
      <w:lvlJc w:val="left"/>
      <w:lvlText w:val="2"/>
      <w:numFmt w:val="bullet"/>
      <w:start w:val="1"/>
    </w:lvl>
  </w:abstractNum>
  <w:abstractNum w:abstractNumId="107">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8">
    <w:nsid w:val="519E3149"/>
    <w:multiLevelType w:val="hybridMultilevel"/>
    <w:lvl w:ilvl="0">
      <w:lvlJc w:val="left"/>
      <w:lvlText w:val="1"/>
      <w:numFmt w:val="bullet"/>
      <w:start w:val="1"/>
    </w:lvl>
  </w:abstractNum>
  <w:abstractNum w:abstractNumId="109">
    <w:nsid w:val="2C6E4AFD"/>
    <w:multiLevelType w:val="hybridMultilevel"/>
    <w:lvl w:ilvl="0">
      <w:lvlJc w:val="left"/>
      <w:lvlText w:val="2"/>
      <w:numFmt w:val="bullet"/>
      <w:start w:val="1"/>
    </w:lvl>
  </w:abstractNum>
  <w:abstractNum w:abstractNumId="110">
    <w:nsid w:val="17A1B582"/>
    <w:multiLevelType w:val="hybridMultilevel"/>
    <w:lvl w:ilvl="0">
      <w:lvlJc w:val="left"/>
      <w:lvlText w:val="(%1)"/>
      <w:numFmt w:val="lowerLetter"/>
      <w:start w:val="6"/>
    </w:lvl>
    <w:lvl w:ilvl="1">
      <w:lvlJc w:val="left"/>
      <w:lvlText w:val="(%2)"/>
      <w:numFmt w:val="lowerRoman"/>
      <w:start w:val="1"/>
    </w:lvl>
  </w:abstractNum>
  <w:abstractNum w:abstractNumId="111">
    <w:nsid w:val="4DF72E4E"/>
    <w:multiLevelType w:val="hybridMultilevel"/>
    <w:lvl w:ilvl="0">
      <w:lvlJc w:val="left"/>
      <w:lvlText w:val="(%1)"/>
      <w:numFmt w:val="lowerLetter"/>
      <w:start w:val="18"/>
    </w:lvl>
  </w:abstractNum>
  <w:abstractNum w:abstractNumId="112">
    <w:nsid w:val="5046B5A9"/>
    <w:multiLevelType w:val="hybridMultilevel"/>
    <w:lvl w:ilvl="0">
      <w:lvlJc w:val="left"/>
      <w:lvlText w:val="(%1)"/>
      <w:numFmt w:val="lowerLetter"/>
      <w:start w:val="27"/>
    </w:lvl>
  </w:abstractNum>
  <w:abstractNum w:abstractNumId="113">
    <w:nsid w:val="5D888A08"/>
    <w:multiLevelType w:val="hybridMultilevel"/>
    <w:lvl w:ilvl="0">
      <w:lvlJc w:val="left"/>
      <w:lvlText w:val="%1"/>
      <w:numFmt w:val="decimal"/>
      <w:start w:val="1"/>
    </w:lvl>
    <w:lvl w:ilvl="1">
      <w:lvlJc w:val="left"/>
      <w:lvlText w:val="(%2)"/>
      <w:numFmt w:val="lowerLetter"/>
      <w:start w:val="32"/>
    </w:lvl>
    <w:lvl w:ilvl="2">
      <w:lvlJc w:val="left"/>
      <w:lvlText w:val="%3"/>
      <w:numFmt w:val="lowerRoman"/>
      <w:start w:val="1"/>
    </w:lvl>
  </w:abstractNum>
  <w:abstractNum w:abstractNumId="114">
    <w:nsid w:val="2A082C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5">
    <w:nsid w:val="5EC6AF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6">
    <w:nsid w:val="19E21BB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7">
    <w:nsid w:val="75E0858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18">
    <w:nsid w:val="57A61A29"/>
    <w:multiLevelType w:val="hybridMultilevel"/>
    <w:lvl w:ilvl="0">
      <w:lvlJc w:val="left"/>
      <w:lvlText w:val="(%1)"/>
      <w:numFmt w:val="lowerRoman"/>
      <w:start w:val="2"/>
    </w:lvl>
  </w:abstractNum>
  <w:abstractNum w:abstractNumId="119">
    <w:nsid w:val="5399C65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0">
    <w:nsid w:val="20EE13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1">
    <w:nsid w:val="4427069A"/>
    <w:multiLevelType w:val="hybridMultilevel"/>
    <w:lvl w:ilvl="0">
      <w:lvlJc w:val="left"/>
      <w:lvlText w:val="(%1)"/>
      <w:numFmt w:val="lowerRoman"/>
      <w:start w:val="3"/>
    </w:lvl>
  </w:abstractNum>
  <w:abstractNum w:abstractNumId="122">
    <w:nsid w:val="B37E80A"/>
    <w:multiLevelType w:val="hybridMultilevel"/>
    <w:lvl w:ilvl="0">
      <w:lvlJc w:val="left"/>
      <w:lvlText w:val="(%1)"/>
      <w:numFmt w:val="lowerRoman"/>
      <w:start w:val="9"/>
    </w:lvl>
    <w:lvl w:ilvl="1">
      <w:lvlJc w:val="left"/>
      <w:lvlText w:val="(%2)"/>
      <w:numFmt w:val="lowerRoman"/>
      <w:start w:val="2"/>
    </w:lvl>
  </w:abstractNum>
  <w:abstractNum w:abstractNumId="123">
    <w:nsid w:val="2157F6B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4">
    <w:nsid w:val="704E1DD5"/>
    <w:multiLevelType w:val="hybridMultilevel"/>
    <w:lvl w:ilvl="0">
      <w:lvlJc w:val="left"/>
      <w:lvlText w:val="%1"/>
      <w:numFmt w:val="lowerLetter"/>
      <w:start w:val="1"/>
    </w:lvl>
    <w:lvl w:ilvl="1">
      <w:lvlJc w:val="left"/>
      <w:lvlText w:val="(%2)"/>
      <w:numFmt w:val="lowerRoman"/>
      <w:start w:val="3"/>
    </w:lvl>
  </w:abstractNum>
  <w:abstractNum w:abstractNumId="125">
    <w:nsid w:val="57D2F10E"/>
    <w:multiLevelType w:val="hybridMultilevel"/>
    <w:lvl w:ilvl="0">
      <w:lvlJc w:val="left"/>
      <w:lvlText w:val="(%1)"/>
      <w:numFmt w:val="lowerLetter"/>
      <w:start w:val="3"/>
    </w:lvl>
    <w:lvl w:ilvl="1">
      <w:lvlJc w:val="left"/>
      <w:lvlText w:val="(%2)"/>
      <w:numFmt w:val="lowerRoman"/>
      <w:start w:val="1"/>
    </w:lvl>
  </w:abstractNum>
  <w:abstractNum w:abstractNumId="126">
    <w:nsid w:val="BFFAE18"/>
    <w:multiLevelType w:val="hybridMultilevel"/>
    <w:lvl w:ilvl="0">
      <w:lvlJc w:val="left"/>
      <w:lvlText w:val="%1"/>
      <w:numFmt w:val="lowerLetter"/>
      <w:start w:val="1"/>
    </w:lvl>
    <w:lvl w:ilvl="1">
      <w:lvlJc w:val="left"/>
      <w:lvlText w:val="(%2)"/>
      <w:numFmt w:val="lowerRoman"/>
      <w:start w:val="4"/>
    </w:lvl>
  </w:abstractNum>
  <w:abstractNum w:abstractNumId="127">
    <w:nsid w:val="E3E47A8"/>
    <w:multiLevelType w:val="hybridMultilevel"/>
    <w:lvl w:ilvl="0">
      <w:lvlJc w:val="left"/>
      <w:lvlText w:val="(%1)"/>
      <w:numFmt w:val="lowerLetter"/>
      <w:start w:val="4"/>
    </w:lvl>
    <w:lvl w:ilvl="1">
      <w:lvlJc w:val="left"/>
      <w:lvlText w:val="(%2)"/>
      <w:numFmt w:val="lowerRoman"/>
      <w:start w:val="1"/>
    </w:lvl>
  </w:abstractNum>
  <w:abstractNum w:abstractNumId="128">
    <w:nsid w:val="2E48F044"/>
    <w:multiLevelType w:val="hybridMultilevel"/>
    <w:lvl w:ilvl="0">
      <w:lvlJc w:val="left"/>
      <w:lvlText w:val="%1."/>
      <w:numFmt w:val="decimal"/>
      <w:start w:val="8"/>
    </w:lvl>
  </w:abstractNum>
  <w:abstractNum w:abstractNumId="129">
    <w:nsid w:val="49D0FEAC"/>
    <w:multiLevelType w:val="hybridMultilevel"/>
    <w:lvl w:ilvl="0">
      <w:lvlJc w:val="left"/>
      <w:lvlText w:val="%1"/>
      <w:numFmt w:val="decimal"/>
      <w:start w:val="1"/>
    </w:lvl>
    <w:lvl w:ilvl="1">
      <w:lvlJc w:val="left"/>
      <w:lvlText w:val="(%2)"/>
      <w:numFmt w:val="lowerLetter"/>
      <w:start w:val="1"/>
    </w:lvl>
  </w:abstractNum>
  <w:abstractNum w:abstractNumId="130">
    <w:nsid w:val="4BEE5A5B"/>
    <w:multiLevelType w:val="hybridMultilevel"/>
    <w:lvl w:ilvl="0">
      <w:lvlJc w:val="left"/>
      <w:lvlText w:val="%1."/>
      <w:numFmt w:val="decimal"/>
      <w:start w:val="9"/>
    </w:lvl>
    <w:lvl w:ilvl="1">
      <w:lvlJc w:val="left"/>
      <w:lvlText w:val="%2"/>
      <w:numFmt w:val="lowerLetter"/>
      <w:start w:val="1"/>
    </w:lvl>
  </w:abstractNum>
  <w:abstractNum w:abstractNumId="131">
    <w:nsid w:val="5551B9F3"/>
    <w:multiLevelType w:val="hybridMultilevel"/>
    <w:lvl w:ilvl="0">
      <w:lvlJc w:val="left"/>
      <w:lvlText w:val="%1."/>
      <w:numFmt w:val="decimal"/>
      <w:start w:val="10"/>
    </w:lvl>
    <w:lvl w:ilvl="1">
      <w:lvlJc w:val="left"/>
      <w:lvlText w:val="(%2)"/>
      <w:numFmt w:val="lowerLetter"/>
      <w:start w:val="1"/>
    </w:lvl>
  </w:abstractNum>
  <w:abstractNum w:abstractNumId="132">
    <w:nsid w:val="24F6AB8E"/>
    <w:multiLevelType w:val="hybridMultilevel"/>
    <w:lvl w:ilvl="0">
      <w:lvlJc w:val="left"/>
      <w:lvlText w:val="(%1)"/>
      <w:numFmt w:val="lowerLetter"/>
      <w:start w:val="3"/>
    </w:lvl>
  </w:abstractNum>
  <w:abstractNum w:abstractNumId="133">
    <w:nsid w:val="634C574C"/>
    <w:multiLevelType w:val="hybridMultilevel"/>
    <w:lvl w:ilvl="0">
      <w:lvlJc w:val="left"/>
      <w:lvlText w:val="%1."/>
      <w:numFmt w:val="decimal"/>
      <w:start w:val="11"/>
    </w:lvl>
    <w:lvl w:ilvl="1">
      <w:lvlJc w:val="left"/>
      <w:lvlText w:val="(%2)"/>
      <w:numFmt w:val="lowerLetter"/>
      <w:start w:val="1"/>
    </w:lvl>
  </w:abstractNum>
  <w:abstractNum w:abstractNumId="134">
    <w:nsid w:val="24E99DD7"/>
    <w:multiLevelType w:val="hybridMultilevel"/>
    <w:lvl w:ilvl="0">
      <w:lvlJc w:val="left"/>
      <w:lvlText w:val="%1."/>
      <w:numFmt w:val="decimal"/>
      <w:start w:val="12"/>
    </w:lvl>
    <w:lvl w:ilvl="1">
      <w:lvlJc w:val="left"/>
      <w:lvlText w:val="(%2)"/>
      <w:numFmt w:val="lowerLetter"/>
      <w:start w:val="1"/>
    </w:lvl>
  </w:abstractNum>
  <w:abstractNum w:abstractNumId="135">
    <w:nsid w:val="2A31B62D"/>
    <w:multiLevelType w:val="hybridMultilevel"/>
    <w:lvl w:ilvl="0">
      <w:lvlJc w:val="left"/>
      <w:lvlText w:val="%1."/>
      <w:numFmt w:val="decimal"/>
      <w:start w:val="15"/>
    </w:lvl>
  </w:abstractNum>
  <w:abstractNum w:abstractNumId="136">
    <w:nsid w:val="1849C29B"/>
    <w:multiLevelType w:val="hybridMultilevel"/>
    <w:lvl w:ilvl="0">
      <w:lvlJc w:val="left"/>
      <w:lvlText w:val="(%1)"/>
      <w:numFmt w:val="decimal"/>
      <w:start w:val="1"/>
    </w:lvl>
  </w:abstractNum>
  <w:abstractNum w:abstractNumId="137">
    <w:nsid w:val="7DFF9D09"/>
    <w:multiLevelType w:val="hybridMultilevel"/>
    <w:lvl w:ilvl="0">
      <w:lvlJc w:val="left"/>
      <w:lvlText w:val="(%1)"/>
      <w:numFmt w:val="decimal"/>
      <w:start w:val="4"/>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9"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jpe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152" Type="http://schemas.openxmlformats.org/officeDocument/2006/relationships/hyperlink" Target="http://www.sec.gov/Archives/edgar/data/716634/000071663416000067/rdi-20151231xex3_1.htm" TargetMode="External"/><Relationship Id="rId153" Type="http://schemas.openxmlformats.org/officeDocument/2006/relationships/hyperlink" Target="http://www.sec.gov/Archives/edgar/data/716634/000071663407000004/ex4_1.htm" TargetMode="External"/><Relationship Id="rId154" Type="http://schemas.openxmlformats.org/officeDocument/2006/relationships/hyperlink" Target="http://www.sec.gov/Archives/edgar/data/716634/000071663407000004/ex4_2.htm" TargetMode="External"/><Relationship Id="rId155" Type="http://schemas.openxmlformats.org/officeDocument/2006/relationships/hyperlink" Target="http://www.sec.gov/Archives/edgar/data/716634/000071663407000004/ex4_3.htm" TargetMode="External"/><Relationship Id="rId156" Type="http://schemas.openxmlformats.org/officeDocument/2006/relationships/hyperlink" Target="http://www.sec.gov/Archives/edgar/data/716634/000071663407000004/ex10_4.htm" TargetMode="External"/><Relationship Id="rId157" Type="http://schemas.openxmlformats.org/officeDocument/2006/relationships/hyperlink" Target="http://www.sec.gov/Archives/edgar/data/716634/000071663409000036/exhibit4_4.htm" TargetMode="External"/><Relationship Id="rId158" Type="http://schemas.openxmlformats.org/officeDocument/2006/relationships/hyperlink" Target="http://www.sec.gov/Archives/edgar/data/716634/000095015004000085/a91506orexv4w1.txt" TargetMode="External"/><Relationship Id="rId159" Type="http://schemas.openxmlformats.org/officeDocument/2006/relationships/hyperlink" Target="http://www.sec.gov/Archives/edgar/data/716634/000071663410000014/exhibit4_2.htm" TargetMode="External"/><Relationship Id="rId160" Type="http://schemas.openxmlformats.org/officeDocument/2006/relationships/hyperlink" Target="http://www.sec.gov/Archives/edgar/data/716634/000071663410000014/exhibit4_3.htm" TargetMode="External"/><Relationship Id="rId161" Type="http://schemas.openxmlformats.org/officeDocument/2006/relationships/hyperlink" Target="http://www.sec.gov/Archives/edgar/data/716634/000071663410000014/exhibit4_4.htm" TargetMode="External"/><Relationship Id="rId162" Type="http://schemas.openxmlformats.org/officeDocument/2006/relationships/hyperlink" Target="http://www.sec.gov/Archives/edgar/data/716634/000071663410000014/exhibit4_5.htm" TargetMode="External"/><Relationship Id="rId163" Type="http://schemas.openxmlformats.org/officeDocument/2006/relationships/hyperlink" Target="http://www.sec.gov/Archives/edgar/data/716634/000095015003000386/a88762exv10w40.txt" TargetMode="External"/><Relationship Id="rId164" Type="http://schemas.openxmlformats.org/officeDocument/2006/relationships/hyperlink" Target="http://www.sec.gov/Archives/edgar/data/716634/000095012905009355/a12618exv10w58.htm" TargetMode="External"/><Relationship Id="rId165" Type="http://schemas.openxmlformats.org/officeDocument/2006/relationships/hyperlink" Target="http://www.sec.gov/Archives/edgar/data/716634/000095012905009355/a12618exv10w56.htm" TargetMode="External"/><Relationship Id="rId166" Type="http://schemas.openxmlformats.org/officeDocument/2006/relationships/hyperlink" Target="http://www.sec.gov/Archives/edgar/data/716634/000071663411000002/exhibit10_21.htm" TargetMode="External"/><Relationship Id="rId167" Type="http://schemas.openxmlformats.org/officeDocument/2006/relationships/hyperlink" Target="http://www.sec.gov/Archives/edgar/data/716634/000095015003001354/a94399exv10w49.txt" TargetMode="External"/><Relationship Id="rId168" Type="http://schemas.openxmlformats.org/officeDocument/2006/relationships/hyperlink" Target="http://www.sec.gov/Archives/edgar/data/716634/000095015003000386/a88762exv10w47.txt" TargetMode="External"/><Relationship Id="rId170" Type="http://schemas.openxmlformats.org/officeDocument/2006/relationships/hyperlink" Target="http://www.sec.gov/Archives/edgar/data/716634/000071663407000004/ex10_2.htm" TargetMode="External"/><Relationship Id="rId171" Type="http://schemas.openxmlformats.org/officeDocument/2006/relationships/hyperlink" Target="http://www.sec.gov/Archives/edgar/data/716634/000071663416000067/rdi-20151231xex10_9.htm" TargetMode="External"/><Relationship Id="rId174" Type="http://schemas.openxmlformats.org/officeDocument/2006/relationships/hyperlink" Target="http://www.sec.gov/Archives/edgar/data/716634/000071663416000067/rdi-20151231xex10_10.htm" TargetMode="External"/><Relationship Id="rId175" Type="http://schemas.openxmlformats.org/officeDocument/2006/relationships/hyperlink" Target="http://www.sec.gov/Archives/edgar/data/716634/000071663413000017/rdi-20121231ex103112c99.htm" TargetMode="External"/><Relationship Id="rId176" Type="http://schemas.openxmlformats.org/officeDocument/2006/relationships/hyperlink" Target="http://www.sec.gov/Archives/edgar/data/716634/000071663413000017/rdi-20121231ex1032f121e.htm" TargetMode="External"/><Relationship Id="rId177" Type="http://schemas.openxmlformats.org/officeDocument/2006/relationships/hyperlink" Target="http://www.sec.gov/Archives/edgar/data/716634/000071663408000031/exhibit10_77.htm" TargetMode="External"/><Relationship Id="rId178" Type="http://schemas.openxmlformats.org/officeDocument/2006/relationships/hyperlink" Target="http://www.sec.gov/Archives/edgar/data/716634/000071663415000015/rdi-20150331ex10122347a.htm" TargetMode="External"/><Relationship Id="rId179" Type="http://schemas.openxmlformats.org/officeDocument/2006/relationships/hyperlink" Target="http://www.sec.gov/Archives/edgar/data/716634/000071663416000067/rdi-20151231xex10_19.htm" TargetMode="External"/><Relationship Id="rId180" Type="http://schemas.openxmlformats.org/officeDocument/2006/relationships/hyperlink" Target="http://www.sec.gov/Archives/edgar/data/716634/000071663416000067/rdi-20151231xex10_20.htm" TargetMode="External"/><Relationship Id="rId181" Type="http://schemas.openxmlformats.org/officeDocument/2006/relationships/hyperlink" Target="http://www.sec.gov/Archives/edgar/data/716634/000071663416000067/rdi-20151231xex10_21.htm" TargetMode="External"/><Relationship Id="rId182" Type="http://schemas.openxmlformats.org/officeDocument/2006/relationships/hyperlink" Target="http://www.sec.gov/Archives/edgar/data/716634/000071663416000067/rdi-20151231xex10_22.htm" TargetMode="External"/><Relationship Id="rId183" Type="http://schemas.openxmlformats.org/officeDocument/2006/relationships/hyperlink" Target="http://www.sec.gov/Archives/edgar/data/716634/000071663416000067/rdi-20151231xex10_23.htm" TargetMode="External"/><Relationship Id="rId184" Type="http://schemas.openxmlformats.org/officeDocument/2006/relationships/hyperlink" Target="http://www.sec.gov/Archives/edgar/data/716634/000071663416000067/rdi-20151231xex10_24.htm" TargetMode="External"/><Relationship Id="rId185" Type="http://schemas.openxmlformats.org/officeDocument/2006/relationships/hyperlink" Target="http://www.sec.gov/Archives/edgar/data/716634/000071663417000007/rdi-20161231xe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2020-01-14T18:35:19Z</dcterms:created>
  <dcterms:modified xsi:type="dcterms:W3CDTF">2020-01-14T18:35:19Z</dcterms:modified>
</cp:coreProperties>
</file>