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1440" w:right="1440" w:hanging="0"/>
        <w:jc w:val="center"/>
        <w:rPr>
          <w:sz w:val="17"/>
        </w:rPr>
      </w:pPr>
      <w:bookmarkStart w:id="0" w:name="rdi-20121231x10k.htm"/>
      <w:bookmarkStart w:id="1" w:name="ksrdi20121231x10k"/>
      <w:bookmarkEnd w:id="0"/>
      <w:bookmarkEnd w:id="1"/>
      <w:r>
        <w:rPr>
          <w:b/>
          <w:sz w:val="17"/>
        </w:rPr>
        <w:t>UNITED STATES SECURITIES AND EXCHANGE COMMISSION</w:t>
      </w:r>
      <w:r>
        <w:rPr>
          <w:sz w:val="17"/>
        </w:rPr>
        <w:t xml:space="preserve"> </w:t>
      </w:r>
    </w:p>
    <w:p>
      <w:pPr>
        <w:pStyle w:val="TextBody"/>
        <w:spacing w:before="0" w:after="0"/>
        <w:ind w:left="1440" w:right="1440" w:hanging="0"/>
        <w:jc w:val="center"/>
        <w:rPr>
          <w:sz w:val="17"/>
        </w:rPr>
      </w:pPr>
      <w:r>
        <w:rPr>
          <w:sz w:val="17"/>
        </w:rPr>
        <w:t xml:space="preserve">Washington, D.C.  20549 </w:t>
      </w:r>
    </w:p>
    <w:p>
      <w:pPr>
        <w:pStyle w:val="TextBody"/>
        <w:spacing w:before="0" w:after="0"/>
        <w:ind w:left="1440" w:right="1440" w:hanging="0"/>
        <w:jc w:val="center"/>
        <w:rPr/>
      </w:pPr>
      <w:r>
        <w:rPr>
          <w:u w:val="single"/>
        </w:rPr>
        <w:t>            </w:t>
      </w:r>
      <w:r>
        <w:rPr/>
        <w:t xml:space="preserve"> </w:t>
      </w:r>
    </w:p>
    <w:p>
      <w:pPr>
        <w:pStyle w:val="TextBody"/>
        <w:spacing w:before="0" w:after="0"/>
        <w:ind w:left="1440" w:right="1440" w:hanging="0"/>
        <w:jc w:val="both"/>
        <w:rPr>
          <w:b/>
          <w:sz w:val="17"/>
        </w:rPr>
      </w:pPr>
      <w:r>
        <w:rPr>
          <w:b/>
          <w:sz w:val="17"/>
        </w:rPr>
        <w:t xml:space="preserve">FORM 10-K </w:t>
      </w:r>
    </w:p>
    <w:tbl>
      <w:tblPr>
        <w:tblW w:w="7325" w:type="dxa"/>
        <w:jc w:val="left"/>
        <w:tblInd w:w="1440" w:type="dxa"/>
        <w:tblCellMar>
          <w:top w:w="0" w:type="dxa"/>
          <w:left w:w="0" w:type="dxa"/>
          <w:bottom w:w="0" w:type="dxa"/>
          <w:right w:w="0" w:type="dxa"/>
        </w:tblCellMar>
      </w:tblPr>
      <w:tblGrid>
        <w:gridCol w:w="195"/>
        <w:gridCol w:w="7130"/>
      </w:tblGrid>
      <w:tr>
        <w:trPr/>
        <w:tc>
          <w:tcPr>
            <w:tcW w:w="195" w:type="dxa"/>
            <w:tcBorders/>
            <w:shd w:fill="auto" w:val="clear"/>
          </w:tcPr>
          <w:p>
            <w:pPr>
              <w:pStyle w:val="TableContents"/>
              <w:pBdr/>
              <w:spacing w:before="0" w:after="0"/>
              <w:ind w:left="360" w:right="0" w:hanging="0"/>
              <w:jc w:val="both"/>
              <w:rPr>
                <w:sz w:val="17"/>
              </w:rPr>
            </w:pPr>
            <w:r>
              <w:rPr>
                <w:rFonts w:ascii="Wingdings" w:hAnsi="Wingdings"/>
                <w:sz w:val="18"/>
              </w:rPr>
              <w:t>þ</w:t>
            </w:r>
            <w:r>
              <w:rPr>
                <w:sz w:val="17"/>
              </w:rPr>
              <w:t xml:space="preserve"> </w:t>
            </w:r>
          </w:p>
        </w:tc>
        <w:tc>
          <w:tcPr>
            <w:tcW w:w="7130" w:type="dxa"/>
            <w:tcBorders/>
            <w:shd w:fill="auto" w:val="clear"/>
          </w:tcPr>
          <w:p>
            <w:pPr>
              <w:pStyle w:val="TableContents"/>
              <w:pBdr/>
              <w:spacing w:before="0" w:after="283"/>
              <w:jc w:val="both"/>
              <w:rPr>
                <w:sz w:val="17"/>
              </w:rPr>
            </w:pPr>
            <w:r>
              <w:rPr>
                <w:sz w:val="17"/>
              </w:rPr>
              <w:t>ANNUAL REPORT PURSUANT TO SECTION 13 OR 15(d) OF THE SECURITIES EXCHANGE ACT OF 1934</w:t>
            </w:r>
          </w:p>
        </w:tc>
      </w:tr>
    </w:tbl>
    <w:p>
      <w:pPr>
        <w:pStyle w:val="TextBody"/>
        <w:pBdr/>
        <w:spacing w:before="0" w:after="0"/>
        <w:ind w:left="1440" w:right="1440" w:firstLine="720"/>
        <w:jc w:val="both"/>
        <w:rPr/>
      </w:pPr>
      <w:r>
        <w:rPr/>
        <w:t xml:space="preserve">  </w:t>
      </w:r>
    </w:p>
    <w:p>
      <w:pPr>
        <w:pStyle w:val="TextBody"/>
        <w:pBdr/>
        <w:spacing w:before="0" w:after="0"/>
        <w:ind w:left="1440" w:right="1440" w:firstLine="720"/>
        <w:jc w:val="both"/>
        <w:rPr>
          <w:sz w:val="17"/>
        </w:rPr>
      </w:pPr>
      <w:r>
        <w:rPr>
          <w:sz w:val="17"/>
        </w:rPr>
        <w:t xml:space="preserve">For the fiscal year ended December 31, 2012 or </w:t>
      </w:r>
    </w:p>
    <w:p>
      <w:pPr>
        <w:pStyle w:val="TextBody"/>
        <w:pBdr/>
        <w:spacing w:before="0" w:after="0"/>
        <w:ind w:left="2160" w:right="1440" w:hanging="0"/>
        <w:jc w:val="both"/>
        <w:rPr/>
      </w:pPr>
      <w:r>
        <w:rPr/>
        <w:t xml:space="preserve">  </w:t>
      </w:r>
    </w:p>
    <w:tbl>
      <w:tblPr>
        <w:tblW w:w="7325" w:type="dxa"/>
        <w:jc w:val="left"/>
        <w:tblInd w:w="1440" w:type="dxa"/>
        <w:tblCellMar>
          <w:top w:w="0" w:type="dxa"/>
          <w:left w:w="0" w:type="dxa"/>
          <w:bottom w:w="0" w:type="dxa"/>
          <w:right w:w="0" w:type="dxa"/>
        </w:tblCellMar>
      </w:tblPr>
      <w:tblGrid>
        <w:gridCol w:w="163"/>
        <w:gridCol w:w="7162"/>
      </w:tblGrid>
      <w:tr>
        <w:trPr/>
        <w:tc>
          <w:tcPr>
            <w:tcW w:w="163" w:type="dxa"/>
            <w:tcBorders/>
            <w:shd w:fill="auto" w:val="clear"/>
          </w:tcPr>
          <w:p>
            <w:pPr>
              <w:pStyle w:val="TableContents"/>
              <w:pBdr/>
              <w:spacing w:before="0" w:after="0"/>
              <w:ind w:left="360" w:right="0" w:hanging="0"/>
              <w:jc w:val="both"/>
              <w:rPr>
                <w:sz w:val="17"/>
              </w:rPr>
            </w:pPr>
            <w:r>
              <w:rPr>
                <w:rFonts w:ascii="Wingdings" w:hAnsi="Wingdings"/>
                <w:sz w:val="17"/>
              </w:rPr>
              <w:t>¨</w:t>
            </w:r>
            <w:r>
              <w:rPr>
                <w:sz w:val="17"/>
              </w:rPr>
              <w:t xml:space="preserve"> </w:t>
            </w:r>
          </w:p>
        </w:tc>
        <w:tc>
          <w:tcPr>
            <w:tcW w:w="7162" w:type="dxa"/>
            <w:tcBorders/>
            <w:shd w:fill="auto" w:val="clear"/>
          </w:tcPr>
          <w:p>
            <w:pPr>
              <w:pStyle w:val="TableContents"/>
              <w:pBdr/>
              <w:spacing w:before="0" w:after="283"/>
              <w:jc w:val="both"/>
              <w:rPr>
                <w:sz w:val="17"/>
              </w:rPr>
            </w:pPr>
            <w:r>
              <w:rPr>
                <w:sz w:val="17"/>
              </w:rPr>
              <w:t>TRANSITION REPORT PURSUANT TO SECTION 13 OR 15(d) OF THE SECURITIES EXCHANGE ACT OF 1934</w:t>
            </w:r>
          </w:p>
        </w:tc>
      </w:tr>
    </w:tbl>
    <w:p>
      <w:pPr>
        <w:pStyle w:val="TextBody"/>
        <w:pBdr/>
        <w:spacing w:before="0" w:after="0"/>
        <w:ind w:left="1440" w:right="1440" w:firstLine="720"/>
        <w:jc w:val="both"/>
        <w:rPr>
          <w:sz w:val="17"/>
        </w:rPr>
      </w:pPr>
      <w:r>
        <w:rPr>
          <w:sz w:val="17"/>
        </w:rPr>
        <w:t xml:space="preserve">For the transition period from _______ to ______ </w:t>
      </w:r>
    </w:p>
    <w:p>
      <w:pPr>
        <w:pStyle w:val="TextBody"/>
        <w:pBdr/>
        <w:spacing w:before="0" w:after="0"/>
        <w:ind w:left="1440" w:right="1440" w:firstLine="720"/>
        <w:jc w:val="both"/>
        <w:rPr/>
      </w:pPr>
      <w:r>
        <w:rPr/>
        <w:t xml:space="preserve">  </w:t>
      </w:r>
    </w:p>
    <w:p>
      <w:pPr>
        <w:pStyle w:val="TextBody"/>
        <w:pBdr/>
        <w:spacing w:before="0" w:after="0"/>
        <w:ind w:left="1440" w:right="1440" w:hanging="0"/>
        <w:jc w:val="center"/>
        <w:rPr>
          <w:sz w:val="17"/>
        </w:rPr>
      </w:pPr>
      <w:r>
        <w:rPr>
          <w:sz w:val="17"/>
        </w:rPr>
        <w:t xml:space="preserve">Commission File No. 1-8625 </w:t>
      </w:r>
    </w:p>
    <w:p>
      <w:pPr>
        <w:pStyle w:val="TextBody"/>
        <w:pBdr/>
        <w:spacing w:before="0" w:after="0"/>
        <w:ind w:left="1440" w:right="1440" w:hanging="0"/>
        <w:jc w:val="center"/>
        <w:rPr>
          <w:sz w:val="17"/>
        </w:rPr>
      </w:pPr>
      <w:r>
        <w:rPr>
          <w:b/>
          <w:sz w:val="17"/>
        </w:rPr>
        <w:t>READING INTERNATIONAL, INC.</w:t>
      </w:r>
      <w:r>
        <w:rPr>
          <w:sz w:val="17"/>
        </w:rPr>
        <w:t xml:space="preserve"> </w:t>
      </w:r>
    </w:p>
    <w:p>
      <w:pPr>
        <w:pStyle w:val="TextBody"/>
        <w:pBdr/>
        <w:spacing w:before="0" w:after="0"/>
        <w:ind w:left="1440" w:right="1440" w:hanging="0"/>
        <w:jc w:val="center"/>
        <w:rPr>
          <w:sz w:val="17"/>
        </w:rPr>
      </w:pPr>
      <w:r>
        <w:rPr>
          <w:sz w:val="17"/>
        </w:rPr>
        <w:t xml:space="preserve">(Exact name of registrant as specified in its charter) </w:t>
      </w:r>
    </w:p>
    <w:p>
      <w:pPr>
        <w:pStyle w:val="TextBody"/>
        <w:pBdr/>
        <w:spacing w:before="0" w:after="0"/>
        <w:ind w:left="1440" w:right="1440" w:hanging="0"/>
        <w:jc w:val="center"/>
        <w:rPr/>
      </w:pPr>
      <w:r>
        <w:rPr/>
        <w:t xml:space="preserve">  </w:t>
      </w:r>
    </w:p>
    <w:tbl>
      <w:tblPr>
        <w:tblW w:w="7075" w:type="dxa"/>
        <w:jc w:val="left"/>
        <w:tblInd w:w="1440" w:type="dxa"/>
        <w:tblCellMar>
          <w:top w:w="0" w:type="dxa"/>
          <w:left w:w="0" w:type="dxa"/>
          <w:bottom w:w="0" w:type="dxa"/>
          <w:right w:w="0" w:type="dxa"/>
        </w:tblCellMar>
      </w:tblPr>
      <w:tblGrid>
        <w:gridCol w:w="4205"/>
        <w:gridCol w:w="2870"/>
      </w:tblGrid>
      <w:tr>
        <w:trPr/>
        <w:tc>
          <w:tcPr>
            <w:tcW w:w="4205"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200"/>
              <w:ind w:left="0" w:right="0" w:hanging="0"/>
              <w:jc w:val="both"/>
              <w:rPr/>
            </w:pPr>
            <w:r>
              <w:rPr/>
              <w:t> </w:t>
            </w:r>
          </w:p>
        </w:tc>
        <w:tc>
          <w:tcPr>
            <w:tcW w:w="2870"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200"/>
              <w:ind w:left="0" w:right="0" w:hanging="0"/>
              <w:jc w:val="both"/>
              <w:rPr/>
            </w:pPr>
            <w:r>
              <w:rPr/>
              <w:t> </w:t>
            </w:r>
          </w:p>
        </w:tc>
      </w:tr>
      <w:tr>
        <w:trPr/>
        <w:tc>
          <w:tcPr>
            <w:tcW w:w="4205" w:type="dxa"/>
            <w:tcBorders/>
            <w:shd w:fill="auto" w:val="clear"/>
          </w:tcPr>
          <w:p>
            <w:pPr>
              <w:pStyle w:val="TableContents"/>
              <w:spacing w:before="0" w:after="0"/>
              <w:ind w:left="0" w:right="0" w:hanging="0"/>
              <w:jc w:val="center"/>
              <w:rPr>
                <w:b/>
                <w:sz w:val="17"/>
              </w:rPr>
            </w:pPr>
            <w:r>
              <w:rPr>
                <w:b/>
                <w:sz w:val="17"/>
              </w:rPr>
              <w:t>NEVADA</w:t>
            </w:r>
          </w:p>
          <w:p>
            <w:pPr>
              <w:pStyle w:val="TableContents"/>
              <w:spacing w:before="0" w:after="0"/>
              <w:ind w:left="0" w:right="0" w:hanging="0"/>
              <w:jc w:val="center"/>
              <w:rPr>
                <w:sz w:val="17"/>
              </w:rPr>
            </w:pPr>
            <w:r>
              <w:rPr>
                <w:sz w:val="17"/>
              </w:rPr>
              <w:t>(State or other jurisdiction of incorporation or organization)</w:t>
            </w:r>
          </w:p>
          <w:p>
            <w:pPr>
              <w:pStyle w:val="TableContents"/>
              <w:spacing w:before="0" w:after="0"/>
              <w:ind w:left="0" w:right="0" w:hanging="0"/>
              <w:jc w:val="center"/>
              <w:rPr>
                <w:sz w:val="17"/>
              </w:rPr>
            </w:pPr>
            <w:r>
              <w:rPr>
                <w:sz w:val="17"/>
              </w:rPr>
              <w:t>6100 Center Dr., Suite 900</w:t>
            </w:r>
          </w:p>
          <w:p>
            <w:pPr>
              <w:pStyle w:val="TableContents"/>
              <w:spacing w:before="0" w:after="0"/>
              <w:ind w:left="0" w:right="0" w:hanging="0"/>
              <w:jc w:val="center"/>
              <w:rPr>
                <w:sz w:val="17"/>
              </w:rPr>
            </w:pPr>
            <w:r>
              <w:rPr>
                <w:sz w:val="17"/>
              </w:rPr>
              <w:t xml:space="preserve">Los Angeles, CA </w:t>
            </w:r>
          </w:p>
          <w:p>
            <w:pPr>
              <w:pStyle w:val="TableContents"/>
              <w:spacing w:before="0" w:after="0"/>
              <w:ind w:left="0" w:right="0" w:hanging="0"/>
              <w:jc w:val="center"/>
              <w:rPr>
                <w:sz w:val="17"/>
              </w:rPr>
            </w:pPr>
            <w:r>
              <w:rPr>
                <w:sz w:val="17"/>
              </w:rPr>
              <w:t>(Address of principal executive offices)</w:t>
            </w:r>
          </w:p>
        </w:tc>
        <w:tc>
          <w:tcPr>
            <w:tcW w:w="2870" w:type="dxa"/>
            <w:tcBorders/>
            <w:shd w:fill="auto" w:val="clear"/>
          </w:tcPr>
          <w:p>
            <w:pPr>
              <w:pStyle w:val="TableContents"/>
              <w:spacing w:before="0" w:after="0"/>
              <w:ind w:left="0" w:right="0" w:hanging="0"/>
              <w:jc w:val="center"/>
              <w:rPr>
                <w:b/>
                <w:sz w:val="17"/>
              </w:rPr>
            </w:pPr>
            <w:r>
              <w:rPr>
                <w:b/>
                <w:sz w:val="17"/>
              </w:rPr>
              <w:t>95-3885184</w:t>
            </w:r>
          </w:p>
          <w:p>
            <w:pPr>
              <w:pStyle w:val="TableContents"/>
              <w:spacing w:before="0" w:after="0"/>
              <w:ind w:left="0" w:right="0" w:hanging="0"/>
              <w:jc w:val="center"/>
              <w:rPr>
                <w:sz w:val="17"/>
              </w:rPr>
            </w:pPr>
            <w:r>
              <w:rPr>
                <w:sz w:val="17"/>
              </w:rPr>
              <w:t>(I.R.S. Employer Identification Number)</w:t>
            </w:r>
          </w:p>
          <w:p>
            <w:pPr>
              <w:pStyle w:val="TableContents"/>
              <w:spacing w:before="0" w:after="0"/>
              <w:ind w:left="0" w:right="0" w:hanging="0"/>
              <w:jc w:val="center"/>
              <w:rPr/>
            </w:pPr>
            <w:r>
              <w:rPr/>
              <w:t> </w:t>
            </w:r>
          </w:p>
          <w:p>
            <w:pPr>
              <w:pStyle w:val="TableContents"/>
              <w:spacing w:before="0" w:after="0"/>
              <w:ind w:left="0" w:right="0" w:hanging="0"/>
              <w:jc w:val="center"/>
              <w:rPr>
                <w:sz w:val="17"/>
              </w:rPr>
            </w:pPr>
            <w:r>
              <w:rPr>
                <w:sz w:val="17"/>
              </w:rPr>
              <w:t>90045</w:t>
            </w:r>
          </w:p>
          <w:p>
            <w:pPr>
              <w:pStyle w:val="TableContents"/>
              <w:spacing w:before="0" w:after="0"/>
              <w:ind w:left="0" w:right="0" w:hanging="0"/>
              <w:jc w:val="center"/>
              <w:rPr>
                <w:sz w:val="17"/>
              </w:rPr>
            </w:pPr>
            <w:r>
              <w:rPr>
                <w:sz w:val="17"/>
              </w:rPr>
              <w:t>(Zip Code)</w:t>
            </w:r>
          </w:p>
        </w:tc>
      </w:tr>
    </w:tbl>
    <w:p>
      <w:pPr>
        <w:pStyle w:val="TextBody"/>
        <w:spacing w:before="0" w:after="0"/>
        <w:ind w:left="1440" w:right="1440" w:hanging="0"/>
        <w:jc w:val="both"/>
        <w:rPr/>
      </w:pPr>
      <w:r>
        <w:rPr/>
        <w:t xml:space="preserve">  </w:t>
      </w:r>
    </w:p>
    <w:p>
      <w:pPr>
        <w:pStyle w:val="TextBody"/>
        <w:spacing w:before="0" w:after="0"/>
        <w:ind w:left="1440" w:right="1440" w:hanging="0"/>
        <w:jc w:val="center"/>
        <w:rPr>
          <w:sz w:val="17"/>
        </w:rPr>
      </w:pPr>
      <w:r>
        <w:rPr>
          <w:sz w:val="17"/>
        </w:rPr>
        <w:t xml:space="preserve">Registrant’s telephone number, including Area Code:  (213) 235-2240 </w:t>
      </w:r>
    </w:p>
    <w:p>
      <w:pPr>
        <w:pStyle w:val="TextBody"/>
        <w:spacing w:before="0" w:after="0"/>
        <w:ind w:left="1440" w:right="1440" w:hanging="0"/>
        <w:jc w:val="center"/>
        <w:rPr>
          <w:sz w:val="17"/>
        </w:rPr>
      </w:pPr>
      <w:r>
        <w:rPr>
          <w:sz w:val="17"/>
        </w:rPr>
        <w:t xml:space="preserve">Securities Registered pursuant to Section 12(b) of the Act: </w:t>
      </w:r>
    </w:p>
    <w:p>
      <w:pPr>
        <w:pStyle w:val="TextBody"/>
        <w:spacing w:before="0" w:after="0"/>
        <w:ind w:left="1440" w:right="1440" w:hanging="0"/>
        <w:jc w:val="center"/>
        <w:rPr/>
      </w:pPr>
      <w:r>
        <w:rPr/>
        <w:t xml:space="preserve">  </w:t>
      </w:r>
    </w:p>
    <w:tbl>
      <w:tblPr>
        <w:tblW w:w="6880" w:type="dxa"/>
        <w:jc w:val="left"/>
        <w:tblInd w:w="1440" w:type="dxa"/>
        <w:tblCellMar>
          <w:top w:w="0" w:type="dxa"/>
          <w:left w:w="0" w:type="dxa"/>
          <w:bottom w:w="28" w:type="dxa"/>
          <w:right w:w="0" w:type="dxa"/>
        </w:tblCellMar>
      </w:tblPr>
      <w:tblGrid>
        <w:gridCol w:w="3770"/>
        <w:gridCol w:w="3110"/>
      </w:tblGrid>
      <w:tr>
        <w:trPr/>
        <w:tc>
          <w:tcPr>
            <w:tcW w:w="3770" w:type="dxa"/>
            <w:tcBorders>
              <w:bottom w:val="single" w:sz="8" w:space="0" w:color="000000"/>
            </w:tcBorders>
            <w:shd w:fill="auto" w:val="clear"/>
          </w:tcPr>
          <w:p>
            <w:pPr>
              <w:pStyle w:val="TableContents"/>
              <w:spacing w:before="0" w:after="0"/>
              <w:ind w:left="0" w:right="0" w:hanging="0"/>
              <w:jc w:val="center"/>
              <w:rPr>
                <w:sz w:val="17"/>
              </w:rPr>
            </w:pPr>
            <w:r>
              <w:rPr>
                <w:sz w:val="17"/>
              </w:rPr>
              <w:t>Title of each class</w:t>
            </w:r>
          </w:p>
        </w:tc>
        <w:tc>
          <w:tcPr>
            <w:tcW w:w="3110" w:type="dxa"/>
            <w:tcBorders>
              <w:bottom w:val="single" w:sz="8" w:space="0" w:color="000000"/>
            </w:tcBorders>
            <w:shd w:fill="auto" w:val="clear"/>
          </w:tcPr>
          <w:p>
            <w:pPr>
              <w:pStyle w:val="TableContents"/>
              <w:spacing w:before="0" w:after="0"/>
              <w:ind w:left="0" w:right="0" w:hanging="0"/>
              <w:jc w:val="center"/>
              <w:rPr>
                <w:sz w:val="17"/>
              </w:rPr>
            </w:pPr>
            <w:r>
              <w:rPr>
                <w:sz w:val="17"/>
              </w:rPr>
              <w:t>Name of each exchange on which registered</w:t>
            </w:r>
          </w:p>
        </w:tc>
      </w:tr>
      <w:tr>
        <w:trPr/>
        <w:tc>
          <w:tcPr>
            <w:tcW w:w="3770" w:type="dxa"/>
            <w:tcBorders>
              <w:top w:val="single" w:sz="8" w:space="0" w:color="000000"/>
            </w:tcBorders>
            <w:shd w:fill="auto" w:val="clear"/>
            <w:tcMar>
              <w:top w:w="28" w:type="dxa"/>
              <w:bottom w:w="0" w:type="dxa"/>
            </w:tcMar>
          </w:tcPr>
          <w:p>
            <w:pPr>
              <w:pStyle w:val="TableContents"/>
              <w:spacing w:before="0" w:after="0"/>
              <w:ind w:left="0" w:right="0" w:hanging="0"/>
              <w:jc w:val="center"/>
              <w:rPr>
                <w:b/>
                <w:sz w:val="17"/>
              </w:rPr>
            </w:pPr>
            <w:r>
              <w:rPr>
                <w:b/>
                <w:sz w:val="17"/>
              </w:rPr>
              <w:t>Class A Nonvoting Common Stock, $0.01 par value</w:t>
            </w:r>
          </w:p>
        </w:tc>
        <w:tc>
          <w:tcPr>
            <w:tcW w:w="3110" w:type="dxa"/>
            <w:tcBorders>
              <w:top w:val="single" w:sz="8" w:space="0" w:color="000000"/>
            </w:tcBorders>
            <w:shd w:fill="auto" w:val="clear"/>
            <w:tcMar>
              <w:top w:w="28" w:type="dxa"/>
              <w:bottom w:w="0" w:type="dxa"/>
            </w:tcMar>
          </w:tcPr>
          <w:p>
            <w:pPr>
              <w:pStyle w:val="TableContents"/>
              <w:spacing w:before="0" w:after="0"/>
              <w:ind w:left="0" w:right="0" w:hanging="0"/>
              <w:jc w:val="center"/>
              <w:rPr>
                <w:b/>
                <w:sz w:val="17"/>
              </w:rPr>
            </w:pPr>
            <w:r>
              <w:rPr>
                <w:b/>
                <w:sz w:val="17"/>
              </w:rPr>
              <w:t>NASDAQ</w:t>
            </w:r>
          </w:p>
        </w:tc>
      </w:tr>
      <w:tr>
        <w:trPr/>
        <w:tc>
          <w:tcPr>
            <w:tcW w:w="3770" w:type="dxa"/>
            <w:tcBorders/>
            <w:shd w:fill="auto" w:val="clear"/>
            <w:tcMar>
              <w:bottom w:w="0" w:type="dxa"/>
            </w:tcMar>
          </w:tcPr>
          <w:p>
            <w:pPr>
              <w:pStyle w:val="TableContents"/>
              <w:spacing w:before="0" w:after="0"/>
              <w:ind w:left="0" w:right="0" w:hanging="0"/>
              <w:jc w:val="center"/>
              <w:rPr>
                <w:b/>
                <w:sz w:val="17"/>
              </w:rPr>
            </w:pPr>
            <w:r>
              <w:rPr>
                <w:b/>
                <w:sz w:val="17"/>
              </w:rPr>
              <w:t>Class B Voting Common Stock, $0.01 par value</w:t>
            </w:r>
          </w:p>
        </w:tc>
        <w:tc>
          <w:tcPr>
            <w:tcW w:w="3110" w:type="dxa"/>
            <w:tcBorders/>
            <w:shd w:fill="auto" w:val="clear"/>
            <w:tcMar>
              <w:bottom w:w="0" w:type="dxa"/>
            </w:tcMar>
          </w:tcPr>
          <w:p>
            <w:pPr>
              <w:pStyle w:val="TableContents"/>
              <w:spacing w:before="0" w:after="0"/>
              <w:ind w:left="0" w:right="0" w:hanging="0"/>
              <w:jc w:val="center"/>
              <w:rPr>
                <w:b/>
                <w:sz w:val="17"/>
              </w:rPr>
            </w:pPr>
            <w:r>
              <w:rPr>
                <w:b/>
                <w:sz w:val="17"/>
              </w:rPr>
              <w:t>NASDAQ</w:t>
            </w:r>
          </w:p>
        </w:tc>
      </w:tr>
    </w:tbl>
    <w:p>
      <w:pPr>
        <w:pStyle w:val="TextBody"/>
        <w:pBdr/>
        <w:spacing w:before="0" w:after="0"/>
        <w:ind w:left="1440" w:right="1440" w:hanging="0"/>
        <w:jc w:val="center"/>
        <w:rPr/>
      </w:pPr>
      <w:r>
        <w:rPr/>
        <w:t xml:space="preserve">  </w:t>
      </w:r>
    </w:p>
    <w:p>
      <w:pPr>
        <w:pStyle w:val="TextBody"/>
        <w:pBdr/>
        <w:spacing w:before="0" w:after="0"/>
        <w:ind w:left="1440" w:right="1440" w:hanging="0"/>
        <w:jc w:val="center"/>
        <w:rPr>
          <w:sz w:val="17"/>
        </w:rPr>
      </w:pPr>
      <w:r>
        <w:rPr>
          <w:b/>
          <w:sz w:val="17"/>
        </w:rPr>
        <w:t>Securities registered pursuant to Section 12(g) of the Act:  None</w:t>
      </w:r>
      <w:r>
        <w:rPr>
          <w:sz w:val="17"/>
        </w:rPr>
        <w:t xml:space="preserve"> </w:t>
      </w:r>
    </w:p>
    <w:p>
      <w:pPr>
        <w:pStyle w:val="TextBody"/>
        <w:pBdr/>
        <w:spacing w:before="0" w:after="120"/>
        <w:ind w:left="1440" w:right="1440" w:hanging="0"/>
        <w:jc w:val="both"/>
        <w:rPr/>
      </w:pPr>
      <w:r>
        <w:rPr/>
        <w:t>            </w:t>
      </w:r>
      <w:r>
        <w:rPr>
          <w:sz w:val="17"/>
        </w:rPr>
        <w:t xml:space="preserve">Indicate by check mark if the registrant is a well-known seasoned issuer, as defined in Rule 405 of the Securities Act.  Yes   No </w:t>
      </w:r>
      <w:r>
        <w:rPr>
          <w:rFonts w:ascii="Wingdings" w:hAnsi="Wingdings"/>
          <w:sz w:val="17"/>
        </w:rPr>
        <w:t>þ</w:t>
      </w:r>
      <w:r>
        <w:rPr>
          <w:sz w:val="17"/>
        </w:rPr>
        <w:t xml:space="preserve"> </w:t>
      </w:r>
    </w:p>
    <w:p>
      <w:pPr>
        <w:pStyle w:val="TextBody"/>
        <w:pBdr/>
        <w:spacing w:before="0" w:after="120"/>
        <w:ind w:left="1440" w:right="1440" w:hanging="0"/>
        <w:jc w:val="both"/>
        <w:rPr/>
      </w:pPr>
      <w:r>
        <w:rPr/>
        <w:t>            </w:t>
      </w:r>
      <w:r>
        <w:rPr>
          <w:sz w:val="17"/>
        </w:rPr>
        <w:t xml:space="preserve">If this report is an annual or transition report, indicate by check mark if the registrant is not required to file reports pursuant to Section 13 or 15(d) of the Securities Exchange Act of 1934.  Yes   No </w:t>
      </w:r>
      <w:r>
        <w:rPr>
          <w:rFonts w:ascii="Wingdings" w:hAnsi="Wingdings"/>
          <w:sz w:val="17"/>
        </w:rPr>
        <w:t>þ</w:t>
      </w:r>
      <w:r>
        <w:rPr>
          <w:sz w:val="17"/>
        </w:rPr>
        <w:t xml:space="preserve"> </w:t>
      </w:r>
    </w:p>
    <w:p>
      <w:pPr>
        <w:pStyle w:val="TextBody"/>
        <w:spacing w:lineRule="auto" w:line="240" w:before="0" w:after="120"/>
        <w:ind w:left="1440" w:right="1440" w:hanging="0"/>
        <w:jc w:val="both"/>
        <w:rPr/>
      </w:pPr>
      <w:r>
        <w:rPr/>
        <w:t>            </w:t>
      </w:r>
      <w:r>
        <w:rPr>
          <w:sz w:val="17"/>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Wingdings" w:hAnsi="Wingdings"/>
          <w:sz w:val="17"/>
        </w:rPr>
        <w:t>þ</w:t>
      </w:r>
      <w:r>
        <w:rPr>
          <w:sz w:val="17"/>
        </w:rPr>
        <w:t xml:space="preserve"> No  </w:t>
      </w:r>
    </w:p>
    <w:p>
      <w:pPr>
        <w:pStyle w:val="TextBody"/>
        <w:pBdr/>
        <w:spacing w:before="0" w:after="120"/>
        <w:ind w:left="1440" w:right="1440" w:hanging="0"/>
        <w:jc w:val="both"/>
        <w:rPr/>
      </w:pPr>
      <w:r>
        <w:rPr/>
        <w:t>            </w:t>
      </w:r>
      <w:r>
        <w:rPr>
          <w:sz w:val="17"/>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Wingdings" w:hAnsi="Wingdings"/>
          <w:sz w:val="17"/>
        </w:rPr>
        <w:t>þ</w:t>
      </w:r>
      <w:r>
        <w:rPr>
          <w:sz w:val="17"/>
        </w:rPr>
        <w:t xml:space="preserve"> No  </w:t>
      </w:r>
    </w:p>
    <w:p>
      <w:pPr>
        <w:pStyle w:val="TextBody"/>
        <w:pBdr/>
        <w:spacing w:before="0" w:after="120"/>
        <w:ind w:left="1440" w:right="1440" w:hanging="0"/>
        <w:jc w:val="both"/>
        <w:rPr/>
      </w:pPr>
      <w:r>
        <w:rPr/>
        <w:t>            </w:t>
      </w:r>
      <w:r>
        <w:rPr>
          <w:sz w:val="17"/>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 </w:t>
      </w:r>
    </w:p>
    <w:p>
      <w:pPr>
        <w:pStyle w:val="TextBody"/>
        <w:pBdr/>
        <w:spacing w:lineRule="auto" w:line="240" w:before="0" w:after="0"/>
        <w:ind w:left="1440" w:right="1440" w:hanging="0"/>
        <w:jc w:val="both"/>
        <w:rPr/>
      </w:pPr>
      <w:r>
        <w:rPr/>
        <w:t>            </w:t>
      </w:r>
      <w:r>
        <w:rPr>
          <w:sz w:val="17"/>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p>
      <w:pPr>
        <w:pStyle w:val="TextBody"/>
        <w:pBdr/>
        <w:spacing w:lineRule="auto" w:line="240" w:before="0" w:after="120"/>
        <w:ind w:left="1440" w:right="1440" w:hanging="0"/>
        <w:jc w:val="both"/>
        <w:rPr>
          <w:sz w:val="17"/>
        </w:rPr>
      </w:pPr>
      <w:r>
        <w:rPr>
          <w:sz w:val="17"/>
        </w:rPr>
        <w:t xml:space="preserve">Large accelerated filer     Accelerated filer </w:t>
      </w:r>
      <w:r>
        <w:rPr>
          <w:rFonts w:ascii="Wingdings" w:hAnsi="Wingdings"/>
          <w:sz w:val="17"/>
        </w:rPr>
        <w:t>þ</w:t>
      </w:r>
      <w:r>
        <w:rPr>
          <w:sz w:val="17"/>
        </w:rPr>
        <w:t xml:space="preserve">   Non-accelerated filer    Smaller reporting company  </w:t>
      </w:r>
    </w:p>
    <w:p>
      <w:pPr>
        <w:pStyle w:val="TextBody"/>
        <w:pBdr/>
        <w:spacing w:lineRule="auto" w:line="240" w:before="0" w:after="120"/>
        <w:ind w:left="1440" w:right="1440" w:hanging="0"/>
        <w:jc w:val="both"/>
        <w:rPr/>
      </w:pPr>
      <w:r>
        <w:rPr/>
        <w:t>            </w:t>
      </w:r>
      <w:r>
        <w:rPr>
          <w:sz w:val="17"/>
        </w:rPr>
        <w:t xml:space="preserve">Indicate by check mark whether the registrant is a shell company (as defined in Rule 12b-2 of the Exchange Act).  Yes    No  </w:t>
      </w:r>
      <w:r>
        <w:rPr>
          <w:rFonts w:ascii="Wingdings" w:hAnsi="Wingdings"/>
          <w:sz w:val="17"/>
        </w:rPr>
        <w:t>þ</w:t>
      </w:r>
      <w:r>
        <w:rPr>
          <w:sz w:val="17"/>
        </w:rPr>
        <w:t xml:space="preserve"> </w:t>
      </w:r>
    </w:p>
    <w:p>
      <w:pPr>
        <w:pStyle w:val="TextBody"/>
        <w:pBdr/>
        <w:spacing w:lineRule="auto" w:line="240" w:before="0" w:after="120"/>
        <w:ind w:left="1440" w:right="1440" w:hanging="0"/>
        <w:jc w:val="both"/>
        <w:rPr/>
      </w:pPr>
      <w:r>
        <w:rPr/>
        <w:t>            </w:t>
      </w:r>
      <w:r>
        <w:rPr>
          <w:sz w:val="17"/>
        </w:rPr>
        <w:t xml:space="preserve">Indicate the number of shares outstanding of each of the issuer’s classes of common stock, as of the latest practicable date.  As of March 18, 2013, there were 21,805,665 shares of class A non-voting common stock, par value $0.01 per share and 1,495,490 shares of class B voting common stock, par value $0.01 per share, outstanding.    The aggregate market value of voting and nonvoting stock held by non-affiliates of the Registrant was $93,911,612 as of June 30, 2012. </w:t>
      </w:r>
    </w:p>
    <w:p>
      <w:pPr>
        <w:pStyle w:val="HorizontalLine"/>
        <w:pBdr>
          <w:bottom w:val="double" w:sz="6" w:space="0" w:color="808080"/>
        </w:pBdr>
        <w:ind w:left="1440" w:right="1440" w:hanging="0"/>
        <w:rPr/>
      </w:pPr>
      <w:r>
        <w:rPr/>
      </w:r>
      <w:r>
        <w:br w:type="page"/>
      </w:r>
    </w:p>
    <w:p>
      <w:pPr>
        <w:pStyle w:val="TextBody"/>
        <w:ind w:left="1440" w:right="1440" w:hanging="0"/>
        <w:rPr/>
      </w:pPr>
      <w:r>
        <w:rPr/>
        <w:t> </w:t>
      </w:r>
    </w:p>
    <w:p>
      <w:pPr>
        <w:pStyle w:val="TextBody"/>
        <w:pBdr/>
        <w:spacing w:before="120" w:after="120"/>
        <w:ind w:left="1440" w:right="1440" w:hanging="0"/>
        <w:jc w:val="center"/>
        <w:rPr/>
      </w:pPr>
      <w:r>
        <w:rPr/>
        <w:t xml:space="preserve">  </w:t>
      </w:r>
    </w:p>
    <w:p>
      <w:pPr>
        <w:pStyle w:val="TextBody"/>
        <w:pBdr/>
        <w:spacing w:before="120" w:after="120"/>
        <w:ind w:left="1440" w:right="1440" w:hanging="0"/>
        <w:jc w:val="center"/>
        <w:rPr>
          <w:rFonts w:ascii="Arial" w:hAnsi="Arial"/>
          <w:b/>
          <w:sz w:val="17"/>
        </w:rPr>
      </w:pPr>
      <w:r>
        <w:rPr>
          <w:rFonts w:ascii="Times New Roman" w:hAnsi="Times New Roman"/>
          <w:b/>
          <w:sz w:val="17"/>
        </w:rPr>
        <w:t>READING INTERNATIONAL, INC.</w:t>
      </w:r>
      <w:r>
        <w:rPr>
          <w:rFonts w:ascii="Arial" w:hAnsi="Arial"/>
          <w:b/>
          <w:sz w:val="17"/>
        </w:rPr>
        <w:t xml:space="preserve"> </w:t>
      </w:r>
    </w:p>
    <w:p>
      <w:pPr>
        <w:pStyle w:val="TextBody"/>
        <w:spacing w:before="0" w:after="0"/>
        <w:ind w:left="1440" w:right="1440" w:hanging="0"/>
        <w:jc w:val="center"/>
        <w:rPr>
          <w:sz w:val="17"/>
        </w:rPr>
      </w:pPr>
      <w:r>
        <w:rPr>
          <w:b/>
          <w:sz w:val="17"/>
        </w:rPr>
        <w:t>ANNUAL REPORT ON FORM 10-K</w:t>
      </w:r>
      <w:r>
        <w:rPr>
          <w:sz w:val="17"/>
        </w:rPr>
        <w:t xml:space="preserve"> </w:t>
      </w:r>
    </w:p>
    <w:p>
      <w:pPr>
        <w:pStyle w:val="TextBody"/>
        <w:spacing w:before="0" w:after="0"/>
        <w:ind w:left="1440" w:right="1440" w:hanging="0"/>
        <w:jc w:val="center"/>
        <w:rPr>
          <w:sz w:val="17"/>
        </w:rPr>
      </w:pPr>
      <w:r>
        <w:rPr>
          <w:b/>
          <w:sz w:val="17"/>
        </w:rPr>
        <w:t>YEAR ENDED DECEMBER 31, 2012</w:t>
      </w:r>
      <w:r>
        <w:rPr>
          <w:sz w:val="17"/>
        </w:rPr>
        <w:t xml:space="preserve"> </w:t>
      </w:r>
    </w:p>
    <w:p>
      <w:pPr>
        <w:pStyle w:val="TextBody"/>
        <w:spacing w:before="0" w:after="0"/>
        <w:ind w:left="1440" w:right="1440" w:hanging="0"/>
        <w:jc w:val="center"/>
        <w:rPr>
          <w:rFonts w:ascii="Arial" w:hAnsi="Arial"/>
          <w:b/>
          <w:sz w:val="17"/>
        </w:rPr>
      </w:pPr>
      <w:r>
        <w:rPr>
          <w:rFonts w:ascii="Times New Roman" w:hAnsi="Times New Roman"/>
          <w:b/>
          <w:sz w:val="17"/>
          <w:u w:val="single"/>
        </w:rPr>
        <w:t>INDEX</w:t>
      </w:r>
      <w:r>
        <w:rPr>
          <w:rFonts w:ascii="Arial" w:hAnsi="Arial"/>
          <w:b/>
          <w:sz w:val="17"/>
        </w:rPr>
        <w:t xml:space="preserve"> </w:t>
      </w:r>
    </w:p>
    <w:tbl>
      <w:tblPr>
        <w:tblW w:w="7325" w:type="dxa"/>
        <w:jc w:val="left"/>
        <w:tblInd w:w="1440" w:type="dxa"/>
        <w:tblCellMar>
          <w:top w:w="0" w:type="dxa"/>
          <w:left w:w="0" w:type="dxa"/>
          <w:bottom w:w="0" w:type="dxa"/>
          <w:right w:w="0" w:type="dxa"/>
        </w:tblCellMar>
      </w:tblPr>
      <w:tblGrid>
        <w:gridCol w:w="7020"/>
        <w:gridCol w:w="305"/>
      </w:tblGrid>
      <w:tr>
        <w:trPr/>
        <w:tc>
          <w:tcPr>
            <w:tcW w:w="7020" w:type="dxa"/>
            <w:tcBorders/>
            <w:shd w:fill="auto" w:val="clear"/>
            <w:vAlign w:val="bottom"/>
          </w:tcPr>
          <w:p>
            <w:pPr>
              <w:pStyle w:val="TableContents"/>
              <w:spacing w:before="0" w:after="200"/>
              <w:ind w:left="0" w:right="0" w:hanging="0"/>
              <w:jc w:val="both"/>
              <w:rPr/>
            </w:pPr>
            <w:r>
              <w:rPr/>
              <w:t> </w:t>
            </w:r>
          </w:p>
        </w:tc>
        <w:tc>
          <w:tcPr>
            <w:tcW w:w="305" w:type="dxa"/>
            <w:tcBorders/>
            <w:shd w:fill="auto" w:val="clear"/>
            <w:vAlign w:val="bottom"/>
          </w:tcPr>
          <w:p>
            <w:pPr>
              <w:pStyle w:val="TableContents"/>
              <w:spacing w:before="0" w:after="200"/>
              <w:ind w:left="0" w:right="0" w:hanging="0"/>
              <w:jc w:val="both"/>
              <w:rPr/>
            </w:pPr>
            <w:r>
              <w:rPr/>
              <w:t> </w:t>
            </w:r>
          </w:p>
        </w:tc>
      </w:tr>
      <w:tr>
        <w:trPr/>
        <w:tc>
          <w:tcPr>
            <w:tcW w:w="7020" w:type="dxa"/>
            <w:tcBorders/>
            <w:shd w:fill="CCEEFF" w:val="clear"/>
            <w:vAlign w:val="bottom"/>
          </w:tcPr>
          <w:p>
            <w:pPr>
              <w:pStyle w:val="TableContents"/>
              <w:spacing w:before="120" w:after="120"/>
              <w:ind w:left="0" w:right="0" w:hanging="0"/>
              <w:jc w:val="both"/>
              <w:rPr>
                <w:b/>
                <w:sz w:val="17"/>
              </w:rPr>
            </w:pPr>
            <w:r>
              <w:rPr>
                <w:b/>
                <w:sz w:val="17"/>
              </w:rPr>
              <w:t>PART I</w:t>
            </w:r>
          </w:p>
        </w:tc>
        <w:tc>
          <w:tcPr>
            <w:tcW w:w="305" w:type="dxa"/>
            <w:tcBorders/>
            <w:shd w:fill="CCEEFF" w:val="clear"/>
            <w:vAlign w:val="bottom"/>
          </w:tcPr>
          <w:p>
            <w:pPr>
              <w:pStyle w:val="TableContents"/>
              <w:spacing w:before="120" w:after="120"/>
              <w:ind w:left="0" w:right="0" w:hanging="0"/>
              <w:jc w:val="left"/>
              <w:rPr>
                <w:b/>
                <w:sz w:val="17"/>
              </w:rPr>
            </w:pPr>
            <w:r>
              <w:rPr>
                <w:b/>
                <w:sz w:val="17"/>
              </w:rPr>
              <w:t>3</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1 – Our Business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3</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Item 1A – Risk Factors</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11</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1B - Unresolved Staff Comments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18</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Item 2 – Properties</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19</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3 – Legal Proceedings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26</w:t>
            </w:r>
          </w:p>
        </w:tc>
      </w:tr>
      <w:tr>
        <w:trPr/>
        <w:tc>
          <w:tcPr>
            <w:tcW w:w="7020" w:type="dxa"/>
            <w:tcBorders/>
            <w:shd w:fill="CCEEFF" w:val="clear"/>
            <w:vAlign w:val="bottom"/>
          </w:tcPr>
          <w:p>
            <w:pPr>
              <w:pStyle w:val="TableContents"/>
              <w:spacing w:before="120" w:after="120"/>
              <w:ind w:left="0" w:right="0" w:hanging="0"/>
              <w:jc w:val="both"/>
              <w:rPr>
                <w:b/>
                <w:sz w:val="17"/>
              </w:rPr>
            </w:pPr>
            <w:r>
              <w:rPr>
                <w:b/>
                <w:sz w:val="17"/>
              </w:rPr>
              <w:t>PART II</w:t>
            </w:r>
          </w:p>
        </w:tc>
        <w:tc>
          <w:tcPr>
            <w:tcW w:w="305" w:type="dxa"/>
            <w:tcBorders/>
            <w:shd w:fill="CCEEFF" w:val="clear"/>
            <w:vAlign w:val="bottom"/>
          </w:tcPr>
          <w:p>
            <w:pPr>
              <w:pStyle w:val="TableContents"/>
              <w:spacing w:before="120" w:after="120"/>
              <w:ind w:left="0" w:right="0" w:hanging="0"/>
              <w:jc w:val="left"/>
              <w:rPr>
                <w:b/>
                <w:sz w:val="17"/>
              </w:rPr>
            </w:pPr>
            <w:r>
              <w:rPr>
                <w:b/>
                <w:sz w:val="17"/>
              </w:rPr>
              <w:t>28</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5 – Market for Registrant’s Common Equity, Related Stockholder Matters and Issuer Purchases of Equity Securities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28</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Item 6 – Selected Financial Data</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30</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7 – Management’s Discussions and Analysis of Financial Condition and Results of Operations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32</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Item 7A – Quantitative and Qualitative Disclosure about Market Risk</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52</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8 – Financial Statements and Supplementary Data</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53</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Reports of Independent Registered Public Accounting Firms</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54</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Consolidated Balance Sheets as of December 31, 2012 and 2011</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56</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Consolidated Statements of Operations for the Three Years Ended December 31, 2012</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57</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Consolidated Statements of Comprehensive Income (Loss) for the Three Years Ended December 31, 2012</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58</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Consolidated Statements of Stockholders’ Equity for the Three Years Ended December 31, 2012</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59</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Consolidated Statements of Cash Flows for the Three Years Ended December 31, 2012</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60</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Notes to Consolidated Financial Statements</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61</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Schedule II – Valuation and Qualifying Accounts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102</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Item 9 – Change in and Disagreements with Accountants on Accounting and Financial Disclosure</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103</w:t>
            </w:r>
          </w:p>
        </w:tc>
      </w:tr>
      <w:tr>
        <w:trPr/>
        <w:tc>
          <w:tcPr>
            <w:tcW w:w="7020" w:type="dxa"/>
            <w:tcBorders/>
            <w:shd w:fill="FFFFFF" w:val="clear"/>
            <w:vAlign w:val="bottom"/>
          </w:tcPr>
          <w:p>
            <w:pPr>
              <w:pStyle w:val="TableContents"/>
              <w:spacing w:before="120" w:after="120"/>
              <w:ind w:left="0" w:right="0" w:hanging="0"/>
              <w:jc w:val="both"/>
              <w:rPr>
                <w:b w:val="false"/>
                <w:sz w:val="17"/>
              </w:rPr>
            </w:pPr>
            <w:r>
              <w:rPr>
                <w:b w:val="false"/>
                <w:sz w:val="17"/>
              </w:rPr>
              <w:t>Item 9A – Controls and Procedures</w:t>
            </w:r>
          </w:p>
        </w:tc>
        <w:tc>
          <w:tcPr>
            <w:tcW w:w="305" w:type="dxa"/>
            <w:tcBorders/>
            <w:shd w:fill="FFFFFF" w:val="clear"/>
            <w:vAlign w:val="bottom"/>
          </w:tcPr>
          <w:p>
            <w:pPr>
              <w:pStyle w:val="TableContents"/>
              <w:spacing w:before="120" w:after="120"/>
              <w:ind w:left="0" w:right="0" w:hanging="0"/>
              <w:jc w:val="left"/>
              <w:rPr>
                <w:b w:val="false"/>
                <w:sz w:val="17"/>
              </w:rPr>
            </w:pPr>
            <w:r>
              <w:rPr>
                <w:b w:val="false"/>
                <w:sz w:val="17"/>
              </w:rPr>
              <w:t>104</w:t>
            </w:r>
          </w:p>
        </w:tc>
      </w:tr>
      <w:tr>
        <w:trPr/>
        <w:tc>
          <w:tcPr>
            <w:tcW w:w="7020" w:type="dxa"/>
            <w:tcBorders/>
            <w:shd w:fill="CCEEFF" w:val="clear"/>
            <w:vAlign w:val="bottom"/>
          </w:tcPr>
          <w:p>
            <w:pPr>
              <w:pStyle w:val="TableContents"/>
              <w:spacing w:before="120" w:after="120"/>
              <w:ind w:left="0" w:right="0" w:hanging="0"/>
              <w:jc w:val="both"/>
              <w:rPr>
                <w:b/>
                <w:sz w:val="17"/>
              </w:rPr>
            </w:pPr>
            <w:r>
              <w:rPr>
                <w:b/>
                <w:sz w:val="17"/>
              </w:rPr>
              <w:t>PART III</w:t>
            </w:r>
          </w:p>
        </w:tc>
        <w:tc>
          <w:tcPr>
            <w:tcW w:w="305" w:type="dxa"/>
            <w:tcBorders/>
            <w:shd w:fill="CCEEFF" w:val="clear"/>
            <w:vAlign w:val="bottom"/>
          </w:tcPr>
          <w:p>
            <w:pPr>
              <w:pStyle w:val="TableContents"/>
              <w:spacing w:before="120" w:after="120"/>
              <w:ind w:left="0" w:right="0" w:hanging="0"/>
              <w:jc w:val="left"/>
              <w:rPr>
                <w:b/>
                <w:sz w:val="17"/>
              </w:rPr>
            </w:pPr>
            <w:r>
              <w:rPr>
                <w:b/>
                <w:sz w:val="17"/>
              </w:rPr>
              <w:t>106</w:t>
            </w:r>
          </w:p>
        </w:tc>
      </w:tr>
      <w:tr>
        <w:trPr/>
        <w:tc>
          <w:tcPr>
            <w:tcW w:w="7020" w:type="dxa"/>
            <w:tcBorders/>
            <w:shd w:fill="FFFFFF" w:val="clear"/>
            <w:vAlign w:val="bottom"/>
          </w:tcPr>
          <w:p>
            <w:pPr>
              <w:pStyle w:val="TableContents"/>
              <w:spacing w:before="120" w:after="120"/>
              <w:ind w:left="0" w:right="0" w:hanging="0"/>
              <w:jc w:val="both"/>
              <w:rPr>
                <w:b/>
                <w:sz w:val="17"/>
              </w:rPr>
            </w:pPr>
            <w:r>
              <w:rPr>
                <w:b/>
                <w:sz w:val="17"/>
              </w:rPr>
              <w:t>PART IV</w:t>
            </w:r>
          </w:p>
        </w:tc>
        <w:tc>
          <w:tcPr>
            <w:tcW w:w="305" w:type="dxa"/>
            <w:tcBorders/>
            <w:shd w:fill="FFFFFF" w:val="clear"/>
            <w:vAlign w:val="bottom"/>
          </w:tcPr>
          <w:p>
            <w:pPr>
              <w:pStyle w:val="TableContents"/>
              <w:spacing w:before="120" w:after="120"/>
              <w:ind w:left="0" w:right="0" w:hanging="0"/>
              <w:jc w:val="left"/>
              <w:rPr>
                <w:b/>
                <w:sz w:val="17"/>
              </w:rPr>
            </w:pPr>
            <w:r>
              <w:rPr>
                <w:b/>
                <w:sz w:val="17"/>
              </w:rPr>
              <w:t>107</w:t>
            </w:r>
          </w:p>
        </w:tc>
      </w:tr>
      <w:tr>
        <w:trPr/>
        <w:tc>
          <w:tcPr>
            <w:tcW w:w="7020" w:type="dxa"/>
            <w:tcBorders/>
            <w:shd w:fill="CCEEFF" w:val="clear"/>
            <w:vAlign w:val="bottom"/>
          </w:tcPr>
          <w:p>
            <w:pPr>
              <w:pStyle w:val="TableContents"/>
              <w:spacing w:before="120" w:after="120"/>
              <w:ind w:left="0" w:right="0" w:hanging="0"/>
              <w:jc w:val="both"/>
              <w:rPr>
                <w:b w:val="false"/>
                <w:sz w:val="17"/>
              </w:rPr>
            </w:pPr>
            <w:r>
              <w:rPr>
                <w:b w:val="false"/>
                <w:sz w:val="17"/>
              </w:rPr>
              <w:t>Item 15 – Exhibits, Financial Statement Schedules</w:t>
            </w:r>
          </w:p>
        </w:tc>
        <w:tc>
          <w:tcPr>
            <w:tcW w:w="305" w:type="dxa"/>
            <w:tcBorders/>
            <w:shd w:fill="CCEEFF" w:val="clear"/>
            <w:vAlign w:val="bottom"/>
          </w:tcPr>
          <w:p>
            <w:pPr>
              <w:pStyle w:val="TableContents"/>
              <w:spacing w:before="120" w:after="120"/>
              <w:ind w:left="0" w:right="0" w:hanging="0"/>
              <w:jc w:val="left"/>
              <w:rPr>
                <w:b w:val="false"/>
                <w:sz w:val="17"/>
              </w:rPr>
            </w:pPr>
            <w:r>
              <w:rPr>
                <w:b w:val="false"/>
                <w:sz w:val="17"/>
              </w:rPr>
              <w:t>107</w:t>
            </w:r>
          </w:p>
        </w:tc>
      </w:tr>
      <w:tr>
        <w:trPr/>
        <w:tc>
          <w:tcPr>
            <w:tcW w:w="7020" w:type="dxa"/>
            <w:tcBorders/>
            <w:shd w:fill="FFFFFF" w:val="clear"/>
            <w:vAlign w:val="bottom"/>
          </w:tcPr>
          <w:p>
            <w:pPr>
              <w:pStyle w:val="TableContents"/>
              <w:spacing w:before="120" w:after="120"/>
              <w:ind w:left="0" w:right="0" w:hanging="0"/>
              <w:jc w:val="both"/>
              <w:rPr>
                <w:b/>
                <w:sz w:val="17"/>
              </w:rPr>
            </w:pPr>
            <w:r>
              <w:rPr>
                <w:b/>
                <w:sz w:val="17"/>
              </w:rPr>
              <w:t>SIGNATURES</w:t>
            </w:r>
          </w:p>
        </w:tc>
        <w:tc>
          <w:tcPr>
            <w:tcW w:w="305" w:type="dxa"/>
            <w:tcBorders/>
            <w:shd w:fill="FFFFFF" w:val="clear"/>
            <w:vAlign w:val="bottom"/>
          </w:tcPr>
          <w:p>
            <w:pPr>
              <w:pStyle w:val="TableContents"/>
              <w:spacing w:before="120" w:after="120"/>
              <w:ind w:left="0" w:right="0" w:hanging="0"/>
              <w:jc w:val="left"/>
              <w:rPr>
                <w:b/>
                <w:sz w:val="17"/>
              </w:rPr>
            </w:pPr>
            <w:r>
              <w:rPr>
                <w:b/>
                <w:sz w:val="17"/>
              </w:rPr>
              <w:t>128</w:t>
            </w:r>
          </w:p>
        </w:tc>
      </w:tr>
    </w:tbl>
    <w:p>
      <w:pPr>
        <w:pStyle w:val="TextBody"/>
        <w:spacing w:before="0" w:after="0"/>
        <w:ind w:left="1440" w:right="1440" w:hanging="0"/>
        <w:jc w:val="both"/>
        <w:rPr/>
      </w:pPr>
      <w:r>
        <w:rPr/>
        <w:t xml:space="preserve">  </w:t>
      </w:r>
    </w:p>
    <w:p>
      <w:pPr>
        <w:pStyle w:val="TextBody"/>
        <w:spacing w:before="100" w:after="100"/>
        <w:ind w:left="1440" w:right="1440" w:hanging="0"/>
        <w:jc w:val="both"/>
        <w:rPr/>
      </w:pPr>
      <w:r>
        <w:rPr/>
        <w:t xml:space="preserve">  </w:t>
      </w:r>
    </w:p>
    <w:p>
      <w:pPr>
        <w:pStyle w:val="TextBody"/>
        <w:spacing w:before="100" w:after="100"/>
        <w:ind w:left="1440" w:right="144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center"/>
        <w:rPr>
          <w:sz w:val="17"/>
        </w:rPr>
      </w:pPr>
      <w:r>
        <w:rPr>
          <w:b/>
          <w:sz w:val="17"/>
          <w:u w:val="single"/>
        </w:rPr>
        <w:t>PART I</w:t>
      </w:r>
      <w:r>
        <w:rPr>
          <w:sz w:val="17"/>
        </w:rPr>
        <w:t xml:space="preserve"> </w:t>
      </w:r>
    </w:p>
    <w:p>
      <w:pPr>
        <w:pStyle w:val="TextBody"/>
        <w:spacing w:before="0" w:after="200"/>
        <w:ind w:left="1440" w:right="0" w:hanging="0"/>
        <w:jc w:val="center"/>
        <w:rPr>
          <w:sz w:val="17"/>
        </w:rPr>
      </w:pPr>
      <w:r>
        <w:rPr>
          <w:b/>
          <w:sz w:val="17"/>
          <w:u w:val="single"/>
        </w:rPr>
        <w:t>Item 1 – Our Business</w:t>
      </w:r>
      <w:r>
        <w:rPr>
          <w:sz w:val="17"/>
        </w:rPr>
        <w:t xml:space="preserve"> </w:t>
      </w:r>
    </w:p>
    <w:p>
      <w:pPr>
        <w:pStyle w:val="TextBody"/>
        <w:spacing w:before="0" w:after="200"/>
        <w:ind w:left="1440" w:right="0" w:hanging="0"/>
        <w:jc w:val="both"/>
        <w:rPr>
          <w:sz w:val="17"/>
        </w:rPr>
      </w:pPr>
      <w:r>
        <w:rPr>
          <w:b/>
          <w:sz w:val="17"/>
          <w:u w:val="single"/>
        </w:rPr>
        <w:t>General Description of Our Business</w:t>
      </w:r>
      <w:r>
        <w:rPr>
          <w:sz w:val="17"/>
        </w:rPr>
        <w:t xml:space="preserve"> </w:t>
      </w:r>
    </w:p>
    <w:p>
      <w:pPr>
        <w:pStyle w:val="TextBody"/>
        <w:spacing w:before="0" w:after="200"/>
        <w:ind w:left="1440" w:right="0" w:hanging="0"/>
        <w:jc w:val="both"/>
        <w:rPr/>
      </w:pPr>
      <w:r>
        <w:rPr/>
        <w:t>            </w:t>
      </w:r>
      <w:r>
        <w:rPr>
          <w:sz w:val="17"/>
        </w:rPr>
        <w:t xml:space="preserve">Reading International, Inc., a Nevada corporation (“RDI”), was incorporated in 1999 incident to our reincorporation in Nevada.  Our class A non-voting common stock (“Class A Stock”) and class B voting common stock (“Class B Stock”) are listed for trading on the NASDAQ Capital Market (Nasdaq-CM) under the symbols RDI and RDIB, respectively.  Our principal executive offices are located at 6100 Center Drive, Suite 900, Los Angeles, California 90045.  Our general telephone number is (213) 235-2240 and our website is </w:t>
      </w:r>
      <w:r>
        <w:rPr>
          <w:sz w:val="17"/>
          <w:u w:val="single"/>
        </w:rPr>
        <w:t>www.readingrdi.com</w:t>
      </w:r>
      <w:r>
        <w:rPr>
          <w:sz w:val="17"/>
        </w:rPr>
        <w:t xml:space="preserve">.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In this Annual Report, we from time to time use terms such as the “Company,” “Reading” and “we,” “us,” or “our” to refer collectively to RDI and our various consolidated subsidiaries and corporate predecessors. </w:t>
      </w:r>
    </w:p>
    <w:p>
      <w:pPr>
        <w:pStyle w:val="TextBody"/>
        <w:spacing w:before="0" w:after="200"/>
        <w:ind w:left="1440" w:right="0" w:hanging="0"/>
        <w:jc w:val="both"/>
        <w:rPr/>
      </w:pPr>
      <w:r>
        <w:rPr/>
        <w:t>            </w:t>
      </w:r>
      <w:r>
        <w:rPr>
          <w:b/>
          <w:sz w:val="17"/>
        </w:rPr>
        <w:t>We are an internationally diversified “hard asset” company principally focused on the development, ownership and operation of entertainment and real property assets in the United States, Australia, and New Zealand.  Currently, we have two business segments:</w:t>
      </w:r>
      <w:r>
        <w:rPr>
          <w:sz w:val="17"/>
        </w:rPr>
        <w:t xml:space="preserve"> </w:t>
      </w:r>
    </w:p>
    <w:tbl>
      <w:tblPr>
        <w:tblW w:w="3820" w:type="dxa"/>
        <w:jc w:val="left"/>
        <w:tblInd w:w="1440" w:type="dxa"/>
        <w:tblCellMar>
          <w:top w:w="0" w:type="dxa"/>
          <w:left w:w="0" w:type="dxa"/>
          <w:bottom w:w="0" w:type="dxa"/>
          <w:right w:w="0" w:type="dxa"/>
        </w:tblCellMar>
      </w:tblPr>
      <w:tblGrid>
        <w:gridCol w:w="215"/>
        <w:gridCol w:w="3605"/>
      </w:tblGrid>
      <w:tr>
        <w:trPr/>
        <w:tc>
          <w:tcPr>
            <w:tcW w:w="215" w:type="dxa"/>
            <w:tcBorders/>
            <w:shd w:fill="auto" w:val="clear"/>
          </w:tcPr>
          <w:p>
            <w:pPr>
              <w:pStyle w:val="TableContents"/>
              <w:pBdr/>
              <w:spacing w:before="0" w:after="0"/>
              <w:ind w:left="360" w:right="0" w:hanging="0"/>
              <w:jc w:val="both"/>
              <w:rPr>
                <w:sz w:val="17"/>
              </w:rPr>
            </w:pPr>
            <w:r>
              <w:rPr>
                <w:sz w:val="17"/>
              </w:rPr>
              <w:t>1.</w:t>
            </w:r>
            <w:r>
              <w:rPr>
                <w:sz w:val="17"/>
              </w:rPr>
              <w:t xml:space="preserve"> </w:t>
            </w:r>
          </w:p>
        </w:tc>
        <w:tc>
          <w:tcPr>
            <w:tcW w:w="3605" w:type="dxa"/>
            <w:tcBorders/>
            <w:shd w:fill="auto" w:val="clear"/>
          </w:tcPr>
          <w:p>
            <w:pPr>
              <w:pStyle w:val="TableContents"/>
              <w:pBdr/>
              <w:spacing w:before="0" w:after="283"/>
              <w:jc w:val="both"/>
              <w:rPr>
                <w:b/>
                <w:sz w:val="17"/>
              </w:rPr>
            </w:pPr>
            <w:r>
              <w:rPr>
                <w:b/>
                <w:sz w:val="17"/>
              </w:rPr>
              <w:t xml:space="preserve">Cinema Exhibition, through our 56 cinemas, and </w:t>
            </w:r>
          </w:p>
        </w:tc>
      </w:tr>
    </w:tbl>
    <w:tbl>
      <w:tblPr>
        <w:tblW w:w="7930" w:type="dxa"/>
        <w:jc w:val="left"/>
        <w:tblInd w:w="1440" w:type="dxa"/>
        <w:tblCellMar>
          <w:top w:w="0" w:type="dxa"/>
          <w:left w:w="0" w:type="dxa"/>
          <w:bottom w:w="0" w:type="dxa"/>
          <w:right w:w="0" w:type="dxa"/>
        </w:tblCellMar>
      </w:tblPr>
      <w:tblGrid>
        <w:gridCol w:w="215"/>
        <w:gridCol w:w="7715"/>
      </w:tblGrid>
      <w:tr>
        <w:trPr/>
        <w:tc>
          <w:tcPr>
            <w:tcW w:w="215" w:type="dxa"/>
            <w:tcBorders/>
            <w:shd w:fill="auto" w:val="clear"/>
          </w:tcPr>
          <w:p>
            <w:pPr>
              <w:pStyle w:val="TableContents"/>
              <w:pBdr/>
              <w:spacing w:before="0" w:after="0"/>
              <w:ind w:left="360" w:right="0" w:hanging="0"/>
              <w:jc w:val="both"/>
              <w:rPr>
                <w:sz w:val="17"/>
              </w:rPr>
            </w:pPr>
            <w:r>
              <w:rPr>
                <w:sz w:val="17"/>
              </w:rPr>
              <w:t>2.</w:t>
            </w:r>
            <w:r>
              <w:rPr>
                <w:sz w:val="17"/>
              </w:rPr>
              <w:t xml:space="preserve"> </w:t>
            </w:r>
          </w:p>
        </w:tc>
        <w:tc>
          <w:tcPr>
            <w:tcW w:w="7715" w:type="dxa"/>
            <w:tcBorders/>
            <w:shd w:fill="auto" w:val="clear"/>
          </w:tcPr>
          <w:p>
            <w:pPr>
              <w:pStyle w:val="TableContents"/>
              <w:pBdr/>
              <w:spacing w:before="0" w:after="283"/>
              <w:jc w:val="both"/>
              <w:rPr>
                <w:b/>
                <w:sz w:val="17"/>
              </w:rPr>
            </w:pPr>
            <w:r>
              <w:rPr>
                <w:b/>
                <w:sz w:val="17"/>
              </w:rPr>
              <w:t xml:space="preserve">Real Estate, including real estate development and the rental of retail, commercial and live theater assets. </w:t>
            </w:r>
          </w:p>
        </w:tc>
      </w:tr>
    </w:tbl>
    <w:p>
      <w:pPr>
        <w:pStyle w:val="TextBody"/>
        <w:spacing w:before="200" w:after="200"/>
        <w:ind w:left="1440" w:right="0" w:firstLine="720"/>
        <w:jc w:val="both"/>
        <w:rPr>
          <w:sz w:val="17"/>
        </w:rPr>
      </w:pPr>
      <w:r>
        <w:rPr>
          <w:sz w:val="17"/>
        </w:rPr>
        <w:t xml:space="preserve">We believe that these two business segments complement one another, as the comparatively consistent cash flows generated by our cinema operations allow us to be opportunistic in acquiring and holding real estate assets, and can be used not only to grow and develop our cinema business but also to help fund the front-end cash demands of our real estate development business. </w:t>
      </w:r>
    </w:p>
    <w:p>
      <w:pPr>
        <w:pStyle w:val="TextBody"/>
        <w:spacing w:before="200" w:after="200"/>
        <w:ind w:left="1440" w:right="0" w:firstLine="720"/>
        <w:jc w:val="both"/>
        <w:rPr>
          <w:sz w:val="17"/>
        </w:rPr>
      </w:pPr>
      <w:r>
        <w:rPr>
          <w:sz w:val="17"/>
        </w:rPr>
        <w:t xml:space="preserve">At December 31, 2012, the book value of our assets was $428.6 million; and as of that same date, we had a consolidated stockholders’ book equity of $131.0 million.  Calculated based on book value, $148.4 million or 34%, of our assets relate to our cinema exhibition activities and $260.3 million or 61%, of our assets relate to our real estate activities. </w:t>
      </w:r>
    </w:p>
    <w:p>
      <w:pPr>
        <w:pStyle w:val="TextBody"/>
        <w:spacing w:before="200" w:after="200"/>
        <w:ind w:left="1440" w:right="0" w:hanging="0"/>
        <w:jc w:val="center"/>
        <w:rPr/>
      </w:pPr>
      <w:r>
        <w:rPr/>
        <w:drawing>
          <wp:inline distT="0" distB="0" distL="0" distR="0">
            <wp:extent cx="2918460" cy="2209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2209800"/>
                    </a:xfrm>
                    <a:prstGeom prst="rect">
                      <a:avLst/>
                    </a:prstGeom>
                  </pic:spPr>
                </pic:pic>
              </a:graphicData>
            </a:graphic>
          </wp:inline>
        </w:drawing>
      </w:r>
      <w:r>
        <w:rPr/>
        <w:t xml:space="preserve"> </w:t>
      </w:r>
    </w:p>
    <w:p>
      <w:pPr>
        <w:pStyle w:val="TextBody"/>
        <w:spacing w:before="200" w:after="200"/>
        <w:ind w:left="1440" w:right="0" w:hanging="0"/>
        <w:jc w:val="center"/>
        <w:rPr/>
      </w:pPr>
      <w:r>
        <w:rPr/>
        <w:t xml:space="preserve">  </w:t>
      </w:r>
    </w:p>
    <w:p>
      <w:pPr>
        <w:pStyle w:val="TextBody"/>
        <w:spacing w:before="0" w:after="200"/>
        <w:ind w:left="1440" w:right="0" w:hanging="0"/>
        <w:jc w:val="both"/>
        <w:rPr/>
      </w:pPr>
      <w:r>
        <w:rPr/>
        <w:t>            </w:t>
      </w:r>
      <w:r>
        <w:rPr>
          <w:sz w:val="17"/>
        </w:rPr>
        <w:t xml:space="preserve">For additional segment financial information, please see Note 22 – </w:t>
      </w:r>
      <w:r>
        <w:rPr>
          <w:i/>
          <w:sz w:val="17"/>
        </w:rPr>
        <w:t>Business Segments and Geographic Area Information</w:t>
      </w:r>
      <w:r>
        <w:rPr>
          <w:sz w:val="17"/>
        </w:rPr>
        <w:t xml:space="preserve"> to our 2012 Consolidated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firstLine="720"/>
        <w:jc w:val="both"/>
        <w:rPr>
          <w:sz w:val="17"/>
        </w:rPr>
      </w:pPr>
      <w:r>
        <w:rPr>
          <w:sz w:val="17"/>
        </w:rPr>
        <w:t xml:space="preserve">We have diversified our assets among three countries: the United States, Australia, and New Zealand.  We currently have approximately 29% of our assets (based on net book value) in the United States, 53% in Australia and 18% in New Zealand compared to 26%, 57%, and 17% at the end of 2011.  For 2012, our gross revenue in these jurisdictions was $121.5 million, $108.3 million, and $24.6 million, respectively, compared to $112.0 million, $110.7 million, and $22.2 million for 2011. </w:t>
      </w:r>
    </w:p>
    <w:p>
      <w:pPr>
        <w:pStyle w:val="TextBody"/>
        <w:spacing w:before="0" w:after="200"/>
        <w:ind w:left="1440" w:right="0" w:hanging="0"/>
        <w:jc w:val="center"/>
        <w:rPr/>
      </w:pPr>
      <w:r>
        <w:rPr/>
        <w:drawing>
          <wp:inline distT="0" distB="0" distL="0" distR="0">
            <wp:extent cx="2910840" cy="21488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0840" cy="2148840"/>
                    </a:xfrm>
                    <a:prstGeom prst="rect">
                      <a:avLst/>
                    </a:prstGeom>
                  </pic:spPr>
                </pic:pic>
              </a:graphicData>
            </a:graphic>
          </wp:inline>
        </w:drawing>
      </w:r>
      <w:r>
        <w:rPr/>
        <w:t xml:space="preserve"> </w:t>
      </w:r>
    </w:p>
    <w:p>
      <w:pPr>
        <w:pStyle w:val="TextBody"/>
        <w:spacing w:before="0" w:after="200"/>
        <w:ind w:left="1440" w:right="0" w:hanging="0"/>
        <w:jc w:val="both"/>
        <w:rPr/>
      </w:pPr>
      <w:r>
        <w:rPr/>
        <w:t>            </w:t>
      </w:r>
      <w:r>
        <w:rPr>
          <w:sz w:val="17"/>
        </w:rPr>
        <w:t xml:space="preserve">For additional financial information concerning the geographic distribution of our business, please see Note 22 – </w:t>
      </w:r>
      <w:r>
        <w:rPr>
          <w:i/>
          <w:sz w:val="17"/>
        </w:rPr>
        <w:t>Business Segments and Geographic Area Information</w:t>
      </w:r>
      <w:r>
        <w:rPr>
          <w:sz w:val="17"/>
        </w:rPr>
        <w:t xml:space="preserve"> to our 2012 Consolidated Financial Statements. </w:t>
      </w:r>
    </w:p>
    <w:p>
      <w:pPr>
        <w:pStyle w:val="TextBody"/>
        <w:spacing w:before="0" w:after="200"/>
        <w:ind w:left="1440" w:right="0" w:firstLine="720"/>
        <w:jc w:val="both"/>
        <w:rPr>
          <w:sz w:val="17"/>
        </w:rPr>
      </w:pPr>
      <w:r>
        <w:rPr>
          <w:sz w:val="17"/>
        </w:rPr>
        <w:t xml:space="preserve">While we do not believe the cinema exhibition business to be a growth business, we do believe it to be a business that will likely continue to generate fairly consistent cash flows in the years ahead even in recessionary or inflationary environments.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Since we believe the cinema exhibition business to be a mature business with most markets either adequately screened or over-screened, we see growth in our cinema business coming principally from the enhancement of our current cinemas, the development in select markets of specialty cinemas, and the opportunistic acquisition of already existing cinemas rather than from the development of new conventional cinemas.  In 2011, we acquired an existing 17-screen cinema in Southern California for $4.2 million.  In late 2012, we opened a new 8-screen “Angelika” branded cinema in the Greater Washington D.C. area, and we have begun the process of converting one of our conventional cinemas in San Diego into an “Angelika”.  In recent periods, reflecting the difficulties in finding financing and tenants for new real estate development projects, our cash flow has been invested more heavily in the cinema aspects of our business rather than in real estate development activities. However, over time, we do anticipate that the cash flow from our cinema operations will be used increasingly to support our real estate oriented activities, rather than for cinema growth, and that our real estate activities will, again, become the principal thrust of our business.    </w:t>
      </w:r>
    </w:p>
    <w:p>
      <w:pPr>
        <w:pStyle w:val="TextBody"/>
        <w:spacing w:before="0" w:after="200"/>
        <w:ind w:left="1440" w:right="0" w:hanging="0"/>
        <w:jc w:val="both"/>
        <w:rPr/>
      </w:pPr>
      <w:r>
        <w:rPr/>
        <w:t>            </w:t>
      </w:r>
      <w:r>
        <w:rPr>
          <w:sz w:val="17"/>
        </w:rPr>
        <w:t xml:space="preserve">In the period 2008 through 2012, the market value of most commercial and undeveloped real estate saw a material decline in the markets in which we operate.  This has affected some of our development projects resulting in impairment losses during those periods.  However, the practical impact on our real estate holdings has been minimal, as we have continued to enjoy increases in rentals from the tenants in our retail holdings, and as our strategy has generally called for development of our raw land holdings over time for long-term development.  We have also benefited from the strengthening of Australian and New Zealand dollars.  On an overall or portfolio basis, our estimated market value of our real estate and cinema assets measured in US dollars has remained flat in recent periods.  Furthermore, in our view, it appears that values have stabilized in the markets in which we operate.  In some markets (such as Manhattan), our real estate portfolio values have increased materially in recent years and have, in our estimation, a value substantially in excess of their book value. </w:t>
      </w:r>
    </w:p>
    <w:p>
      <w:pPr>
        <w:pStyle w:val="TextBody"/>
        <w:spacing w:before="0" w:after="200"/>
        <w:ind w:left="1440" w:right="0" w:hanging="0"/>
        <w:jc w:val="both"/>
        <w:rPr/>
      </w:pPr>
      <w:r>
        <w:rPr/>
        <w:t>            </w:t>
      </w:r>
      <w:r>
        <w:rPr>
          <w:sz w:val="17"/>
        </w:rPr>
        <w:t xml:space="preserve">In light of uncertainties in the real estate and financial markets in recent periods, and the need to focus our attention on the renewal and preservation of our various lending facilities we have generally delayed our plans for development of our various properties.  In 2011, we replaced our Australian credit facility with a new three-year credit facility from National Australia Bank (“NAB”) in the amount of $110.5 million (AUS$105.0 million).  On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February 8, 2012, we amended our existing $36.9 million (NZ$45.0 million) New Zealand credit facility with Westpac, extending that facility for a further three-years and setting the borrowing limit at $32.8 million (NZ$40.0 million).  On October 31, 2012, we replaced our GE Capital Term Loan of $27.7 million with a new credit facility from Bank of America of $30.0 million, which expires on October 31, 2017.  In addition, Bank of America renewed and increased our existing $3.0 million line of credit to $5.0 million.  In 2012, we also converted substantially all of our domestic cinemas to digital projection, under a $15.5 million equipment lease from the Banc of America Capital &amp; Leasing, LLC. </w:t>
      </w:r>
    </w:p>
    <w:p>
      <w:pPr>
        <w:pStyle w:val="TextBody"/>
        <w:spacing w:before="0" w:after="200"/>
        <w:ind w:left="1440" w:right="0" w:hanging="0"/>
        <w:jc w:val="both"/>
        <w:rPr/>
      </w:pPr>
      <w:r>
        <w:rPr/>
        <w:t>            </w:t>
      </w:r>
      <w:r>
        <w:rPr>
          <w:sz w:val="17"/>
        </w:rPr>
        <w:t xml:space="preserve">Historically, it has not been our practice to sell assets, except in connection with the repositioning of such assets to a higher and better use.    However, in light of the current market conditions and our desire to free up capital and pay down debt, we sold, in 2012, our 24,000 square foot office building in Indooroopilly, and anticipate the sale in 2013 of our property in Lake Taupo, New Zealand.  In addition, we may sell additional properties in the year ahead to fund the development or redevelopment of other assets in our portfolio.  </w:t>
      </w:r>
    </w:p>
    <w:p>
      <w:pPr>
        <w:pStyle w:val="TextBody"/>
        <w:spacing w:before="0" w:after="200"/>
        <w:ind w:left="1440" w:right="0" w:hanging="0"/>
        <w:jc w:val="both"/>
        <w:rPr/>
      </w:pPr>
      <w:r>
        <w:rPr/>
        <w:t>            </w:t>
      </w:r>
      <w:r>
        <w:rPr>
          <w:sz w:val="17"/>
        </w:rPr>
        <w:t xml:space="preserve">Given the resurgence of Manhattan commercial real estate values,  we intend to focus on the redevelopment of  our Cinemas 1, 2 &amp; 3 property and our Union Square property.  Also, we are actively pursuing the development of the next phase of our Courtenay Central property in Wellington, New Zealand.  We continue to evaluate our options concerning our 50.6 acre Burwood property, our 3.3 acre Moonee Ponds property in Melbourne, Australia and our 70.3 acre Manukau property in New Zealand.  We may sell all or portions of these properties to provide liquidity for other projects.   In evaluating whether to sell a particular property, we consider the potential upside in a particular property and costs required to achieve that upside, compared to the opportunities presented by our other properties. </w:t>
      </w:r>
    </w:p>
    <w:p>
      <w:pPr>
        <w:pStyle w:val="TextBody"/>
        <w:spacing w:before="0" w:after="200"/>
        <w:ind w:left="1440" w:right="0" w:firstLine="720"/>
        <w:jc w:val="both"/>
        <w:rPr>
          <w:sz w:val="17"/>
        </w:rPr>
      </w:pPr>
      <w:r>
        <w:rPr>
          <w:sz w:val="17"/>
        </w:rPr>
        <w:t xml:space="preserve">Typically, we have endeavored to match the currency in which we have financed our development with the jurisdiction within which these developments are located.  We have followed this approach to reduce our risk to currency fluctuations.   This structure has, however, somewhat limited our ability to move cash from one jurisdiction to another.  During 2012, we deviated somewhat from this policy by purchasing $8.0 million in time deposits denominated in U.S. dollars and held by an Australian bank.  In February 2007, we also deviated from this policy and privately placed $50.0 million of 20-year trust preferred securities (“TPS”), with dividends fixed at 9.22% for the first five years, to serve as a long-term financing foundation for our real estate assets and to pay down our New Zealand and a portion of our Australian dollar denominated debt.  Although structured as the issuance of TPS by a related trust, the financing is essentially the same as an issuance of fully subordinated debt: the payments are tax deductible to us and the default remedies are the same as debt.  During the first quarter of 2009, we returned somewhat to our debt-to-local-currency matching policy by taking advantage of the then current market illiquidity for TPS to repurchase $22.9 million in face value of our TPS for $11.5 million.  As a result of this transaction, in 2009, we recorded a $10.7 million gain on retirement of subordinated debt.  In addition, in December 2008 we secured a waiver of all financial covenants with respect to our TPS for a period of nine years (through December 2017), in consideration of the payment of $1.6 million, consisting of an initial payment of $1.1 million, a payment of $270,000 made in December 2011 and a contractual obligation to pay $270,000 in December 2014.  In the event that the remaining payment is not made, the only remedy available to us is the termination of the waiver.  Also, we anticipate that, in order to reduce our cost of converting our Australian and New Zealand circuits to digital projection, our parent company will guaranty the equipment lease under which we anticipate acquiring the equipment to complete the conversion of our Australian and New Zealand cinemas to digital projection. </w:t>
      </w:r>
    </w:p>
    <w:p>
      <w:pPr>
        <w:pStyle w:val="TextBody"/>
        <w:spacing w:before="0" w:after="200"/>
        <w:ind w:left="1440" w:right="0" w:hanging="0"/>
        <w:jc w:val="both"/>
        <w:rPr/>
      </w:pPr>
      <w:r>
        <w:rPr/>
        <w:t>            </w:t>
      </w:r>
      <w:r>
        <w:rPr>
          <w:sz w:val="17"/>
        </w:rPr>
        <w:t xml:space="preserve">In summary, while we do have operating company attributes, we see ourselves principally as a geographically diversified real estate and cinema company and intend to add to stockholder value by building the value of our portfolio of tangible real estate and entertainment-oriented assets.  We endeavor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operation with the investment and development opportunities of our real estate operation coupled with our international diversification of assets, our business strategy is unique among public companies. While historically we have retained our properties through development, we continue to evaluate the sale of certain assets to provide capital to develop our remaining properties. </w:t>
      </w:r>
    </w:p>
    <w:p>
      <w:pPr>
        <w:pStyle w:val="TextBody"/>
        <w:spacing w:before="0" w:after="200"/>
        <w:ind w:left="1440" w:right="0" w:firstLine="720"/>
        <w:jc w:val="both"/>
        <w:rPr>
          <w:sz w:val="17"/>
        </w:rPr>
      </w:pPr>
      <w:r>
        <w:rPr>
          <w:sz w:val="17"/>
        </w:rPr>
        <w:t xml:space="preserve">At December 31, 2012, our principal assets included: </w:t>
      </w:r>
    </w:p>
    <w:tbl>
      <w:tblPr>
        <w:tblW w:w="3925" w:type="dxa"/>
        <w:jc w:val="left"/>
        <w:tblInd w:w="1440" w:type="dxa"/>
        <w:tblCellMar>
          <w:top w:w="0" w:type="dxa"/>
          <w:left w:w="0" w:type="dxa"/>
          <w:bottom w:w="0" w:type="dxa"/>
          <w:right w:w="0" w:type="dxa"/>
        </w:tblCellMar>
      </w:tblPr>
      <w:tblGrid>
        <w:gridCol w:w="155"/>
        <w:gridCol w:w="377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770" w:type="dxa"/>
            <w:tcBorders/>
            <w:shd w:fill="auto" w:val="clear"/>
          </w:tcPr>
          <w:p>
            <w:pPr>
              <w:pStyle w:val="TableContents"/>
              <w:pBdr/>
              <w:spacing w:before="0" w:after="283"/>
              <w:jc w:val="both"/>
              <w:rPr>
                <w:sz w:val="17"/>
              </w:rPr>
            </w:pPr>
            <w:r>
              <w:rPr>
                <w:sz w:val="17"/>
              </w:rPr>
              <w:t xml:space="preserve">interests in 54 cinemas comprising some 462 screens;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765" w:type="dxa"/>
        <w:jc w:val="left"/>
        <w:tblInd w:w="1440" w:type="dxa"/>
        <w:tblCellMar>
          <w:top w:w="0" w:type="dxa"/>
          <w:left w:w="0" w:type="dxa"/>
          <w:bottom w:w="0" w:type="dxa"/>
          <w:right w:w="0" w:type="dxa"/>
        </w:tblCellMar>
      </w:tblPr>
      <w:tblGrid>
        <w:gridCol w:w="151"/>
        <w:gridCol w:w="8614"/>
      </w:tblGrid>
      <w:tr>
        <w:trPr/>
        <w:tc>
          <w:tcPr>
            <w:tcW w:w="151"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4" w:type="dxa"/>
            <w:tcBorders/>
            <w:shd w:fill="auto" w:val="clear"/>
          </w:tcPr>
          <w:p>
            <w:pPr>
              <w:pStyle w:val="TableContents"/>
              <w:pBdr/>
              <w:spacing w:before="0" w:after="283"/>
              <w:jc w:val="both"/>
              <w:rPr>
                <w:sz w:val="17"/>
              </w:rPr>
            </w:pPr>
            <w:r>
              <w:rPr>
                <w:sz w:val="17"/>
              </w:rPr>
              <w:t>fee interests in four live theaters (the Union Square, the Orpheum and Minetta Lane in Manhattan and the Royal George in Chicago);</w:t>
            </w:r>
          </w:p>
        </w:tc>
      </w:tr>
    </w:tbl>
    <w:tbl>
      <w:tblPr>
        <w:tblW w:w="7375" w:type="dxa"/>
        <w:jc w:val="left"/>
        <w:tblInd w:w="1440" w:type="dxa"/>
        <w:tblCellMar>
          <w:top w:w="0" w:type="dxa"/>
          <w:left w:w="0" w:type="dxa"/>
          <w:bottom w:w="0" w:type="dxa"/>
          <w:right w:w="0" w:type="dxa"/>
        </w:tblCellMar>
      </w:tblPr>
      <w:tblGrid>
        <w:gridCol w:w="155"/>
        <w:gridCol w:w="722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220" w:type="dxa"/>
            <w:tcBorders/>
            <w:shd w:fill="auto" w:val="clear"/>
          </w:tcPr>
          <w:p>
            <w:pPr>
              <w:pStyle w:val="TableContents"/>
              <w:pBdr/>
              <w:spacing w:before="0" w:after="283"/>
              <w:jc w:val="both"/>
              <w:rPr>
                <w:sz w:val="17"/>
              </w:rPr>
            </w:pPr>
            <w:r>
              <w:rPr>
                <w:sz w:val="17"/>
              </w:rPr>
              <w:t>fee ownership of approximately 24.0 million square feet of developed and undeveloped real estate; and</w:t>
            </w:r>
          </w:p>
        </w:tc>
      </w:tr>
    </w:tbl>
    <w:tbl>
      <w:tblPr>
        <w:tblW w:w="4900" w:type="dxa"/>
        <w:jc w:val="left"/>
        <w:tblInd w:w="1440" w:type="dxa"/>
        <w:tblCellMar>
          <w:top w:w="0" w:type="dxa"/>
          <w:left w:w="0" w:type="dxa"/>
          <w:bottom w:w="0" w:type="dxa"/>
          <w:right w:w="0" w:type="dxa"/>
        </w:tblCellMar>
      </w:tblPr>
      <w:tblGrid>
        <w:gridCol w:w="155"/>
        <w:gridCol w:w="474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45" w:type="dxa"/>
            <w:tcBorders/>
            <w:shd w:fill="auto" w:val="clear"/>
          </w:tcPr>
          <w:p>
            <w:pPr>
              <w:pStyle w:val="TableContents"/>
              <w:pBdr/>
              <w:spacing w:before="0" w:after="283"/>
              <w:jc w:val="both"/>
              <w:rPr>
                <w:sz w:val="17"/>
              </w:rPr>
            </w:pPr>
            <w:r>
              <w:rPr>
                <w:sz w:val="17"/>
              </w:rPr>
              <w:t>cash, cash equivalents, and time deposits aggregating $46.5 million.</w:t>
            </w:r>
          </w:p>
        </w:tc>
      </w:tr>
    </w:tbl>
    <w:p>
      <w:pPr>
        <w:pStyle w:val="TextBody"/>
        <w:spacing w:before="200" w:after="200"/>
        <w:ind w:left="1440" w:right="0" w:hanging="0"/>
        <w:jc w:val="both"/>
        <w:rPr>
          <w:sz w:val="17"/>
        </w:rPr>
      </w:pPr>
      <w:r>
        <w:rPr>
          <w:b/>
          <w:sz w:val="17"/>
          <w:u w:val="single"/>
        </w:rPr>
        <w:t>Our Cinema Exhibition Activities</w:t>
      </w:r>
      <w:r>
        <w:rPr>
          <w:sz w:val="17"/>
        </w:rPr>
        <w:t xml:space="preserve"> </w:t>
      </w:r>
    </w:p>
    <w:p>
      <w:pPr>
        <w:pStyle w:val="TextBody"/>
        <w:spacing w:before="0" w:after="200"/>
        <w:ind w:left="1440" w:right="0" w:hanging="0"/>
        <w:jc w:val="both"/>
        <w:rPr>
          <w:sz w:val="17"/>
        </w:rPr>
      </w:pPr>
      <w:r>
        <w:rPr>
          <w:sz w:val="17"/>
          <w:u w:val="single"/>
        </w:rPr>
        <w:t>General</w:t>
      </w:r>
      <w:r>
        <w:rPr>
          <w:sz w:val="17"/>
        </w:rPr>
        <w:t xml:space="preserve"> </w:t>
      </w:r>
    </w:p>
    <w:p>
      <w:pPr>
        <w:pStyle w:val="TextBody"/>
        <w:spacing w:before="0" w:after="200"/>
        <w:ind w:left="1440" w:right="0" w:firstLine="720"/>
        <w:jc w:val="both"/>
        <w:rPr>
          <w:sz w:val="17"/>
        </w:rPr>
      </w:pPr>
      <w:r>
        <w:rPr>
          <w:sz w:val="17"/>
        </w:rPr>
        <w:t xml:space="preserve">We conduct our cinema operations on four basic and rather simple premises: </w:t>
      </w:r>
    </w:p>
    <w:tbl>
      <w:tblPr>
        <w:tblW w:w="8765" w:type="dxa"/>
        <w:jc w:val="left"/>
        <w:tblInd w:w="1440" w:type="dxa"/>
        <w:tblCellMar>
          <w:top w:w="0" w:type="dxa"/>
          <w:left w:w="0" w:type="dxa"/>
          <w:bottom w:w="0" w:type="dxa"/>
          <w:right w:w="0" w:type="dxa"/>
        </w:tblCellMar>
      </w:tblPr>
      <w:tblGrid>
        <w:gridCol w:w="126"/>
        <w:gridCol w:w="8639"/>
      </w:tblGrid>
      <w:tr>
        <w:trPr/>
        <w:tc>
          <w:tcPr>
            <w:tcW w:w="12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9" w:type="dxa"/>
            <w:tcBorders/>
            <w:shd w:fill="auto" w:val="clear"/>
          </w:tcPr>
          <w:p>
            <w:pPr>
              <w:pStyle w:val="TableContents"/>
              <w:pBdr/>
              <w:spacing w:before="0" w:after="283"/>
              <w:jc w:val="both"/>
              <w:rPr>
                <w:sz w:val="17"/>
              </w:rPr>
            </w:pPr>
            <w:r>
              <w:rPr>
                <w:sz w:val="17"/>
              </w:rPr>
              <w:t>first, notwithstanding the enormous advances that have been made in home entertainment technology, humans are essentially social beings, and will continue to want to go beyond the home for their entertainment, provided that they are offered clean, comfortable and convenient facilities, with state of the art technology;</w:t>
            </w:r>
          </w:p>
        </w:tc>
      </w:tr>
    </w:tbl>
    <w:tbl>
      <w:tblPr>
        <w:tblW w:w="8765" w:type="dxa"/>
        <w:jc w:val="left"/>
        <w:tblInd w:w="1440" w:type="dxa"/>
        <w:tblCellMar>
          <w:top w:w="0" w:type="dxa"/>
          <w:left w:w="0" w:type="dxa"/>
          <w:bottom w:w="0" w:type="dxa"/>
          <w:right w:w="0" w:type="dxa"/>
        </w:tblCellMar>
      </w:tblPr>
      <w:tblGrid>
        <w:gridCol w:w="129"/>
        <w:gridCol w:w="8636"/>
      </w:tblGrid>
      <w:tr>
        <w:trPr/>
        <w:tc>
          <w:tcPr>
            <w:tcW w:w="12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6" w:type="dxa"/>
            <w:tcBorders/>
            <w:shd w:fill="auto" w:val="clear"/>
          </w:tcPr>
          <w:p>
            <w:pPr>
              <w:pStyle w:val="TableContents"/>
              <w:pBdr/>
              <w:spacing w:before="0" w:after="283"/>
              <w:jc w:val="both"/>
              <w:rPr>
                <w:sz w:val="17"/>
              </w:rPr>
            </w:pPr>
            <w:r>
              <w:rPr>
                <w:sz w:val="17"/>
              </w:rPr>
              <w:t>second, cinemas can be used as anchors for larger retail developments and our involvement in the cinema business can give us an advantage over other real estate developers or redevelopers who must identify and negotiate exclusively with third party anchor tenants;</w:t>
            </w:r>
          </w:p>
        </w:tc>
      </w:tr>
    </w:tbl>
    <w:tbl>
      <w:tblPr>
        <w:tblW w:w="8765" w:type="dxa"/>
        <w:jc w:val="left"/>
        <w:tblInd w:w="1440" w:type="dxa"/>
        <w:tblCellMar>
          <w:top w:w="0" w:type="dxa"/>
          <w:left w:w="0" w:type="dxa"/>
          <w:bottom w:w="0" w:type="dxa"/>
          <w:right w:w="0" w:type="dxa"/>
        </w:tblCellMar>
      </w:tblPr>
      <w:tblGrid>
        <w:gridCol w:w="117"/>
        <w:gridCol w:w="8648"/>
      </w:tblGrid>
      <w:tr>
        <w:trPr/>
        <w:tc>
          <w:tcPr>
            <w:tcW w:w="11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8" w:type="dxa"/>
            <w:tcBorders/>
            <w:shd w:fill="auto" w:val="clear"/>
          </w:tcPr>
          <w:p>
            <w:pPr>
              <w:pStyle w:val="TableContents"/>
              <w:pBdr/>
              <w:spacing w:before="0" w:after="283"/>
              <w:jc w:val="both"/>
              <w:rPr>
                <w:sz w:val="17"/>
              </w:rPr>
            </w:pPr>
            <w:r>
              <w:rPr>
                <w:sz w:val="17"/>
              </w:rPr>
              <w:t>third, pure cinema operators can get themselves into financial difficulty as demands upon them to produce cinema based earnings growth tempt them into reinvesting their cash flow into increasingly marginal cinema sites.  While we believe that there will continue to be attractive opportunities to acquire cinema assets and/or to develop upper end specialty type theaters (like our Angelika Film Centers)in the future,  we do not feel pressure to build or acquire cinemas for the sake of adding units.  We intend to focus our use of cash flow on our real estate development and operating activities, to the extent that attractive cinema opportunities are not available to us; and</w:t>
            </w:r>
          </w:p>
        </w:tc>
      </w:tr>
    </w:tbl>
    <w:tbl>
      <w:tblPr>
        <w:tblW w:w="8765" w:type="dxa"/>
        <w:jc w:val="left"/>
        <w:tblInd w:w="1440" w:type="dxa"/>
        <w:tblCellMar>
          <w:top w:w="0" w:type="dxa"/>
          <w:left w:w="0" w:type="dxa"/>
          <w:bottom w:w="0" w:type="dxa"/>
          <w:right w:w="0" w:type="dxa"/>
        </w:tblCellMar>
      </w:tblPr>
      <w:tblGrid>
        <w:gridCol w:w="133"/>
        <w:gridCol w:w="8632"/>
      </w:tblGrid>
      <w:tr>
        <w:trPr/>
        <w:tc>
          <w:tcPr>
            <w:tcW w:w="13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2" w:type="dxa"/>
            <w:tcBorders/>
            <w:shd w:fill="auto" w:val="clear"/>
          </w:tcPr>
          <w:p>
            <w:pPr>
              <w:pStyle w:val="TableContents"/>
              <w:pBdr/>
              <w:spacing w:before="0" w:after="283"/>
              <w:jc w:val="both"/>
              <w:rPr>
                <w:sz w:val="17"/>
              </w:rPr>
            </w:pPr>
            <w:r>
              <w:rPr>
                <w:sz w:val="17"/>
              </w:rPr>
              <w:t>fourth, we are always open to the idea of converting an entertainment property to another use, if there is a higher and better use for the property, or to sell individual assets, if we are presented with an attractive opportunity.</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200" w:after="200"/>
        <w:ind w:left="1440" w:right="0" w:firstLine="720"/>
        <w:jc w:val="both"/>
        <w:rPr>
          <w:sz w:val="17"/>
        </w:rPr>
      </w:pPr>
      <w:r>
        <w:rPr>
          <w:sz w:val="17"/>
        </w:rPr>
        <w:t xml:space="preserve">Our current cinema assets that we own and/or manage are as set forth in the following chart: </w:t>
      </w:r>
    </w:p>
    <w:p>
      <w:pPr>
        <w:pStyle w:val="TextBody"/>
        <w:spacing w:before="0" w:after="0"/>
        <w:ind w:left="1440" w:right="0" w:hanging="0"/>
        <w:jc w:val="both"/>
        <w:rPr/>
      </w:pPr>
      <w:r>
        <w:rPr/>
        <w:t xml:space="preserve">  </w:t>
      </w:r>
    </w:p>
    <w:tbl>
      <w:tblPr>
        <w:tblW w:w="5835" w:type="dxa"/>
        <w:jc w:val="left"/>
        <w:tblInd w:w="1440" w:type="dxa"/>
        <w:tblCellMar>
          <w:top w:w="0" w:type="dxa"/>
          <w:left w:w="0" w:type="dxa"/>
          <w:bottom w:w="0" w:type="dxa"/>
          <w:right w:w="0" w:type="dxa"/>
        </w:tblCellMar>
      </w:tblPr>
      <w:tblGrid>
        <w:gridCol w:w="950"/>
        <w:gridCol w:w="1070"/>
        <w:gridCol w:w="1010"/>
        <w:gridCol w:w="1190"/>
        <w:gridCol w:w="755"/>
        <w:gridCol w:w="860"/>
      </w:tblGrid>
      <w:tr>
        <w:trPr/>
        <w:tc>
          <w:tcPr>
            <w:tcW w:w="950" w:type="dxa"/>
            <w:tcBorders/>
            <w:shd w:fill="auto" w:val="clear"/>
            <w:vAlign w:val="bottom"/>
          </w:tcPr>
          <w:p>
            <w:pPr>
              <w:pStyle w:val="TableContents"/>
              <w:spacing w:before="0" w:after="1"/>
              <w:ind w:left="0" w:right="0" w:hanging="0"/>
              <w:jc w:val="both"/>
              <w:rPr/>
            </w:pPr>
            <w:r>
              <w:rPr/>
              <w:t> </w:t>
            </w:r>
          </w:p>
        </w:tc>
        <w:tc>
          <w:tcPr>
            <w:tcW w:w="107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c>
          <w:tcPr>
            <w:tcW w:w="1190" w:type="dxa"/>
            <w:tcBorders/>
            <w:shd w:fill="auto" w:val="clear"/>
            <w:vAlign w:val="bottom"/>
          </w:tcPr>
          <w:p>
            <w:pPr>
              <w:pStyle w:val="TableContents"/>
              <w:spacing w:before="0" w:after="1"/>
              <w:ind w:left="0" w:right="0" w:hanging="0"/>
              <w:jc w:val="both"/>
              <w:rPr/>
            </w:pPr>
            <w:r>
              <w:rPr/>
              <w:t> </w:t>
            </w:r>
          </w:p>
        </w:tc>
        <w:tc>
          <w:tcPr>
            <w:tcW w:w="755" w:type="dxa"/>
            <w:tcBorders/>
            <w:shd w:fill="auto" w:val="clear"/>
            <w:vAlign w:val="bottom"/>
          </w:tcPr>
          <w:p>
            <w:pPr>
              <w:pStyle w:val="TableContents"/>
              <w:spacing w:before="0" w:after="1"/>
              <w:ind w:left="0" w:right="0" w:hanging="0"/>
              <w:jc w:val="both"/>
              <w:rPr/>
            </w:pPr>
            <w:r>
              <w:rPr/>
              <w:t> </w:t>
            </w:r>
          </w:p>
        </w:tc>
        <w:tc>
          <w:tcPr>
            <w:tcW w:w="860" w:type="dxa"/>
            <w:tcBorders/>
            <w:shd w:fill="auto" w:val="clear"/>
            <w:vAlign w:val="bottom"/>
          </w:tcPr>
          <w:p>
            <w:pPr>
              <w:pStyle w:val="TableContents"/>
              <w:spacing w:before="0" w:after="1"/>
              <w:ind w:left="0" w:right="0" w:hanging="0"/>
              <w:jc w:val="both"/>
              <w:rPr/>
            </w:pPr>
            <w:r>
              <w:rPr/>
              <w:t> </w:t>
            </w:r>
          </w:p>
        </w:tc>
      </w:tr>
      <w:tr>
        <w:trPr/>
        <w:tc>
          <w:tcPr>
            <w:tcW w:w="950" w:type="dxa"/>
            <w:tcBorders/>
            <w:shd w:fill="auto" w:val="clear"/>
            <w:vAlign w:val="bottom"/>
          </w:tcPr>
          <w:p>
            <w:pPr>
              <w:pStyle w:val="TableContents"/>
              <w:spacing w:before="0" w:after="1"/>
              <w:ind w:left="0" w:right="0" w:hanging="0"/>
              <w:jc w:val="both"/>
              <w:rPr/>
            </w:pPr>
            <w:r>
              <w:rPr/>
              <w:t> </w:t>
            </w:r>
          </w:p>
        </w:tc>
        <w:tc>
          <w:tcPr>
            <w:tcW w:w="107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c>
          <w:tcPr>
            <w:tcW w:w="1190" w:type="dxa"/>
            <w:tcBorders/>
            <w:shd w:fill="auto" w:val="clear"/>
            <w:vAlign w:val="bottom"/>
          </w:tcPr>
          <w:p>
            <w:pPr>
              <w:pStyle w:val="TableContents"/>
              <w:spacing w:before="0" w:after="1"/>
              <w:ind w:left="0" w:right="0" w:hanging="0"/>
              <w:jc w:val="both"/>
              <w:rPr/>
            </w:pPr>
            <w:r>
              <w:rPr/>
              <w:t> </w:t>
            </w:r>
          </w:p>
        </w:tc>
        <w:tc>
          <w:tcPr>
            <w:tcW w:w="755" w:type="dxa"/>
            <w:tcBorders/>
            <w:shd w:fill="auto" w:val="clear"/>
            <w:vAlign w:val="bottom"/>
          </w:tcPr>
          <w:p>
            <w:pPr>
              <w:pStyle w:val="TableContents"/>
              <w:spacing w:before="0" w:after="1"/>
              <w:ind w:left="0" w:right="0" w:hanging="0"/>
              <w:jc w:val="both"/>
              <w:rPr/>
            </w:pPr>
            <w:r>
              <w:rPr/>
              <w:t> </w:t>
            </w:r>
          </w:p>
        </w:tc>
        <w:tc>
          <w:tcPr>
            <w:tcW w:w="860" w:type="dxa"/>
            <w:tcBorders/>
            <w:shd w:fill="auto" w:val="clear"/>
            <w:vAlign w:val="bottom"/>
          </w:tcPr>
          <w:p>
            <w:pPr>
              <w:pStyle w:val="TableContents"/>
              <w:spacing w:before="0" w:after="1"/>
              <w:ind w:left="0" w:right="0" w:hanging="0"/>
              <w:jc w:val="both"/>
              <w:rPr/>
            </w:pPr>
            <w:r>
              <w:rPr/>
              <w:t> </w:t>
            </w:r>
          </w:p>
        </w:tc>
      </w:tr>
      <w:tr>
        <w:trPr/>
        <w:tc>
          <w:tcPr>
            <w:tcW w:w="950" w:type="dxa"/>
            <w:tcBorders>
              <w:bottom w:val="single" w:sz="12" w:space="0" w:color="000000"/>
              <w:right w:val="single" w:sz="8" w:space="0" w:color="000000"/>
            </w:tcBorders>
            <w:shd w:fill="auto" w:val="clear"/>
            <w:tcMar>
              <w:bottom w:w="28" w:type="dxa"/>
              <w:right w:w="28" w:type="dxa"/>
            </w:tcMar>
            <w:vAlign w:val="bottom"/>
          </w:tcPr>
          <w:p>
            <w:pPr>
              <w:pStyle w:val="TableContents"/>
              <w:spacing w:before="0" w:after="1"/>
              <w:ind w:left="0" w:right="0" w:hanging="0"/>
              <w:jc w:val="both"/>
              <w:rPr/>
            </w:pPr>
            <w:r>
              <w:rPr/>
              <w:t> </w:t>
            </w:r>
          </w:p>
        </w:tc>
        <w:tc>
          <w:tcPr>
            <w:tcW w:w="1070" w:type="dxa"/>
            <w:tcBorders>
              <w:left w:val="single" w:sz="8" w:space="0" w:color="000000"/>
              <w:bottom w:val="single" w:sz="12" w:space="0" w:color="000000"/>
            </w:tcBorders>
            <w:shd w:fill="auto" w:val="clear"/>
            <w:tcMar>
              <w:left w:w="28" w:type="dxa"/>
              <w:bottom w:w="28" w:type="dxa"/>
            </w:tcMar>
            <w:vAlign w:val="bottom"/>
          </w:tcPr>
          <w:p>
            <w:pPr>
              <w:pStyle w:val="TableContents"/>
              <w:spacing w:before="0" w:after="1"/>
              <w:ind w:left="0" w:right="0" w:hanging="0"/>
              <w:jc w:val="center"/>
              <w:rPr>
                <w:sz w:val="17"/>
              </w:rPr>
            </w:pPr>
            <w:r>
              <w:rPr>
                <w:sz w:val="17"/>
              </w:rPr>
              <w:t>Wholly Owned</w:t>
            </w:r>
          </w:p>
        </w:tc>
        <w:tc>
          <w:tcPr>
            <w:tcW w:w="1010" w:type="dxa"/>
            <w:tcBorders>
              <w:bottom w:val="single" w:sz="12" w:space="0" w:color="000000"/>
            </w:tcBorders>
            <w:shd w:fill="auto" w:val="clear"/>
            <w:tcMar>
              <w:bottom w:w="28" w:type="dxa"/>
            </w:tcMar>
            <w:vAlign w:val="bottom"/>
          </w:tcPr>
          <w:p>
            <w:pPr>
              <w:pStyle w:val="TableContents"/>
              <w:spacing w:before="0" w:after="1"/>
              <w:ind w:left="0" w:right="0" w:hanging="0"/>
              <w:jc w:val="center"/>
              <w:rPr>
                <w:sz w:val="17"/>
              </w:rPr>
            </w:pPr>
            <w:r>
              <w:rPr>
                <w:sz w:val="17"/>
              </w:rPr>
              <w:t>Consolidated1</w:t>
            </w:r>
          </w:p>
        </w:tc>
        <w:tc>
          <w:tcPr>
            <w:tcW w:w="1190" w:type="dxa"/>
            <w:tcBorders>
              <w:bottom w:val="single" w:sz="12" w:space="0" w:color="000000"/>
            </w:tcBorders>
            <w:shd w:fill="auto" w:val="clear"/>
            <w:tcMar>
              <w:bottom w:w="28" w:type="dxa"/>
            </w:tcMar>
            <w:vAlign w:val="bottom"/>
          </w:tcPr>
          <w:p>
            <w:pPr>
              <w:pStyle w:val="TableContents"/>
              <w:spacing w:before="0" w:after="1"/>
              <w:ind w:left="0" w:right="0" w:hanging="0"/>
              <w:jc w:val="center"/>
              <w:rPr>
                <w:sz w:val="17"/>
              </w:rPr>
            </w:pPr>
            <w:r>
              <w:rPr>
                <w:sz w:val="17"/>
              </w:rPr>
              <w:t>Unconsolidated2</w:t>
            </w:r>
          </w:p>
        </w:tc>
        <w:tc>
          <w:tcPr>
            <w:tcW w:w="755" w:type="dxa"/>
            <w:tcBorders>
              <w:bottom w:val="single" w:sz="12" w:space="0" w:color="000000"/>
              <w:right w:val="single" w:sz="8" w:space="0" w:color="000000"/>
            </w:tcBorders>
            <w:shd w:fill="auto" w:val="clear"/>
            <w:tcMar>
              <w:bottom w:w="28" w:type="dxa"/>
              <w:right w:w="28" w:type="dxa"/>
            </w:tcMar>
            <w:vAlign w:val="bottom"/>
          </w:tcPr>
          <w:p>
            <w:pPr>
              <w:pStyle w:val="TableContents"/>
              <w:spacing w:before="0" w:after="1"/>
              <w:ind w:left="0" w:right="0" w:hanging="0"/>
              <w:jc w:val="center"/>
              <w:rPr>
                <w:sz w:val="17"/>
              </w:rPr>
            </w:pPr>
            <w:r>
              <w:rPr>
                <w:sz w:val="17"/>
              </w:rPr>
              <w:t>Managed3</w:t>
            </w:r>
          </w:p>
        </w:tc>
        <w:tc>
          <w:tcPr>
            <w:tcW w:w="860" w:type="dxa"/>
            <w:tcBorders>
              <w:left w:val="single" w:sz="8" w:space="0" w:color="000000"/>
              <w:bottom w:val="single" w:sz="12" w:space="0" w:color="000000"/>
            </w:tcBorders>
            <w:shd w:fill="auto" w:val="clear"/>
            <w:tcMar>
              <w:left w:w="28" w:type="dxa"/>
              <w:bottom w:w="28" w:type="dxa"/>
            </w:tcMar>
            <w:vAlign w:val="bottom"/>
          </w:tcPr>
          <w:p>
            <w:pPr>
              <w:pStyle w:val="TableContents"/>
              <w:spacing w:before="0" w:after="1"/>
              <w:ind w:left="0" w:right="0" w:hanging="0"/>
              <w:jc w:val="center"/>
              <w:rPr>
                <w:b/>
                <w:sz w:val="17"/>
              </w:rPr>
            </w:pPr>
            <w:r>
              <w:rPr>
                <w:b/>
                <w:sz w:val="17"/>
              </w:rPr>
              <w:t>Totals</w:t>
            </w:r>
          </w:p>
        </w:tc>
      </w:tr>
      <w:tr>
        <w:trPr/>
        <w:tc>
          <w:tcPr>
            <w:tcW w:w="950" w:type="dxa"/>
            <w:tcBorders>
              <w:top w:val="single" w:sz="12" w:space="0" w:color="000000"/>
              <w:right w:val="single" w:sz="8" w:space="0" w:color="000000"/>
            </w:tcBorders>
            <w:shd w:fill="CCEEFF" w:val="clear"/>
            <w:tcMar>
              <w:top w:w="28" w:type="dxa"/>
              <w:right w:w="28" w:type="dxa"/>
            </w:tcMar>
            <w:vAlign w:val="bottom"/>
          </w:tcPr>
          <w:p>
            <w:pPr>
              <w:pStyle w:val="TableContents"/>
              <w:spacing w:before="0" w:after="1"/>
              <w:ind w:left="0" w:right="0" w:hanging="0"/>
              <w:jc w:val="both"/>
              <w:rPr>
                <w:sz w:val="17"/>
              </w:rPr>
            </w:pPr>
            <w:r>
              <w:rPr>
                <w:sz w:val="17"/>
              </w:rPr>
              <w:t>Australia</w:t>
            </w:r>
          </w:p>
        </w:tc>
        <w:tc>
          <w:tcPr>
            <w:tcW w:w="1070" w:type="dxa"/>
            <w:tcBorders>
              <w:top w:val="single" w:sz="12" w:space="0" w:color="000000"/>
              <w:left w:val="single" w:sz="8" w:space="0" w:color="000000"/>
            </w:tcBorders>
            <w:shd w:fill="CCEEFF" w:val="clear"/>
            <w:tcMar>
              <w:top w:w="28" w:type="dxa"/>
              <w:left w:w="28" w:type="dxa"/>
            </w:tcMar>
            <w:vAlign w:val="bottom"/>
          </w:tcPr>
          <w:p>
            <w:pPr>
              <w:pStyle w:val="TableContents"/>
              <w:spacing w:before="0" w:after="1"/>
              <w:ind w:left="0" w:right="0" w:hanging="0"/>
              <w:jc w:val="center"/>
              <w:rPr>
                <w:sz w:val="17"/>
              </w:rPr>
            </w:pPr>
            <w:r>
              <w:rPr>
                <w:sz w:val="17"/>
              </w:rPr>
              <w:t>18 cinemas</w:t>
            </w:r>
          </w:p>
        </w:tc>
        <w:tc>
          <w:tcPr>
            <w:tcW w:w="1010"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2 cinemas</w:t>
            </w:r>
          </w:p>
        </w:tc>
        <w:tc>
          <w:tcPr>
            <w:tcW w:w="1190"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1 cinema4</w:t>
            </w:r>
          </w:p>
        </w:tc>
        <w:tc>
          <w:tcPr>
            <w:tcW w:w="755" w:type="dxa"/>
            <w:tcBorders>
              <w:top w:val="single" w:sz="12" w:space="0" w:color="000000"/>
              <w:right w:val="single" w:sz="8" w:space="0" w:color="000000"/>
            </w:tcBorders>
            <w:shd w:fill="CCEEFF" w:val="clear"/>
            <w:tcMar>
              <w:top w:w="28" w:type="dxa"/>
              <w:right w:w="28" w:type="dxa"/>
            </w:tcMar>
            <w:vAlign w:val="bottom"/>
          </w:tcPr>
          <w:p>
            <w:pPr>
              <w:pStyle w:val="TableContents"/>
              <w:spacing w:before="0" w:after="1"/>
              <w:ind w:left="0" w:right="0" w:hanging="0"/>
              <w:jc w:val="center"/>
              <w:rPr>
                <w:sz w:val="17"/>
              </w:rPr>
            </w:pPr>
            <w:r>
              <w:rPr>
                <w:sz w:val="17"/>
              </w:rPr>
              <w:t>None</w:t>
            </w:r>
          </w:p>
        </w:tc>
        <w:tc>
          <w:tcPr>
            <w:tcW w:w="860" w:type="dxa"/>
            <w:tcBorders>
              <w:top w:val="single" w:sz="12" w:space="0" w:color="000000"/>
              <w:left w:val="single" w:sz="8" w:space="0" w:color="000000"/>
            </w:tcBorders>
            <w:shd w:fill="CCEEFF" w:val="clear"/>
            <w:tcMar>
              <w:top w:w="28" w:type="dxa"/>
              <w:left w:w="28" w:type="dxa"/>
            </w:tcMar>
            <w:vAlign w:val="bottom"/>
          </w:tcPr>
          <w:p>
            <w:pPr>
              <w:pStyle w:val="TableContents"/>
              <w:spacing w:before="0" w:after="1"/>
              <w:ind w:left="0" w:right="0" w:hanging="0"/>
              <w:jc w:val="center"/>
              <w:rPr>
                <w:b/>
                <w:sz w:val="17"/>
              </w:rPr>
            </w:pPr>
            <w:r>
              <w:rPr>
                <w:b/>
                <w:sz w:val="17"/>
              </w:rPr>
              <w:t>21 cinemas</w:t>
            </w:r>
          </w:p>
        </w:tc>
      </w:tr>
      <w:tr>
        <w:trPr/>
        <w:tc>
          <w:tcPr>
            <w:tcW w:w="950" w:type="dxa"/>
            <w:tcBorders>
              <w:right w:val="single" w:sz="8" w:space="0" w:color="000000"/>
            </w:tcBorders>
            <w:shd w:fill="FFFFFF" w:val="clear"/>
            <w:tcMar>
              <w:right w:w="28" w:type="dxa"/>
            </w:tcMar>
            <w:vAlign w:val="bottom"/>
          </w:tcPr>
          <w:p>
            <w:pPr>
              <w:pStyle w:val="TableContents"/>
              <w:spacing w:before="0" w:after="1"/>
              <w:ind w:left="0" w:right="0" w:hanging="0"/>
              <w:jc w:val="both"/>
              <w:rPr/>
            </w:pPr>
            <w:r>
              <w:rPr/>
              <w:t> </w:t>
            </w:r>
          </w:p>
        </w:tc>
        <w:tc>
          <w:tcPr>
            <w:tcW w:w="1070" w:type="dxa"/>
            <w:tcBorders>
              <w:left w:val="single" w:sz="8" w:space="0" w:color="000000"/>
            </w:tcBorders>
            <w:shd w:fill="FFFFFF" w:val="clear"/>
            <w:tcMar>
              <w:left w:w="28" w:type="dxa"/>
            </w:tcMar>
            <w:vAlign w:val="bottom"/>
          </w:tcPr>
          <w:p>
            <w:pPr>
              <w:pStyle w:val="TableContents"/>
              <w:spacing w:before="0" w:after="1"/>
              <w:ind w:left="0" w:right="0" w:hanging="0"/>
              <w:jc w:val="center"/>
              <w:rPr>
                <w:sz w:val="17"/>
              </w:rPr>
            </w:pPr>
            <w:r>
              <w:rPr>
                <w:sz w:val="17"/>
              </w:rPr>
              <w:t>138 screens</w:t>
            </w:r>
          </w:p>
        </w:tc>
        <w:tc>
          <w:tcPr>
            <w:tcW w:w="1010" w:type="dxa"/>
            <w:tcBorders/>
            <w:shd w:fill="FFFFFF" w:val="clear"/>
            <w:vAlign w:val="bottom"/>
          </w:tcPr>
          <w:p>
            <w:pPr>
              <w:pStyle w:val="TableContents"/>
              <w:spacing w:before="0" w:after="1"/>
              <w:ind w:left="0" w:right="0" w:hanging="0"/>
              <w:jc w:val="center"/>
              <w:rPr>
                <w:sz w:val="17"/>
              </w:rPr>
            </w:pPr>
            <w:r>
              <w:rPr>
                <w:sz w:val="17"/>
              </w:rPr>
              <w:t>11 screens</w:t>
            </w:r>
          </w:p>
        </w:tc>
        <w:tc>
          <w:tcPr>
            <w:tcW w:w="1190" w:type="dxa"/>
            <w:tcBorders/>
            <w:shd w:fill="FFFFFF" w:val="clear"/>
            <w:vAlign w:val="bottom"/>
          </w:tcPr>
          <w:p>
            <w:pPr>
              <w:pStyle w:val="TableContents"/>
              <w:spacing w:before="0" w:after="1"/>
              <w:ind w:left="0" w:right="0" w:hanging="0"/>
              <w:jc w:val="center"/>
              <w:rPr>
                <w:sz w:val="17"/>
              </w:rPr>
            </w:pPr>
            <w:r>
              <w:rPr>
                <w:sz w:val="17"/>
              </w:rPr>
              <w:t>16 screens</w:t>
            </w:r>
          </w:p>
        </w:tc>
        <w:tc>
          <w:tcPr>
            <w:tcW w:w="755" w:type="dxa"/>
            <w:tcBorders>
              <w:right w:val="single" w:sz="8" w:space="0" w:color="000000"/>
            </w:tcBorders>
            <w:shd w:fill="FFFFFF" w:val="clear"/>
            <w:tcMar>
              <w:right w:w="28" w:type="dxa"/>
            </w:tcMar>
            <w:vAlign w:val="bottom"/>
          </w:tcPr>
          <w:p>
            <w:pPr>
              <w:pStyle w:val="TableContents"/>
              <w:spacing w:before="0" w:after="1"/>
              <w:ind w:left="0" w:right="0" w:hanging="0"/>
              <w:jc w:val="center"/>
              <w:rPr/>
            </w:pPr>
            <w:r>
              <w:rPr/>
              <w:t> </w:t>
            </w:r>
          </w:p>
        </w:tc>
        <w:tc>
          <w:tcPr>
            <w:tcW w:w="860" w:type="dxa"/>
            <w:tcBorders>
              <w:left w:val="single" w:sz="8" w:space="0" w:color="000000"/>
            </w:tcBorders>
            <w:shd w:fill="FFFFFF" w:val="clear"/>
            <w:tcMar>
              <w:left w:w="28" w:type="dxa"/>
            </w:tcMar>
            <w:vAlign w:val="bottom"/>
          </w:tcPr>
          <w:p>
            <w:pPr>
              <w:pStyle w:val="TableContents"/>
              <w:spacing w:before="0" w:after="1"/>
              <w:ind w:left="0" w:right="0" w:hanging="0"/>
              <w:jc w:val="center"/>
              <w:rPr>
                <w:b/>
                <w:sz w:val="17"/>
              </w:rPr>
            </w:pPr>
            <w:r>
              <w:rPr>
                <w:b/>
                <w:sz w:val="17"/>
              </w:rPr>
              <w:t>165 screens</w:t>
            </w:r>
          </w:p>
        </w:tc>
      </w:tr>
      <w:tr>
        <w:trPr/>
        <w:tc>
          <w:tcPr>
            <w:tcW w:w="950" w:type="dxa"/>
            <w:tcBorders>
              <w:right w:val="single" w:sz="8" w:space="0" w:color="000000"/>
            </w:tcBorders>
            <w:shd w:fill="CCEEFF" w:val="clear"/>
            <w:tcMar>
              <w:right w:w="28" w:type="dxa"/>
            </w:tcMar>
            <w:vAlign w:val="bottom"/>
          </w:tcPr>
          <w:p>
            <w:pPr>
              <w:pStyle w:val="TableContents"/>
              <w:spacing w:before="0" w:after="1"/>
              <w:ind w:left="0" w:right="0" w:hanging="0"/>
              <w:jc w:val="both"/>
              <w:rPr/>
            </w:pPr>
            <w:r>
              <w:rPr/>
              <w:t> </w:t>
            </w:r>
          </w:p>
        </w:tc>
        <w:tc>
          <w:tcPr>
            <w:tcW w:w="1070" w:type="dxa"/>
            <w:tcBorders>
              <w:left w:val="single" w:sz="8" w:space="0" w:color="000000"/>
            </w:tcBorders>
            <w:shd w:fill="CCEEFF" w:val="clear"/>
            <w:tcMar>
              <w:left w:w="28" w:type="dxa"/>
            </w:tcMar>
            <w:vAlign w:val="bottom"/>
          </w:tcPr>
          <w:p>
            <w:pPr>
              <w:pStyle w:val="TableContents"/>
              <w:spacing w:before="0" w:after="1"/>
              <w:ind w:left="0" w:right="0" w:hanging="0"/>
              <w:jc w:val="center"/>
              <w:rPr/>
            </w:pPr>
            <w:r>
              <w:rPr/>
              <w:t> </w:t>
            </w:r>
          </w:p>
        </w:tc>
        <w:tc>
          <w:tcPr>
            <w:tcW w:w="1010" w:type="dxa"/>
            <w:tcBorders/>
            <w:shd w:fill="CCEEFF" w:val="clear"/>
            <w:vAlign w:val="bottom"/>
          </w:tcPr>
          <w:p>
            <w:pPr>
              <w:pStyle w:val="TableContents"/>
              <w:spacing w:before="0" w:after="1"/>
              <w:ind w:left="0" w:right="0" w:hanging="0"/>
              <w:jc w:val="center"/>
              <w:rPr/>
            </w:pPr>
            <w:r>
              <w:rPr/>
              <w:t> </w:t>
            </w:r>
          </w:p>
        </w:tc>
        <w:tc>
          <w:tcPr>
            <w:tcW w:w="1190" w:type="dxa"/>
            <w:tcBorders/>
            <w:shd w:fill="CCEEFF" w:val="clear"/>
            <w:vAlign w:val="bottom"/>
          </w:tcPr>
          <w:p>
            <w:pPr>
              <w:pStyle w:val="TableContents"/>
              <w:spacing w:before="0" w:after="1"/>
              <w:ind w:left="0" w:right="0" w:hanging="0"/>
              <w:jc w:val="both"/>
              <w:rPr/>
            </w:pPr>
            <w:r>
              <w:rPr/>
              <w:t> </w:t>
            </w:r>
          </w:p>
        </w:tc>
        <w:tc>
          <w:tcPr>
            <w:tcW w:w="755" w:type="dxa"/>
            <w:tcBorders>
              <w:right w:val="single" w:sz="8" w:space="0" w:color="000000"/>
            </w:tcBorders>
            <w:shd w:fill="CCEEFF" w:val="clear"/>
            <w:tcMar>
              <w:right w:w="28" w:type="dxa"/>
            </w:tcMar>
            <w:vAlign w:val="bottom"/>
          </w:tcPr>
          <w:p>
            <w:pPr>
              <w:pStyle w:val="TableContents"/>
              <w:spacing w:before="0" w:after="1"/>
              <w:ind w:left="0" w:right="0" w:hanging="0"/>
              <w:jc w:val="center"/>
              <w:rPr/>
            </w:pPr>
            <w:r>
              <w:rPr/>
              <w:t> </w:t>
            </w:r>
          </w:p>
        </w:tc>
        <w:tc>
          <w:tcPr>
            <w:tcW w:w="860" w:type="dxa"/>
            <w:tcBorders>
              <w:left w:val="single" w:sz="8" w:space="0" w:color="000000"/>
            </w:tcBorders>
            <w:shd w:fill="CCEEFF" w:val="clear"/>
            <w:tcMar>
              <w:left w:w="28" w:type="dxa"/>
            </w:tcMar>
            <w:vAlign w:val="bottom"/>
          </w:tcPr>
          <w:p>
            <w:pPr>
              <w:pStyle w:val="TableContents"/>
              <w:spacing w:before="0" w:after="1"/>
              <w:ind w:left="0" w:right="0" w:hanging="0"/>
              <w:jc w:val="center"/>
              <w:rPr/>
            </w:pPr>
            <w:r>
              <w:rPr/>
              <w:t> </w:t>
            </w:r>
          </w:p>
        </w:tc>
      </w:tr>
      <w:tr>
        <w:trPr/>
        <w:tc>
          <w:tcPr>
            <w:tcW w:w="950"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7"/>
              </w:rPr>
            </w:pPr>
            <w:r>
              <w:rPr>
                <w:sz w:val="17"/>
              </w:rPr>
              <w:t>New Zealand</w:t>
            </w:r>
          </w:p>
        </w:tc>
        <w:tc>
          <w:tcPr>
            <w:tcW w:w="1070" w:type="dxa"/>
            <w:tcBorders>
              <w:left w:val="single" w:sz="8" w:space="0" w:color="000000"/>
            </w:tcBorders>
            <w:shd w:fill="FFFFFF" w:val="clear"/>
            <w:tcMar>
              <w:left w:w="28" w:type="dxa"/>
            </w:tcMar>
            <w:vAlign w:val="bottom"/>
          </w:tcPr>
          <w:p>
            <w:pPr>
              <w:pStyle w:val="TableContents"/>
              <w:spacing w:before="0" w:after="1"/>
              <w:ind w:left="0" w:right="0" w:hanging="0"/>
              <w:jc w:val="center"/>
              <w:rPr>
                <w:sz w:val="17"/>
              </w:rPr>
            </w:pPr>
            <w:r>
              <w:rPr>
                <w:sz w:val="17"/>
              </w:rPr>
              <w:t>7 cinemas</w:t>
            </w:r>
          </w:p>
        </w:tc>
        <w:tc>
          <w:tcPr>
            <w:tcW w:w="1010" w:type="dxa"/>
            <w:tcBorders/>
            <w:shd w:fill="FFFFFF" w:val="clear"/>
            <w:vAlign w:val="bottom"/>
          </w:tcPr>
          <w:p>
            <w:pPr>
              <w:pStyle w:val="TableContents"/>
              <w:spacing w:before="0" w:after="1"/>
              <w:ind w:left="0" w:right="0" w:hanging="0"/>
              <w:jc w:val="center"/>
              <w:rPr>
                <w:sz w:val="17"/>
              </w:rPr>
            </w:pPr>
            <w:r>
              <w:rPr>
                <w:sz w:val="17"/>
              </w:rPr>
              <w:t>None</w:t>
            </w:r>
          </w:p>
        </w:tc>
        <w:tc>
          <w:tcPr>
            <w:tcW w:w="1190" w:type="dxa"/>
            <w:tcBorders/>
            <w:shd w:fill="FFFFFF" w:val="clear"/>
            <w:vAlign w:val="bottom"/>
          </w:tcPr>
          <w:p>
            <w:pPr>
              <w:pStyle w:val="TableContents"/>
              <w:spacing w:before="0" w:after="1"/>
              <w:ind w:left="0" w:right="0" w:hanging="0"/>
              <w:jc w:val="center"/>
              <w:rPr>
                <w:sz w:val="17"/>
              </w:rPr>
            </w:pPr>
            <w:r>
              <w:rPr>
                <w:sz w:val="17"/>
              </w:rPr>
              <w:t>2 cinemas5</w:t>
            </w:r>
          </w:p>
        </w:tc>
        <w:tc>
          <w:tcPr>
            <w:tcW w:w="755" w:type="dxa"/>
            <w:tcBorders>
              <w:right w:val="single" w:sz="8" w:space="0" w:color="000000"/>
            </w:tcBorders>
            <w:shd w:fill="FFFFFF" w:val="clear"/>
            <w:tcMar>
              <w:right w:w="28" w:type="dxa"/>
            </w:tcMar>
            <w:vAlign w:val="bottom"/>
          </w:tcPr>
          <w:p>
            <w:pPr>
              <w:pStyle w:val="TableContents"/>
              <w:spacing w:before="0" w:after="1"/>
              <w:ind w:left="0" w:right="0" w:hanging="0"/>
              <w:jc w:val="center"/>
              <w:rPr>
                <w:sz w:val="17"/>
              </w:rPr>
            </w:pPr>
            <w:r>
              <w:rPr>
                <w:sz w:val="17"/>
              </w:rPr>
              <w:t>None</w:t>
            </w:r>
          </w:p>
        </w:tc>
        <w:tc>
          <w:tcPr>
            <w:tcW w:w="860" w:type="dxa"/>
            <w:tcBorders>
              <w:left w:val="single" w:sz="8" w:space="0" w:color="000000"/>
            </w:tcBorders>
            <w:shd w:fill="FFFFFF" w:val="clear"/>
            <w:tcMar>
              <w:left w:w="28" w:type="dxa"/>
            </w:tcMar>
            <w:vAlign w:val="bottom"/>
          </w:tcPr>
          <w:p>
            <w:pPr>
              <w:pStyle w:val="TableContents"/>
              <w:spacing w:before="0" w:after="1"/>
              <w:ind w:left="0" w:right="0" w:hanging="0"/>
              <w:jc w:val="center"/>
              <w:rPr>
                <w:b/>
                <w:sz w:val="17"/>
              </w:rPr>
            </w:pPr>
            <w:r>
              <w:rPr>
                <w:b/>
                <w:sz w:val="17"/>
              </w:rPr>
              <w:t>9 cinemas</w:t>
            </w:r>
          </w:p>
        </w:tc>
      </w:tr>
      <w:tr>
        <w:trPr/>
        <w:tc>
          <w:tcPr>
            <w:tcW w:w="950" w:type="dxa"/>
            <w:tcBorders>
              <w:right w:val="single" w:sz="8" w:space="0" w:color="000000"/>
            </w:tcBorders>
            <w:shd w:fill="CCEEFF" w:val="clear"/>
            <w:tcMar>
              <w:right w:w="28" w:type="dxa"/>
            </w:tcMar>
            <w:vAlign w:val="bottom"/>
          </w:tcPr>
          <w:p>
            <w:pPr>
              <w:pStyle w:val="TableContents"/>
              <w:spacing w:before="0" w:after="1"/>
              <w:ind w:left="0" w:right="0" w:hanging="0"/>
              <w:jc w:val="both"/>
              <w:rPr/>
            </w:pPr>
            <w:r>
              <w:rPr/>
              <w:t> </w:t>
            </w:r>
          </w:p>
        </w:tc>
        <w:tc>
          <w:tcPr>
            <w:tcW w:w="1070" w:type="dxa"/>
            <w:tcBorders>
              <w:left w:val="single" w:sz="8" w:space="0" w:color="000000"/>
            </w:tcBorders>
            <w:shd w:fill="CCEEFF" w:val="clear"/>
            <w:tcMar>
              <w:left w:w="28" w:type="dxa"/>
            </w:tcMar>
            <w:vAlign w:val="bottom"/>
          </w:tcPr>
          <w:p>
            <w:pPr>
              <w:pStyle w:val="TableContents"/>
              <w:spacing w:before="0" w:after="1"/>
              <w:ind w:left="0" w:right="0" w:hanging="0"/>
              <w:jc w:val="center"/>
              <w:rPr>
                <w:sz w:val="17"/>
              </w:rPr>
            </w:pPr>
            <w:r>
              <w:rPr>
                <w:sz w:val="17"/>
              </w:rPr>
              <w:t>40 screens</w:t>
            </w:r>
          </w:p>
        </w:tc>
        <w:tc>
          <w:tcPr>
            <w:tcW w:w="1010" w:type="dxa"/>
            <w:tcBorders/>
            <w:shd w:fill="CCEEFF" w:val="clear"/>
            <w:vAlign w:val="bottom"/>
          </w:tcPr>
          <w:p>
            <w:pPr>
              <w:pStyle w:val="TableContents"/>
              <w:spacing w:before="0" w:after="1"/>
              <w:ind w:left="0" w:right="0" w:hanging="0"/>
              <w:jc w:val="center"/>
              <w:rPr/>
            </w:pPr>
            <w:r>
              <w:rPr/>
              <w:t> </w:t>
            </w:r>
          </w:p>
        </w:tc>
        <w:tc>
          <w:tcPr>
            <w:tcW w:w="1190" w:type="dxa"/>
            <w:tcBorders/>
            <w:shd w:fill="CCEEFF" w:val="clear"/>
            <w:vAlign w:val="bottom"/>
          </w:tcPr>
          <w:p>
            <w:pPr>
              <w:pStyle w:val="TableContents"/>
              <w:spacing w:before="0" w:after="1"/>
              <w:ind w:left="0" w:right="0" w:hanging="0"/>
              <w:jc w:val="center"/>
              <w:rPr>
                <w:sz w:val="17"/>
              </w:rPr>
            </w:pPr>
            <w:r>
              <w:rPr>
                <w:sz w:val="17"/>
              </w:rPr>
              <w:t>13 screens</w:t>
            </w:r>
          </w:p>
        </w:tc>
        <w:tc>
          <w:tcPr>
            <w:tcW w:w="755" w:type="dxa"/>
            <w:tcBorders>
              <w:right w:val="single" w:sz="8" w:space="0" w:color="000000"/>
            </w:tcBorders>
            <w:shd w:fill="CCEEFF" w:val="clear"/>
            <w:tcMar>
              <w:right w:w="28" w:type="dxa"/>
            </w:tcMar>
            <w:vAlign w:val="bottom"/>
          </w:tcPr>
          <w:p>
            <w:pPr>
              <w:pStyle w:val="TableContents"/>
              <w:spacing w:before="0" w:after="1"/>
              <w:ind w:left="0" w:right="0" w:hanging="0"/>
              <w:jc w:val="center"/>
              <w:rPr/>
            </w:pPr>
            <w:r>
              <w:rPr/>
              <w:t> </w:t>
            </w:r>
          </w:p>
        </w:tc>
        <w:tc>
          <w:tcPr>
            <w:tcW w:w="860" w:type="dxa"/>
            <w:tcBorders>
              <w:left w:val="single" w:sz="8" w:space="0" w:color="000000"/>
            </w:tcBorders>
            <w:shd w:fill="CCEEFF" w:val="clear"/>
            <w:tcMar>
              <w:left w:w="28" w:type="dxa"/>
            </w:tcMar>
            <w:vAlign w:val="bottom"/>
          </w:tcPr>
          <w:p>
            <w:pPr>
              <w:pStyle w:val="TableContents"/>
              <w:spacing w:before="0" w:after="1"/>
              <w:ind w:left="0" w:right="0" w:hanging="0"/>
              <w:jc w:val="center"/>
              <w:rPr>
                <w:b/>
                <w:sz w:val="17"/>
              </w:rPr>
            </w:pPr>
            <w:r>
              <w:rPr>
                <w:b/>
                <w:sz w:val="17"/>
              </w:rPr>
              <w:t>53 screens</w:t>
            </w:r>
          </w:p>
        </w:tc>
      </w:tr>
      <w:tr>
        <w:trPr/>
        <w:tc>
          <w:tcPr>
            <w:tcW w:w="950" w:type="dxa"/>
            <w:tcBorders>
              <w:right w:val="single" w:sz="8" w:space="0" w:color="000000"/>
            </w:tcBorders>
            <w:shd w:fill="FFFFFF" w:val="clear"/>
            <w:tcMar>
              <w:right w:w="28" w:type="dxa"/>
            </w:tcMar>
            <w:vAlign w:val="bottom"/>
          </w:tcPr>
          <w:p>
            <w:pPr>
              <w:pStyle w:val="TableContents"/>
              <w:spacing w:before="0" w:after="1"/>
              <w:ind w:left="0" w:right="0" w:hanging="0"/>
              <w:jc w:val="both"/>
              <w:rPr/>
            </w:pPr>
            <w:r>
              <w:rPr/>
              <w:t> </w:t>
            </w:r>
          </w:p>
        </w:tc>
        <w:tc>
          <w:tcPr>
            <w:tcW w:w="1070" w:type="dxa"/>
            <w:tcBorders>
              <w:left w:val="single" w:sz="8" w:space="0" w:color="000000"/>
            </w:tcBorders>
            <w:shd w:fill="FFFFFF" w:val="clear"/>
            <w:tcMar>
              <w:left w:w="28" w:type="dxa"/>
            </w:tcMar>
            <w:vAlign w:val="bottom"/>
          </w:tcPr>
          <w:p>
            <w:pPr>
              <w:pStyle w:val="TableContents"/>
              <w:spacing w:before="0" w:after="1"/>
              <w:ind w:left="0" w:right="0" w:hanging="0"/>
              <w:jc w:val="center"/>
              <w:rPr/>
            </w:pPr>
            <w:r>
              <w:rPr/>
              <w:t> </w:t>
            </w:r>
          </w:p>
        </w:tc>
        <w:tc>
          <w:tcPr>
            <w:tcW w:w="1010" w:type="dxa"/>
            <w:tcBorders/>
            <w:shd w:fill="FFFFFF" w:val="clear"/>
            <w:vAlign w:val="bottom"/>
          </w:tcPr>
          <w:p>
            <w:pPr>
              <w:pStyle w:val="TableContents"/>
              <w:spacing w:before="0" w:after="1"/>
              <w:ind w:left="0" w:right="0" w:hanging="0"/>
              <w:jc w:val="center"/>
              <w:rPr/>
            </w:pPr>
            <w:r>
              <w:rPr/>
              <w:t> </w:t>
            </w:r>
          </w:p>
        </w:tc>
        <w:tc>
          <w:tcPr>
            <w:tcW w:w="1190" w:type="dxa"/>
            <w:tcBorders/>
            <w:shd w:fill="FFFFFF" w:val="clear"/>
            <w:vAlign w:val="bottom"/>
          </w:tcPr>
          <w:p>
            <w:pPr>
              <w:pStyle w:val="TableContents"/>
              <w:spacing w:before="0" w:after="1"/>
              <w:ind w:left="0" w:right="0" w:hanging="0"/>
              <w:jc w:val="both"/>
              <w:rPr/>
            </w:pPr>
            <w:r>
              <w:rPr/>
              <w:t> </w:t>
            </w:r>
          </w:p>
        </w:tc>
        <w:tc>
          <w:tcPr>
            <w:tcW w:w="755" w:type="dxa"/>
            <w:tcBorders>
              <w:right w:val="single" w:sz="8" w:space="0" w:color="000000"/>
            </w:tcBorders>
            <w:shd w:fill="FFFFFF" w:val="clear"/>
            <w:tcMar>
              <w:right w:w="28" w:type="dxa"/>
            </w:tcMar>
            <w:vAlign w:val="bottom"/>
          </w:tcPr>
          <w:p>
            <w:pPr>
              <w:pStyle w:val="TableContents"/>
              <w:spacing w:before="0" w:after="1"/>
              <w:ind w:left="0" w:right="0" w:hanging="0"/>
              <w:jc w:val="center"/>
              <w:rPr/>
            </w:pPr>
            <w:r>
              <w:rPr/>
              <w:t> </w:t>
            </w:r>
          </w:p>
        </w:tc>
        <w:tc>
          <w:tcPr>
            <w:tcW w:w="860" w:type="dxa"/>
            <w:tcBorders>
              <w:left w:val="single" w:sz="8" w:space="0" w:color="000000"/>
            </w:tcBorders>
            <w:shd w:fill="FFFFFF" w:val="clear"/>
            <w:tcMar>
              <w:left w:w="28" w:type="dxa"/>
            </w:tcMar>
            <w:vAlign w:val="bottom"/>
          </w:tcPr>
          <w:p>
            <w:pPr>
              <w:pStyle w:val="TableContents"/>
              <w:spacing w:before="0" w:after="1"/>
              <w:ind w:left="0" w:right="0" w:hanging="0"/>
              <w:jc w:val="center"/>
              <w:rPr/>
            </w:pPr>
            <w:r>
              <w:rPr/>
              <w:t> </w:t>
            </w:r>
          </w:p>
        </w:tc>
      </w:tr>
      <w:tr>
        <w:trPr/>
        <w:tc>
          <w:tcPr>
            <w:tcW w:w="950"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7"/>
              </w:rPr>
            </w:pPr>
            <w:r>
              <w:rPr>
                <w:sz w:val="17"/>
              </w:rPr>
              <w:t>United States</w:t>
            </w:r>
          </w:p>
        </w:tc>
        <w:tc>
          <w:tcPr>
            <w:tcW w:w="1070" w:type="dxa"/>
            <w:tcBorders>
              <w:left w:val="single" w:sz="8" w:space="0" w:color="000000"/>
            </w:tcBorders>
            <w:shd w:fill="CCEEFF" w:val="clear"/>
            <w:tcMar>
              <w:left w:w="28" w:type="dxa"/>
            </w:tcMar>
            <w:vAlign w:val="bottom"/>
          </w:tcPr>
          <w:p>
            <w:pPr>
              <w:pStyle w:val="TableContents"/>
              <w:spacing w:before="0" w:after="1"/>
              <w:ind w:left="0" w:right="0" w:hanging="0"/>
              <w:jc w:val="center"/>
              <w:rPr>
                <w:sz w:val="17"/>
              </w:rPr>
            </w:pPr>
            <w:r>
              <w:rPr>
                <w:sz w:val="17"/>
              </w:rPr>
              <w:t>23 cinemas</w:t>
            </w:r>
          </w:p>
        </w:tc>
        <w:tc>
          <w:tcPr>
            <w:tcW w:w="1010" w:type="dxa"/>
            <w:tcBorders/>
            <w:shd w:fill="CCEEFF" w:val="clear"/>
            <w:vAlign w:val="bottom"/>
          </w:tcPr>
          <w:p>
            <w:pPr>
              <w:pStyle w:val="TableContents"/>
              <w:spacing w:before="0" w:after="1"/>
              <w:ind w:left="0" w:right="0" w:hanging="0"/>
              <w:jc w:val="center"/>
              <w:rPr>
                <w:sz w:val="17"/>
              </w:rPr>
            </w:pPr>
            <w:r>
              <w:rPr>
                <w:sz w:val="17"/>
              </w:rPr>
              <w:t>1 cinema6</w:t>
            </w:r>
          </w:p>
        </w:tc>
        <w:tc>
          <w:tcPr>
            <w:tcW w:w="1190" w:type="dxa"/>
            <w:tcBorders/>
            <w:shd w:fill="CCEEFF" w:val="clear"/>
            <w:vAlign w:val="bottom"/>
          </w:tcPr>
          <w:p>
            <w:pPr>
              <w:pStyle w:val="TableContents"/>
              <w:spacing w:before="0" w:after="1"/>
              <w:ind w:left="0" w:right="0" w:hanging="0"/>
              <w:jc w:val="center"/>
              <w:rPr>
                <w:sz w:val="17"/>
              </w:rPr>
            </w:pPr>
            <w:r>
              <w:rPr>
                <w:sz w:val="17"/>
              </w:rPr>
              <w:t>None</w:t>
            </w:r>
          </w:p>
        </w:tc>
        <w:tc>
          <w:tcPr>
            <w:tcW w:w="755" w:type="dxa"/>
            <w:tcBorders>
              <w:right w:val="single" w:sz="8" w:space="0" w:color="000000"/>
            </w:tcBorders>
            <w:shd w:fill="CCEEFF" w:val="clear"/>
            <w:tcMar>
              <w:right w:w="28" w:type="dxa"/>
            </w:tcMar>
            <w:vAlign w:val="bottom"/>
          </w:tcPr>
          <w:p>
            <w:pPr>
              <w:pStyle w:val="TableContents"/>
              <w:spacing w:before="0" w:after="1"/>
              <w:ind w:left="0" w:right="0" w:hanging="0"/>
              <w:jc w:val="center"/>
              <w:rPr>
                <w:sz w:val="17"/>
              </w:rPr>
            </w:pPr>
            <w:r>
              <w:rPr>
                <w:sz w:val="17"/>
              </w:rPr>
              <w:t>2 cinemas</w:t>
            </w:r>
          </w:p>
        </w:tc>
        <w:tc>
          <w:tcPr>
            <w:tcW w:w="860" w:type="dxa"/>
            <w:tcBorders>
              <w:left w:val="single" w:sz="8" w:space="0" w:color="000000"/>
            </w:tcBorders>
            <w:shd w:fill="CCEEFF" w:val="clear"/>
            <w:tcMar>
              <w:left w:w="28" w:type="dxa"/>
            </w:tcMar>
            <w:vAlign w:val="bottom"/>
          </w:tcPr>
          <w:p>
            <w:pPr>
              <w:pStyle w:val="TableContents"/>
              <w:spacing w:before="0" w:after="1"/>
              <w:ind w:left="0" w:right="0" w:hanging="0"/>
              <w:jc w:val="center"/>
              <w:rPr>
                <w:b/>
                <w:sz w:val="17"/>
              </w:rPr>
            </w:pPr>
            <w:r>
              <w:rPr>
                <w:b/>
                <w:sz w:val="17"/>
              </w:rPr>
              <w:t>26 cinemas</w:t>
            </w:r>
          </w:p>
        </w:tc>
      </w:tr>
      <w:tr>
        <w:trPr/>
        <w:tc>
          <w:tcPr>
            <w:tcW w:w="950" w:type="dxa"/>
            <w:tcBorders>
              <w:right w:val="single" w:sz="8" w:space="0" w:color="000000"/>
            </w:tcBorders>
            <w:shd w:fill="FFFFFF" w:val="clear"/>
            <w:tcMar>
              <w:right w:w="28" w:type="dxa"/>
            </w:tcMar>
            <w:vAlign w:val="bottom"/>
          </w:tcPr>
          <w:p>
            <w:pPr>
              <w:pStyle w:val="TableContents"/>
              <w:spacing w:before="0" w:after="1"/>
              <w:ind w:left="0" w:right="0" w:hanging="0"/>
              <w:jc w:val="both"/>
              <w:rPr/>
            </w:pPr>
            <w:r>
              <w:rPr/>
              <w:t> </w:t>
            </w:r>
          </w:p>
        </w:tc>
        <w:tc>
          <w:tcPr>
            <w:tcW w:w="1070" w:type="dxa"/>
            <w:tcBorders>
              <w:left w:val="single" w:sz="8" w:space="0" w:color="000000"/>
            </w:tcBorders>
            <w:shd w:fill="FFFFFF" w:val="clear"/>
            <w:tcMar>
              <w:left w:w="28" w:type="dxa"/>
            </w:tcMar>
            <w:vAlign w:val="bottom"/>
          </w:tcPr>
          <w:p>
            <w:pPr>
              <w:pStyle w:val="TableContents"/>
              <w:spacing w:before="0" w:after="1"/>
              <w:ind w:left="0" w:right="0" w:hanging="0"/>
              <w:jc w:val="center"/>
              <w:rPr>
                <w:sz w:val="17"/>
              </w:rPr>
            </w:pPr>
            <w:r>
              <w:rPr>
                <w:sz w:val="17"/>
              </w:rPr>
              <w:t>238 screens</w:t>
            </w:r>
          </w:p>
        </w:tc>
        <w:tc>
          <w:tcPr>
            <w:tcW w:w="1010" w:type="dxa"/>
            <w:tcBorders/>
            <w:shd w:fill="FFFFFF" w:val="clear"/>
            <w:vAlign w:val="bottom"/>
          </w:tcPr>
          <w:p>
            <w:pPr>
              <w:pStyle w:val="TableContents"/>
              <w:spacing w:before="0" w:after="1"/>
              <w:ind w:left="0" w:right="0" w:hanging="0"/>
              <w:jc w:val="center"/>
              <w:rPr>
                <w:sz w:val="17"/>
              </w:rPr>
            </w:pPr>
            <w:r>
              <w:rPr>
                <w:sz w:val="17"/>
              </w:rPr>
              <w:t>6 screens</w:t>
            </w:r>
          </w:p>
        </w:tc>
        <w:tc>
          <w:tcPr>
            <w:tcW w:w="1190" w:type="dxa"/>
            <w:tcBorders/>
            <w:shd w:fill="FFFFFF" w:val="clear"/>
            <w:vAlign w:val="bottom"/>
          </w:tcPr>
          <w:p>
            <w:pPr>
              <w:pStyle w:val="TableContents"/>
              <w:spacing w:before="0" w:after="1"/>
              <w:ind w:left="0" w:right="0" w:hanging="0"/>
              <w:jc w:val="center"/>
              <w:rPr/>
            </w:pPr>
            <w:r>
              <w:rPr/>
              <w:t> </w:t>
            </w:r>
          </w:p>
        </w:tc>
        <w:tc>
          <w:tcPr>
            <w:tcW w:w="755" w:type="dxa"/>
            <w:tcBorders>
              <w:right w:val="single" w:sz="8" w:space="0" w:color="000000"/>
            </w:tcBorders>
            <w:shd w:fill="FFFFFF" w:val="clear"/>
            <w:tcMar>
              <w:right w:w="28" w:type="dxa"/>
            </w:tcMar>
            <w:vAlign w:val="bottom"/>
          </w:tcPr>
          <w:p>
            <w:pPr>
              <w:pStyle w:val="TableContents"/>
              <w:spacing w:before="0" w:after="1"/>
              <w:ind w:left="0" w:right="0" w:hanging="0"/>
              <w:jc w:val="center"/>
              <w:rPr>
                <w:sz w:val="17"/>
              </w:rPr>
            </w:pPr>
            <w:r>
              <w:rPr>
                <w:sz w:val="17"/>
              </w:rPr>
              <w:t>9 screens</w:t>
            </w:r>
          </w:p>
        </w:tc>
        <w:tc>
          <w:tcPr>
            <w:tcW w:w="860" w:type="dxa"/>
            <w:tcBorders>
              <w:left w:val="single" w:sz="8" w:space="0" w:color="000000"/>
            </w:tcBorders>
            <w:shd w:fill="FFFFFF" w:val="clear"/>
            <w:tcMar>
              <w:left w:w="28" w:type="dxa"/>
            </w:tcMar>
            <w:vAlign w:val="bottom"/>
          </w:tcPr>
          <w:p>
            <w:pPr>
              <w:pStyle w:val="TableContents"/>
              <w:spacing w:before="0" w:after="1"/>
              <w:ind w:left="0" w:right="0" w:hanging="0"/>
              <w:jc w:val="center"/>
              <w:rPr>
                <w:b/>
                <w:sz w:val="17"/>
              </w:rPr>
            </w:pPr>
            <w:r>
              <w:rPr>
                <w:b/>
                <w:sz w:val="17"/>
              </w:rPr>
              <w:t>253 screens</w:t>
            </w:r>
          </w:p>
        </w:tc>
      </w:tr>
      <w:tr>
        <w:trPr/>
        <w:tc>
          <w:tcPr>
            <w:tcW w:w="950"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both"/>
              <w:rPr/>
            </w:pPr>
            <w:r>
              <w:rPr/>
              <w:t> </w:t>
            </w:r>
          </w:p>
        </w:tc>
        <w:tc>
          <w:tcPr>
            <w:tcW w:w="1070"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1"/>
              <w:ind w:left="0" w:right="0" w:hanging="0"/>
              <w:jc w:val="center"/>
              <w:rPr/>
            </w:pPr>
            <w:r>
              <w:rPr/>
              <w:t> </w:t>
            </w:r>
          </w:p>
        </w:tc>
        <w:tc>
          <w:tcPr>
            <w:tcW w:w="101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1190"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755"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center"/>
              <w:rPr/>
            </w:pPr>
            <w:r>
              <w:rPr/>
              <w:t> </w:t>
            </w:r>
          </w:p>
        </w:tc>
        <w:tc>
          <w:tcPr>
            <w:tcW w:w="860"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1"/>
              <w:ind w:left="0" w:right="0" w:hanging="0"/>
              <w:jc w:val="center"/>
              <w:rPr/>
            </w:pPr>
            <w:r>
              <w:rPr/>
              <w:t> </w:t>
            </w:r>
          </w:p>
        </w:tc>
      </w:tr>
      <w:tr>
        <w:trPr/>
        <w:tc>
          <w:tcPr>
            <w:tcW w:w="950" w:type="dxa"/>
            <w:tcBorders>
              <w:top w:val="single" w:sz="8"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b/>
                <w:sz w:val="17"/>
              </w:rPr>
            </w:pPr>
            <w:r>
              <w:rPr>
                <w:b/>
                <w:sz w:val="17"/>
              </w:rPr>
              <w:t>Totals</w:t>
            </w:r>
          </w:p>
        </w:tc>
        <w:tc>
          <w:tcPr>
            <w:tcW w:w="1070" w:type="dxa"/>
            <w:tcBorders>
              <w:top w:val="single" w:sz="8" w:space="0" w:color="000000"/>
              <w:left w:val="single" w:sz="8" w:space="0" w:color="000000"/>
            </w:tcBorders>
            <w:shd w:fill="FFFFFF" w:val="clear"/>
            <w:tcMar>
              <w:top w:w="28" w:type="dxa"/>
              <w:left w:w="28" w:type="dxa"/>
            </w:tcMar>
            <w:vAlign w:val="bottom"/>
          </w:tcPr>
          <w:p>
            <w:pPr>
              <w:pStyle w:val="TableContents"/>
              <w:spacing w:before="0" w:after="1"/>
              <w:ind w:left="0" w:right="0" w:hanging="0"/>
              <w:jc w:val="center"/>
              <w:rPr>
                <w:b/>
                <w:sz w:val="17"/>
              </w:rPr>
            </w:pPr>
            <w:r>
              <w:rPr>
                <w:b/>
                <w:sz w:val="17"/>
              </w:rPr>
              <w:t>48 cinemas</w:t>
            </w:r>
          </w:p>
        </w:tc>
        <w:tc>
          <w:tcPr>
            <w:tcW w:w="1010" w:type="dxa"/>
            <w:tcBorders>
              <w:top w:val="single" w:sz="8" w:space="0" w:color="000000"/>
            </w:tcBorders>
            <w:shd w:fill="FFFFFF" w:val="clear"/>
            <w:tcMar>
              <w:top w:w="28" w:type="dxa"/>
            </w:tcMar>
            <w:vAlign w:val="bottom"/>
          </w:tcPr>
          <w:p>
            <w:pPr>
              <w:pStyle w:val="TableContents"/>
              <w:spacing w:before="0" w:after="1"/>
              <w:ind w:left="0" w:right="0" w:hanging="0"/>
              <w:jc w:val="center"/>
              <w:rPr>
                <w:b/>
                <w:sz w:val="17"/>
              </w:rPr>
            </w:pPr>
            <w:r>
              <w:rPr>
                <w:b/>
                <w:sz w:val="17"/>
              </w:rPr>
              <w:t>3 cinemas</w:t>
            </w:r>
          </w:p>
        </w:tc>
        <w:tc>
          <w:tcPr>
            <w:tcW w:w="1190" w:type="dxa"/>
            <w:tcBorders>
              <w:top w:val="single" w:sz="8" w:space="0" w:color="000000"/>
            </w:tcBorders>
            <w:shd w:fill="FFFFFF" w:val="clear"/>
            <w:tcMar>
              <w:top w:w="28" w:type="dxa"/>
            </w:tcMar>
            <w:vAlign w:val="bottom"/>
          </w:tcPr>
          <w:p>
            <w:pPr>
              <w:pStyle w:val="TableContents"/>
              <w:spacing w:before="0" w:after="1"/>
              <w:ind w:left="0" w:right="0" w:hanging="0"/>
              <w:jc w:val="center"/>
              <w:rPr>
                <w:b/>
                <w:sz w:val="17"/>
              </w:rPr>
            </w:pPr>
            <w:r>
              <w:rPr>
                <w:b/>
                <w:sz w:val="17"/>
              </w:rPr>
              <w:t>3 cinemas</w:t>
            </w:r>
          </w:p>
        </w:tc>
        <w:tc>
          <w:tcPr>
            <w:tcW w:w="755" w:type="dxa"/>
            <w:tcBorders>
              <w:top w:val="single" w:sz="8"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center"/>
              <w:rPr>
                <w:b/>
                <w:sz w:val="17"/>
              </w:rPr>
            </w:pPr>
            <w:r>
              <w:rPr>
                <w:b/>
                <w:sz w:val="17"/>
              </w:rPr>
              <w:t>2 cinemas</w:t>
            </w:r>
          </w:p>
        </w:tc>
        <w:tc>
          <w:tcPr>
            <w:tcW w:w="860" w:type="dxa"/>
            <w:tcBorders>
              <w:top w:val="single" w:sz="8" w:space="0" w:color="000000"/>
              <w:left w:val="single" w:sz="8" w:space="0" w:color="000000"/>
            </w:tcBorders>
            <w:shd w:fill="FFFFFF" w:val="clear"/>
            <w:tcMar>
              <w:top w:w="28" w:type="dxa"/>
              <w:left w:w="28" w:type="dxa"/>
            </w:tcMar>
            <w:vAlign w:val="bottom"/>
          </w:tcPr>
          <w:p>
            <w:pPr>
              <w:pStyle w:val="TableContents"/>
              <w:spacing w:before="0" w:after="1"/>
              <w:ind w:left="0" w:right="0" w:hanging="0"/>
              <w:jc w:val="center"/>
              <w:rPr>
                <w:b/>
                <w:sz w:val="17"/>
              </w:rPr>
            </w:pPr>
            <w:r>
              <w:rPr>
                <w:b/>
                <w:sz w:val="17"/>
              </w:rPr>
              <w:t>56 cinemas</w:t>
            </w:r>
          </w:p>
        </w:tc>
      </w:tr>
      <w:tr>
        <w:trPr/>
        <w:tc>
          <w:tcPr>
            <w:tcW w:w="950" w:type="dxa"/>
            <w:tcBorders>
              <w:bottom w:val="single" w:sz="12"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both"/>
              <w:rPr/>
            </w:pPr>
            <w:r>
              <w:rPr/>
              <w:t> </w:t>
            </w:r>
          </w:p>
        </w:tc>
        <w:tc>
          <w:tcPr>
            <w:tcW w:w="1070" w:type="dxa"/>
            <w:tcBorders>
              <w:left w:val="single" w:sz="8" w:space="0" w:color="000000"/>
              <w:bottom w:val="single" w:sz="12" w:space="0" w:color="000000"/>
            </w:tcBorders>
            <w:shd w:fill="CCEEFF" w:val="clear"/>
            <w:tcMar>
              <w:left w:w="28" w:type="dxa"/>
              <w:bottom w:w="28" w:type="dxa"/>
            </w:tcMar>
            <w:vAlign w:val="bottom"/>
          </w:tcPr>
          <w:p>
            <w:pPr>
              <w:pStyle w:val="TableContents"/>
              <w:spacing w:before="0" w:after="1"/>
              <w:ind w:left="0" w:right="0" w:hanging="0"/>
              <w:jc w:val="center"/>
              <w:rPr>
                <w:b/>
                <w:sz w:val="17"/>
              </w:rPr>
            </w:pPr>
            <w:r>
              <w:rPr>
                <w:b/>
                <w:sz w:val="17"/>
              </w:rPr>
              <w:t>416 screens</w:t>
            </w:r>
          </w:p>
        </w:tc>
        <w:tc>
          <w:tcPr>
            <w:tcW w:w="101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17 screens</w:t>
            </w:r>
          </w:p>
        </w:tc>
        <w:tc>
          <w:tcPr>
            <w:tcW w:w="119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29 screens</w:t>
            </w:r>
          </w:p>
        </w:tc>
        <w:tc>
          <w:tcPr>
            <w:tcW w:w="755" w:type="dxa"/>
            <w:tcBorders>
              <w:bottom w:val="single" w:sz="12"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center"/>
              <w:rPr>
                <w:b/>
                <w:sz w:val="17"/>
              </w:rPr>
            </w:pPr>
            <w:r>
              <w:rPr>
                <w:b/>
                <w:sz w:val="17"/>
              </w:rPr>
              <w:t>9 screens</w:t>
            </w:r>
          </w:p>
        </w:tc>
        <w:tc>
          <w:tcPr>
            <w:tcW w:w="860" w:type="dxa"/>
            <w:tcBorders>
              <w:left w:val="single" w:sz="8" w:space="0" w:color="000000"/>
              <w:bottom w:val="single" w:sz="12" w:space="0" w:color="000000"/>
            </w:tcBorders>
            <w:shd w:fill="CCEEFF" w:val="clear"/>
            <w:tcMar>
              <w:left w:w="28" w:type="dxa"/>
              <w:bottom w:w="28" w:type="dxa"/>
            </w:tcMar>
            <w:vAlign w:val="bottom"/>
          </w:tcPr>
          <w:p>
            <w:pPr>
              <w:pStyle w:val="TableContents"/>
              <w:spacing w:before="0" w:after="1"/>
              <w:ind w:left="0" w:right="0" w:hanging="0"/>
              <w:jc w:val="center"/>
              <w:rPr>
                <w:b/>
                <w:sz w:val="17"/>
              </w:rPr>
            </w:pPr>
            <w:r>
              <w:rPr>
                <w:b/>
                <w:sz w:val="17"/>
              </w:rPr>
              <w:t>471 screens</w:t>
            </w:r>
          </w:p>
        </w:tc>
      </w:tr>
    </w:tbl>
    <w:p>
      <w:pPr>
        <w:pStyle w:val="TextBody"/>
        <w:spacing w:before="0" w:after="0"/>
        <w:ind w:left="1440" w:right="0" w:hanging="0"/>
        <w:jc w:val="both"/>
        <w:rPr/>
      </w:pPr>
      <w:r>
        <w:rPr/>
        <w:t xml:space="preserve">  </w:t>
      </w:r>
    </w:p>
    <w:p>
      <w:pPr>
        <w:pStyle w:val="TextBody"/>
        <w:spacing w:before="0" w:after="0"/>
        <w:ind w:left="1440" w:right="0" w:hanging="0"/>
        <w:jc w:val="both"/>
        <w:rPr>
          <w:sz w:val="13"/>
        </w:rPr>
      </w:pPr>
      <w:r>
        <w:rPr>
          <w:sz w:val="13"/>
        </w:rPr>
        <w:t xml:space="preserve">[1] Cinemas owned and operated through consolidated, but not wholly owned subsidiaries. </w:t>
      </w:r>
    </w:p>
    <w:p>
      <w:pPr>
        <w:pStyle w:val="TextBody"/>
        <w:spacing w:before="0" w:after="0"/>
        <w:ind w:left="1440" w:right="0" w:hanging="0"/>
        <w:jc w:val="both"/>
        <w:rPr>
          <w:sz w:val="13"/>
        </w:rPr>
      </w:pPr>
      <w:r>
        <w:rPr>
          <w:sz w:val="13"/>
        </w:rPr>
        <w:t xml:space="preserve">[2] Cinemas owned and operated through unconsolidated subsidiaries. </w:t>
      </w:r>
    </w:p>
    <w:p>
      <w:pPr>
        <w:pStyle w:val="TextBody"/>
        <w:spacing w:before="0" w:after="0"/>
        <w:ind w:left="1440" w:right="0" w:hanging="0"/>
        <w:jc w:val="both"/>
        <w:rPr>
          <w:sz w:val="13"/>
        </w:rPr>
      </w:pPr>
      <w:r>
        <w:rPr>
          <w:sz w:val="13"/>
        </w:rPr>
        <w:t xml:space="preserve">[3] Cinemas in which we have no ownership interest, but which are operated by us under management agreements. </w:t>
      </w:r>
    </w:p>
    <w:p>
      <w:pPr>
        <w:pStyle w:val="TextBody"/>
        <w:spacing w:before="0" w:after="0"/>
        <w:ind w:left="1440" w:right="0" w:hanging="0"/>
        <w:jc w:val="both"/>
        <w:rPr>
          <w:sz w:val="13"/>
        </w:rPr>
      </w:pPr>
      <w:r>
        <w:rPr>
          <w:sz w:val="13"/>
        </w:rPr>
        <w:t xml:space="preserve">[4] 33.3% unincorporated joint venture interest. </w:t>
      </w:r>
    </w:p>
    <w:p>
      <w:pPr>
        <w:pStyle w:val="TextBody"/>
        <w:spacing w:before="0" w:after="0"/>
        <w:ind w:left="1440" w:right="0" w:hanging="0"/>
        <w:jc w:val="both"/>
        <w:rPr>
          <w:sz w:val="13"/>
        </w:rPr>
      </w:pPr>
      <w:r>
        <w:rPr>
          <w:sz w:val="13"/>
        </w:rPr>
        <w:t xml:space="preserve">[5] 50% unincorporated joint venture interests. </w:t>
      </w:r>
    </w:p>
    <w:p>
      <w:pPr>
        <w:pStyle w:val="TextBody"/>
        <w:spacing w:before="0" w:after="0"/>
        <w:ind w:left="1440" w:right="0" w:hanging="0"/>
        <w:jc w:val="both"/>
        <w:rPr>
          <w:sz w:val="13"/>
        </w:rPr>
      </w:pPr>
      <w:r>
        <w:rPr>
          <w:sz w:val="13"/>
        </w:rPr>
        <w:t xml:space="preserve">[6] The Angelika Film Center and Café in Manhattan is owned by a limited liability company in which we own a 50% interest with rights to manage. </w:t>
      </w:r>
    </w:p>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We focus on the ownership and/or operation of three categories of cinemas:  </w:t>
      </w:r>
    </w:p>
    <w:tbl>
      <w:tblPr>
        <w:tblW w:w="6085" w:type="dxa"/>
        <w:jc w:val="left"/>
        <w:tblInd w:w="1440" w:type="dxa"/>
        <w:tblCellMar>
          <w:top w:w="0" w:type="dxa"/>
          <w:left w:w="0" w:type="dxa"/>
          <w:bottom w:w="0" w:type="dxa"/>
          <w:right w:w="0" w:type="dxa"/>
        </w:tblCellMar>
      </w:tblPr>
      <w:tblGrid>
        <w:gridCol w:w="155"/>
        <w:gridCol w:w="593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930" w:type="dxa"/>
            <w:tcBorders/>
            <w:shd w:fill="auto" w:val="clear"/>
          </w:tcPr>
          <w:p>
            <w:pPr>
              <w:pStyle w:val="TableContents"/>
              <w:pBdr/>
              <w:spacing w:before="0" w:after="283"/>
              <w:jc w:val="both"/>
              <w:rPr>
                <w:sz w:val="17"/>
              </w:rPr>
            </w:pPr>
            <w:r>
              <w:rPr>
                <w:sz w:val="17"/>
              </w:rPr>
              <w:t>first, modern stadium seating multiplex cinemas featuring conventional film product;</w:t>
            </w:r>
          </w:p>
        </w:tc>
      </w:tr>
    </w:tbl>
    <w:tbl>
      <w:tblPr>
        <w:tblW w:w="8765" w:type="dxa"/>
        <w:jc w:val="left"/>
        <w:tblInd w:w="1440" w:type="dxa"/>
        <w:tblCellMar>
          <w:top w:w="0" w:type="dxa"/>
          <w:left w:w="0" w:type="dxa"/>
          <w:bottom w:w="0" w:type="dxa"/>
          <w:right w:w="0" w:type="dxa"/>
        </w:tblCellMar>
      </w:tblPr>
      <w:tblGrid>
        <w:gridCol w:w="143"/>
        <w:gridCol w:w="8622"/>
      </w:tblGrid>
      <w:tr>
        <w:trPr/>
        <w:tc>
          <w:tcPr>
            <w:tcW w:w="14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2" w:type="dxa"/>
            <w:tcBorders/>
            <w:shd w:fill="auto" w:val="clear"/>
          </w:tcPr>
          <w:p>
            <w:pPr>
              <w:pStyle w:val="TableContents"/>
              <w:pBdr/>
              <w:spacing w:before="0" w:after="283"/>
              <w:jc w:val="both"/>
              <w:rPr>
                <w:sz w:val="17"/>
              </w:rPr>
            </w:pPr>
            <w:r>
              <w:rPr>
                <w:sz w:val="17"/>
              </w:rPr>
              <w:t xml:space="preserve">second, specialty and art cinemas, such as our Angelika Film Centers in Manhattan, Dallas, and Fairfax, Virginia and the Rialto cinema chain in New Zealand; and  </w:t>
            </w:r>
          </w:p>
        </w:tc>
      </w:tr>
    </w:tbl>
    <w:tbl>
      <w:tblPr>
        <w:tblW w:w="8765" w:type="dxa"/>
        <w:jc w:val="left"/>
        <w:tblInd w:w="1440" w:type="dxa"/>
        <w:tblCellMar>
          <w:top w:w="0" w:type="dxa"/>
          <w:left w:w="0" w:type="dxa"/>
          <w:bottom w:w="0" w:type="dxa"/>
          <w:right w:w="0" w:type="dxa"/>
        </w:tblCellMar>
      </w:tblPr>
      <w:tblGrid>
        <w:gridCol w:w="140"/>
        <w:gridCol w:w="8625"/>
      </w:tblGrid>
      <w:tr>
        <w:trPr/>
        <w:tc>
          <w:tcPr>
            <w:tcW w:w="140"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5" w:type="dxa"/>
            <w:tcBorders/>
            <w:shd w:fill="auto" w:val="clear"/>
          </w:tcPr>
          <w:p>
            <w:pPr>
              <w:pStyle w:val="TableContents"/>
              <w:pBdr/>
              <w:spacing w:before="0" w:after="283"/>
              <w:jc w:val="both"/>
              <w:rPr>
                <w:sz w:val="17"/>
              </w:rPr>
            </w:pPr>
            <w:r>
              <w:rPr>
                <w:sz w:val="17"/>
              </w:rPr>
              <w:t xml:space="preserve">third, in some markets, particularly small town markets that will not support the development of a modern stadium design multiplex cinema, conventional sloped floor cinemas.  </w:t>
            </w:r>
          </w:p>
        </w:tc>
      </w:tr>
    </w:tbl>
    <w:p>
      <w:pPr>
        <w:pStyle w:val="TextBody"/>
        <w:spacing w:before="200" w:after="200"/>
        <w:ind w:left="1440" w:right="0" w:firstLine="720"/>
        <w:jc w:val="both"/>
        <w:rPr>
          <w:sz w:val="17"/>
        </w:rPr>
      </w:pPr>
      <w:r>
        <w:rPr>
          <w:sz w:val="17"/>
        </w:rPr>
        <w:t xml:space="preserve">We also have various premium class offerings including luxury seating, premium audio, private lounges, café and bar service, and other amenities in certain of our cinemas and are in the process of converting certain of our exiting cinemas to provide this premium offering. </w:t>
      </w:r>
    </w:p>
    <w:p>
      <w:pPr>
        <w:pStyle w:val="TextBody"/>
        <w:spacing w:before="0" w:after="200"/>
        <w:ind w:left="1440" w:right="0" w:hanging="0"/>
        <w:jc w:val="both"/>
        <w:rPr/>
      </w:pPr>
      <w:r>
        <w:rPr/>
        <w:t>            </w:t>
      </w:r>
      <w:r>
        <w:rPr>
          <w:sz w:val="17"/>
        </w:rPr>
        <w:t xml:space="preserve">Although we operate cinemas in three jurisdictions, the general nature of our operations and operating strategies does not vary materially from jurisdiction to jurisdiction.  In each jurisdiction, our gross receipts are primarily from box office receipts, concession sales, and screen advertising.  Our ancillary revenue is created principally from theater rentals (for example, for film festivals and special events), ancillary programming (such as concerts and sporting events), and internet advertising and ticket sales. </w:t>
      </w:r>
    </w:p>
    <w:p>
      <w:pPr>
        <w:pStyle w:val="TextBody"/>
        <w:spacing w:before="0" w:after="200"/>
        <w:ind w:left="1440" w:right="0" w:hanging="0"/>
        <w:jc w:val="both"/>
        <w:rPr/>
      </w:pPr>
      <w:r>
        <w:rPr/>
        <w:t xml:space="preserve">             </w:t>
      </w:r>
      <w:r>
        <w:rPr>
          <w:sz w:val="17"/>
        </w:rPr>
        <w:t xml:space="preserve">Our cinemas generated approximately 69% of their 2012 revenue from box office receipts.  Ticket prices vary by location and we offer reduced rates for senior citizens and children. </w:t>
      </w:r>
    </w:p>
    <w:p>
      <w:pPr>
        <w:pStyle w:val="TextBody"/>
        <w:spacing w:before="0" w:after="200"/>
        <w:ind w:left="1440" w:right="0" w:hanging="0"/>
        <w:jc w:val="both"/>
        <w:rPr/>
      </w:pPr>
      <w:r>
        <w:rPr/>
        <w:t>            </w:t>
      </w:r>
      <w:r>
        <w:rPr>
          <w:sz w:val="17"/>
        </w:rPr>
        <w:t xml:space="preserve">Show times and features are placed in advertisements in local newspapers and on our various websites.  In the United States, film distributors may also advertise certain feature films in various print, radio and television media, as well as on the internet and those costs are generally paid by distributors.  In Australia and New Zealand, the exhibitor typically pays the costs of local newspaper film advertisements, while the distributors are responsible for the cost of any national advertising campaign. </w:t>
      </w:r>
    </w:p>
    <w:p>
      <w:pPr>
        <w:pStyle w:val="TextBody"/>
        <w:spacing w:before="0" w:after="200"/>
        <w:ind w:left="1440" w:right="0" w:hanging="0"/>
        <w:jc w:val="both"/>
        <w:rPr/>
      </w:pPr>
      <w:r>
        <w:rPr/>
        <w:t>            </w:t>
      </w:r>
      <w:r>
        <w:rPr>
          <w:sz w:val="17"/>
        </w:rPr>
        <w:t xml:space="preserve">Concession sales accounted for approximately 26% of our total 2012 revenue.  Although certain cinemas have licenses for the sale and consumption of alcoholic beverages, concession products primarily include popcorn, candy, and soda.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w:t>
      </w:r>
      <w:r>
        <w:rPr>
          <w:sz w:val="17"/>
        </w:rPr>
        <w:t xml:space="preserve">Screen advertising and other revenue contribute approximately 5% of our total 2012 revenue.  With the exception of certain rights that we have retained to sell to local advertisers, generally speaking, we are not in the screen advertising business and nationally recognized screen-advertising companies provide such advertising for us. </w:t>
      </w:r>
    </w:p>
    <w:p>
      <w:pPr>
        <w:pStyle w:val="TextBody"/>
        <w:spacing w:before="0" w:after="200"/>
        <w:ind w:left="1440" w:right="0" w:firstLine="720"/>
        <w:jc w:val="both"/>
        <w:rPr>
          <w:sz w:val="17"/>
        </w:rPr>
      </w:pPr>
      <w:r>
        <w:rPr>
          <w:sz w:val="17"/>
        </w:rPr>
        <w:t xml:space="preserve">In New Zealand, we also own a one-third interest in Rialto Distribution.  Rialto Distribution, an unincorporated joint venture, is engaged in the business of distributing art film in New Zealand and Australia.  The remaining 2/3 interest is owned by the founders of the company, who have been in the art film distribution business since 1993. </w:t>
      </w:r>
    </w:p>
    <w:p>
      <w:pPr>
        <w:pStyle w:val="TextBody"/>
        <w:spacing w:before="0" w:after="200"/>
        <w:ind w:left="1440" w:right="0" w:hanging="0"/>
        <w:jc w:val="both"/>
        <w:rPr>
          <w:sz w:val="17"/>
        </w:rPr>
      </w:pPr>
      <w:r>
        <w:rPr>
          <w:sz w:val="17"/>
          <w:u w:val="single"/>
        </w:rPr>
        <w:t>Management of Cinemas</w:t>
      </w:r>
      <w:r>
        <w:rPr>
          <w:sz w:val="17"/>
        </w:rPr>
        <w:t xml:space="preserve"> </w:t>
      </w:r>
    </w:p>
    <w:p>
      <w:pPr>
        <w:pStyle w:val="TextBody"/>
        <w:spacing w:before="0" w:after="200"/>
        <w:ind w:left="1440" w:right="0" w:hanging="0"/>
        <w:jc w:val="both"/>
        <w:rPr/>
      </w:pPr>
      <w:r>
        <w:rPr/>
        <w:t>            </w:t>
      </w:r>
      <w:r>
        <w:rPr>
          <w:sz w:val="17"/>
        </w:rPr>
        <w:t xml:space="preserve">With two exceptions, we manage all of our cinemas with executives located in Los Angeles, Manhattan, Melbourne, Australia, and Wellington, New Zealand.  Approximately 2,268 individuals were employed (on a full time or part time basis) in our cinema operations in 2012.  Our two New Zealand Rialto cinemas are owned by a joint venture in which Reading New Zealand is a 50% joint venture partner.  While we are principally responsible for the booking of the cinemas, our joint venture partner, Greater Union, manages the day-to-day operations of these cinemas.  In addition, we have a 33.3% interest in a 16-screen Brisbane cinema.  Greater Union manages that cinema as well. </w:t>
      </w:r>
    </w:p>
    <w:p>
      <w:pPr>
        <w:pStyle w:val="TextBody"/>
        <w:spacing w:before="0" w:after="200"/>
        <w:ind w:left="1440" w:right="0" w:hanging="0"/>
        <w:jc w:val="both"/>
        <w:rPr>
          <w:sz w:val="17"/>
          <w:u w:val="single"/>
        </w:rPr>
      </w:pPr>
      <w:r>
        <w:rPr>
          <w:sz w:val="17"/>
          <w:u w:val="single"/>
        </w:rPr>
        <w:t xml:space="preserve">Licensing/Pricing </w:t>
      </w:r>
    </w:p>
    <w:p>
      <w:pPr>
        <w:pStyle w:val="TextBody"/>
        <w:spacing w:before="0" w:after="200"/>
        <w:ind w:left="1440" w:right="0" w:hanging="0"/>
        <w:jc w:val="both"/>
        <w:rPr/>
      </w:pPr>
      <w:r>
        <w:rPr/>
        <w:t>            </w:t>
      </w:r>
      <w:r>
        <w:rPr>
          <w:sz w:val="17"/>
        </w:rPr>
        <w:t xml:space="preserve">Film product is available from a variety of sources ranging from the major film distributors such as Columbia, Disney, Buena Vista, DreamWorks, Fox, MGM, Paramount, Warner Bros, and Universal, to a variety of smaller independent film distributors.  In Australia and New Zealand, some of those major distributors distribute through local unaffiliated distributors.  The major film distributors dominate the market for mainstream conventional films.  Similarly, most art and specialty films come from the art and specialty divisions of these major distributors, such as Fox’s Searchlight and Miramax.  Generally speaking, film payment terms are based upon an agreed upon percentage of box office receipts which will vary from film to film as films are licensed in Australia, New Zealand and the United States on a film-by-film, theater by theater basis.   </w:t>
      </w:r>
    </w:p>
    <w:p>
      <w:pPr>
        <w:pStyle w:val="TextBody"/>
        <w:spacing w:before="0" w:after="200"/>
        <w:ind w:left="1440" w:right="0" w:hanging="0"/>
        <w:jc w:val="both"/>
        <w:rPr/>
      </w:pPr>
      <w:r>
        <w:rPr/>
        <w:t>            </w:t>
      </w:r>
      <w:r>
        <w:rPr>
          <w:sz w:val="17"/>
        </w:rPr>
        <w:t xml:space="preserve">While in certain markets film may be allocated by the distributor among competitive cinemas, typically in the markets in which we operate, we have access to all conventional film product.  In the art and specialty markets, due to the limited number of prints available, we from time to time are unable to license all of the films that we might desire to play.  In summary, while in some markets we are subject to film allocation, on the whole, access to film product has not in recent periods been a major impediment to our operations. </w:t>
      </w:r>
    </w:p>
    <w:p>
      <w:pPr>
        <w:pStyle w:val="TextBody"/>
        <w:spacing w:before="0" w:after="200"/>
        <w:ind w:left="1440" w:right="0" w:hanging="0"/>
        <w:jc w:val="both"/>
        <w:rPr>
          <w:sz w:val="17"/>
        </w:rPr>
      </w:pPr>
      <w:r>
        <w:rPr>
          <w:sz w:val="17"/>
          <w:u w:val="single"/>
        </w:rPr>
        <w:t>Competition</w:t>
      </w:r>
      <w:r>
        <w:rPr>
          <w:sz w:val="17"/>
        </w:rPr>
        <w:t xml:space="preserve"> </w:t>
      </w:r>
    </w:p>
    <w:p>
      <w:pPr>
        <w:pStyle w:val="TextBody"/>
        <w:spacing w:before="0" w:after="200"/>
        <w:ind w:left="1440" w:right="0" w:hanging="0"/>
        <w:jc w:val="both"/>
        <w:rPr/>
      </w:pPr>
      <w:r>
        <w:rPr/>
        <w:t>            </w:t>
      </w:r>
      <w:r>
        <w:rPr>
          <w:sz w:val="17"/>
        </w:rPr>
        <w:t xml:space="preserve">In each of the United States, Australia, and New Zealand, film patrons typically select the cinema that they are going to go to first by selecting the film they want to see, and then by selecting the cinema in which they would prefer to see it.  Accordingly, 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 </w:t>
      </w:r>
    </w:p>
    <w:p>
      <w:pPr>
        <w:pStyle w:val="TextBody"/>
        <w:spacing w:before="0" w:after="200"/>
        <w:ind w:left="1440" w:right="0" w:hanging="0"/>
        <w:jc w:val="both"/>
        <w:rPr/>
      </w:pPr>
      <w:r>
        <w:rPr/>
        <w:t>            </w:t>
      </w:r>
      <w:r>
        <w:rPr>
          <w:sz w:val="17"/>
        </w:rPr>
        <w:t xml:space="preserve">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in the United States, because of the dramatic consolidation of screens into the hands of a few very large and powerful exhibitors such as Regal and AMC, these mega exhibition companies are in a position to offer distributors access to many more screens in major markets than we can.  Accordingly, distributors may decide to give preference to these mega 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 ownership of that multiplex cinema.  However, we have suffered somewhat in these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markets from competition from boutique operators, who are able to book top grossing commercial films for limited runs, thus increasing competition for customers wishing to view such top film product. </w:t>
      </w:r>
    </w:p>
    <w:p>
      <w:pPr>
        <w:pStyle w:val="TextBody"/>
        <w:spacing w:before="0" w:after="200"/>
        <w:ind w:left="1440" w:right="0" w:hanging="0"/>
        <w:jc w:val="both"/>
        <w:rPr/>
      </w:pPr>
      <w:r>
        <w:rPr/>
        <w:t>            </w:t>
      </w:r>
      <w:r>
        <w:rPr>
          <w:sz w:val="17"/>
        </w:rPr>
        <w:t xml:space="preserve">Once a patron has selected the film, the choice of cinema is typically impacted by the quality of the cinema experience offered weighed against convenience and cost.  For example, most cinema patrons seem to prefer a modern stadium design multiplex, to an older sloped floor cinema, and to prefer a cinema that either offers convenient access to free parking (or public transport) over a cinema that does not.  However, if the film they desire to see is only available at a limited number of locations, they will typically choose the film over the quality of the cinema and/or the convenience of the cinema.  Generally speaking, our cinemas are modern multiplex cinemas with good and convenient parking.  As discussed further below, the availability of 3D or digital technology and/or premium class seating can also be a factor in the preference of one cinema over another. </w:t>
      </w:r>
    </w:p>
    <w:p>
      <w:pPr>
        <w:pStyle w:val="TextBody"/>
        <w:spacing w:before="0" w:after="200"/>
        <w:ind w:left="1440" w:right="0" w:hanging="0"/>
        <w:jc w:val="both"/>
        <w:rPr/>
      </w:pPr>
      <w:r>
        <w:rPr/>
        <w:t xml:space="preserve">             </w:t>
      </w:r>
      <w:r>
        <w:rPr>
          <w:sz w:val="17"/>
        </w:rPr>
        <w:t xml:space="preserve">The film exhibition markets in the United States, Australia, and New Zealand are to a certain extent dominated by a limited number of major exhibition companies.  The principal exhibitors in the United States are Regal (with 6,880 screens in 540 cinemas), AMC (with 4,804 screens in 332 cinemas), Cinemark (with 3,918 screens in 299 cinemas), and Carmike (with 2,242 screens in 232 cinemas).  As of December 31, 2012, we were the 11th largest exhibitor with 1% of the box office in the United States with 253 screens in 26 cinemas. </w:t>
      </w:r>
    </w:p>
    <w:p>
      <w:pPr>
        <w:pStyle w:val="TextBody"/>
        <w:spacing w:before="0" w:after="200"/>
        <w:ind w:left="1440" w:right="0" w:hanging="0"/>
        <w:jc w:val="both"/>
        <w:rPr/>
      </w:pPr>
      <w:r>
        <w:rPr/>
        <w:t>            </w:t>
      </w:r>
      <w:r>
        <w:rPr>
          <w:sz w:val="17"/>
        </w:rPr>
        <w:t xml:space="preserve">The principal exhibitors in Australia are Greater Union, which do business under the Event name (a subsidiary of Amalgamated Holdings Limited), Hoyts Cinemas (“Hoyts”), and Village.  The major exhibitors control approximately 66% of the total cinema box office: Event 30%, Hoyts 21%, and Village 15%.  Event has 476 screens nationally, Hoyts 359 screens, and Village 217 screens.  By comparison, our 148 screens represent approximately 7% of the total box office. </w:t>
      </w:r>
    </w:p>
    <w:p>
      <w:pPr>
        <w:pStyle w:val="TextBody"/>
        <w:spacing w:before="0" w:after="200"/>
        <w:ind w:left="1440" w:right="0" w:hanging="0"/>
        <w:jc w:val="both"/>
        <w:rPr/>
      </w:pPr>
      <w:r>
        <w:rPr/>
        <w:t>            </w:t>
      </w:r>
      <w:r>
        <w:rPr>
          <w:sz w:val="17"/>
        </w:rPr>
        <w:t xml:space="preserve">The principle exhibitors in New Zealand are Event with 101 screens nationally and Hoyts with 64 screens.  Reading has 40 screens (not including partnerships).  The major exhibitors in New Zealand control approximately 57% of the total box office: Event 35% and Hoyts 22%.  Reading has 11% of the market (Event and Reading market share figures again do not include any partnership theaters). </w:t>
      </w:r>
    </w:p>
    <w:p>
      <w:pPr>
        <w:pStyle w:val="TextBody"/>
        <w:spacing w:before="0" w:after="200"/>
        <w:ind w:left="1440" w:right="0" w:hanging="0"/>
        <w:jc w:val="both"/>
        <w:rPr/>
      </w:pPr>
      <w:r>
        <w:rPr/>
        <w:t>            </w:t>
      </w:r>
      <w:r>
        <w:rPr>
          <w:sz w:val="17"/>
        </w:rPr>
        <w:t xml:space="preserve">Greater Union is the owner of Birch Carroll &amp; Coyle in Australia and purchased Sky Cinemas in New Zealand during 2010.  In addition,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$535.1 million (AUS$522.8 million) at June 30, 2012.  The Greater Union organization does not separately publish financial reports, but its parent, Amalgamated Holdings, had a publicly reported consolidated net worth of approximately $879.1 million (AUS$858.9 million) at June 30, 2012.  Hoyts is privately held and does not publish financial reports.  Hoyts is currently owned by Pacific Equity Partners. </w:t>
      </w:r>
    </w:p>
    <w:p>
      <w:pPr>
        <w:pStyle w:val="TextBody"/>
        <w:spacing w:before="0" w:after="200"/>
        <w:ind w:left="1440" w:right="0" w:hanging="0"/>
        <w:jc w:val="both"/>
        <w:rPr/>
      </w:pPr>
      <w:r>
        <w:rPr/>
        <w:t>            </w:t>
      </w:r>
      <w:r>
        <w:rPr>
          <w:sz w:val="17"/>
        </w:rPr>
        <w:t xml:space="preserve">In Australia, the industry is somewhat vertically integrated in that Roadshow Film Distributors, a subsidiary of Village, serves as a distributor of film in Australia and New Zealand for Warner Brothers and New Line Cinema.  Films produced or distributed by the majority of the local international independent producers are also distributed by Roadshow Film Distributors.  Hoyts is also involved in film production and distribution. </w:t>
      </w:r>
    </w:p>
    <w:p>
      <w:pPr>
        <w:pStyle w:val="TextBody"/>
        <w:spacing w:before="0" w:after="200"/>
        <w:ind w:left="1440" w:right="0" w:hanging="0"/>
        <w:jc w:val="both"/>
        <w:rPr>
          <w:sz w:val="17"/>
        </w:rPr>
      </w:pPr>
      <w:r>
        <w:rPr>
          <w:sz w:val="17"/>
          <w:u w:val="single"/>
        </w:rPr>
        <w:t>Digital Exhibition</w:t>
      </w:r>
      <w:r>
        <w:rPr>
          <w:sz w:val="17"/>
        </w:rPr>
        <w:t xml:space="preserve"> </w:t>
      </w:r>
    </w:p>
    <w:p>
      <w:pPr>
        <w:pStyle w:val="TextBody"/>
        <w:spacing w:before="0" w:after="200"/>
        <w:ind w:left="1440" w:right="0" w:hanging="0"/>
        <w:jc w:val="both"/>
        <w:rPr/>
      </w:pPr>
      <w:r>
        <w:rPr/>
        <w:t>            </w:t>
      </w:r>
      <w:r>
        <w:rPr>
          <w:sz w:val="17"/>
        </w:rPr>
        <w:t xml:space="preserve">After years of uncertainty as to the future of digital exhibition and the impact of this technology on cinema exhibition, it became clear in 2012 that the industry must go digital.  We have now substantially completed the conversion of our domestic cinema operations to digital projection.  We are in the process of, and anticipate that we will complete in 2013, the conversion of our Australian and New Zealand cinema operations to digital projection.  We anticipate that the cost of this conversion, over time, will be covered in substantial part by the receipt of Virtual Print Fees paid by film distributors for the use of such digital projection equipment.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In-Home Competition</w:t>
      </w:r>
      <w:r>
        <w:rPr>
          <w:sz w:val="17"/>
        </w:rPr>
        <w:t xml:space="preserve"> </w:t>
      </w:r>
    </w:p>
    <w:p>
      <w:pPr>
        <w:pStyle w:val="TextBody"/>
        <w:spacing w:before="0" w:after="200"/>
        <w:ind w:left="1440" w:right="0" w:firstLine="720"/>
        <w:jc w:val="both"/>
        <w:rPr>
          <w:sz w:val="17"/>
        </w:rPr>
      </w:pPr>
      <w:r>
        <w:rPr>
          <w:sz w:val="17"/>
        </w:rPr>
        <w:t xml:space="preserve">The “in-home” entertainment industry has experienced significant leaps in recent periods in both the quality and affordability of in-home entertainment systems and in the accessibility to entertainment programming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through cable, satellite, DVD, and internet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  </w:t>
      </w:r>
    </w:p>
    <w:p>
      <w:pPr>
        <w:pStyle w:val="TextBody"/>
        <w:spacing w:before="0" w:after="200"/>
        <w:ind w:left="1440" w:right="0" w:hanging="0"/>
        <w:jc w:val="both"/>
        <w:rPr/>
      </w:pPr>
      <w:r>
        <w:rPr/>
        <w:t>            </w:t>
      </w:r>
      <w:r>
        <w:rPr>
          <w:sz w:val="17"/>
        </w:rPr>
        <w:t xml:space="preserve">Competitive issues are discussed in greater detail above under the caption, </w:t>
      </w:r>
      <w:r>
        <w:rPr>
          <w:i/>
          <w:sz w:val="17"/>
        </w:rPr>
        <w:t>Competition</w:t>
      </w:r>
      <w:r>
        <w:rPr>
          <w:sz w:val="17"/>
        </w:rPr>
        <w:t xml:space="preserve">, and under the caption, Item 1A - </w:t>
      </w:r>
      <w:r>
        <w:rPr>
          <w:i/>
          <w:sz w:val="17"/>
        </w:rPr>
        <w:t>Risk Factors</w:t>
      </w:r>
      <w:r>
        <w:rPr>
          <w:sz w:val="17"/>
        </w:rPr>
        <w:t xml:space="preserve">. </w:t>
      </w:r>
    </w:p>
    <w:p>
      <w:pPr>
        <w:pStyle w:val="TextBody"/>
        <w:spacing w:before="0" w:after="200"/>
        <w:ind w:left="1440" w:right="0" w:hanging="0"/>
        <w:jc w:val="both"/>
        <w:rPr>
          <w:sz w:val="17"/>
        </w:rPr>
      </w:pPr>
      <w:r>
        <w:rPr>
          <w:sz w:val="17"/>
          <w:u w:val="single"/>
        </w:rPr>
        <w:t>Seasonality</w:t>
      </w:r>
      <w:r>
        <w:rPr>
          <w:sz w:val="17"/>
        </w:rPr>
        <w:t xml:space="preserve"> </w:t>
      </w:r>
    </w:p>
    <w:p>
      <w:pPr>
        <w:pStyle w:val="TextBody"/>
        <w:spacing w:before="0" w:after="200"/>
        <w:ind w:left="1440" w:right="0" w:hanging="0"/>
        <w:jc w:val="both"/>
        <w:rPr/>
      </w:pPr>
      <w:r>
        <w:rPr/>
        <w:t>            </w:t>
      </w:r>
      <w:r>
        <w:rPr>
          <w:sz w:val="17"/>
        </w:rPr>
        <w:t xml:space="preserve">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w:t>
      </w:r>
    </w:p>
    <w:p>
      <w:pPr>
        <w:pStyle w:val="TextBody"/>
        <w:spacing w:before="0" w:after="200"/>
        <w:ind w:left="1440" w:right="0" w:hanging="0"/>
        <w:jc w:val="both"/>
        <w:rPr>
          <w:sz w:val="17"/>
        </w:rPr>
      </w:pPr>
      <w:r>
        <w:rPr>
          <w:sz w:val="17"/>
          <w:u w:val="single"/>
        </w:rPr>
        <w:t>Employees</w:t>
      </w:r>
      <w:r>
        <w:rPr>
          <w:sz w:val="17"/>
        </w:rPr>
        <w:t xml:space="preserve"> </w:t>
      </w:r>
    </w:p>
    <w:p>
      <w:pPr>
        <w:pStyle w:val="TextBody"/>
        <w:spacing w:before="0" w:after="200"/>
        <w:ind w:left="1440" w:right="0" w:hanging="0"/>
        <w:jc w:val="both"/>
        <w:rPr/>
      </w:pPr>
      <w:r>
        <w:rPr/>
        <w:t>            </w:t>
      </w:r>
      <w:r>
        <w:rPr>
          <w:sz w:val="17"/>
        </w:rPr>
        <w:t xml:space="preserve">We have 62 full time executive and administrative employees and approximately 2,268 cinema employees.  Our cinema employees in Wellington, New Zealand and our projectionists in Hawaii are unionized.  None of our other employees are subject to union contracts.  Our one union contract with respect to our projectionists in Hawaii expired on March 31, 2012.  Our union contracts with respect to our New Zealand employees expired on August 31, 2012.  We are currently in the process of renegotiating these contracts.  None of our Australian based employees is unionized.  Overall, we are of the view that the existence of these contracts does not materially increase our costs of labor or our ability to compete.  We believe our relations with our employees to be generally good. </w:t>
      </w:r>
    </w:p>
    <w:p>
      <w:pPr>
        <w:pStyle w:val="TextBody"/>
        <w:spacing w:before="0" w:after="200"/>
        <w:ind w:left="1440" w:right="0" w:hanging="0"/>
        <w:jc w:val="both"/>
        <w:rPr>
          <w:sz w:val="17"/>
        </w:rPr>
      </w:pPr>
      <w:r>
        <w:rPr>
          <w:b/>
          <w:sz w:val="17"/>
          <w:u w:val="single"/>
        </w:rPr>
        <w:t>Our Real Estate Activities</w:t>
      </w:r>
      <w:r>
        <w:rPr>
          <w:sz w:val="17"/>
        </w:rPr>
        <w:t xml:space="preserve"> </w:t>
      </w:r>
    </w:p>
    <w:p>
      <w:pPr>
        <w:pStyle w:val="TextBody"/>
        <w:spacing w:before="0" w:after="200"/>
        <w:ind w:left="1440" w:right="0" w:hanging="0"/>
        <w:jc w:val="both"/>
        <w:rPr/>
      </w:pPr>
      <w:r>
        <w:rPr/>
        <w:t>            </w:t>
      </w:r>
      <w:r>
        <w:rPr>
          <w:sz w:val="17"/>
        </w:rPr>
        <w:t xml:space="preserve">Our real estate activities have historically consisted principally of: </w:t>
      </w:r>
    </w:p>
    <w:tbl>
      <w:tblPr>
        <w:tblW w:w="8765" w:type="dxa"/>
        <w:jc w:val="left"/>
        <w:tblInd w:w="1440" w:type="dxa"/>
        <w:tblCellMar>
          <w:top w:w="0" w:type="dxa"/>
          <w:left w:w="0" w:type="dxa"/>
          <w:bottom w:w="0" w:type="dxa"/>
          <w:right w:w="0" w:type="dxa"/>
        </w:tblCellMar>
      </w:tblPr>
      <w:tblGrid>
        <w:gridCol w:w="134"/>
        <w:gridCol w:w="8631"/>
      </w:tblGrid>
      <w:tr>
        <w:trPr/>
        <w:tc>
          <w:tcPr>
            <w:tcW w:w="13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1" w:type="dxa"/>
            <w:tcBorders/>
            <w:shd w:fill="auto" w:val="clear"/>
          </w:tcPr>
          <w:p>
            <w:pPr>
              <w:pStyle w:val="TableContents"/>
              <w:pBdr/>
              <w:spacing w:before="0" w:after="283"/>
              <w:jc w:val="both"/>
              <w:rPr>
                <w:sz w:val="17"/>
              </w:rPr>
            </w:pPr>
            <w:r>
              <w:rPr>
                <w:sz w:val="17"/>
              </w:rPr>
              <w:t xml:space="preserve">the ownership of fee or long-term leasehold interests in properties used in our cinema exhibition activities or which were acquired for the development of cinemas or  cinema based real estate development projects; </w:t>
            </w:r>
          </w:p>
        </w:tc>
      </w:tr>
    </w:tbl>
    <w:tbl>
      <w:tblPr>
        <w:tblW w:w="5335" w:type="dxa"/>
        <w:jc w:val="left"/>
        <w:tblInd w:w="1440" w:type="dxa"/>
        <w:tblCellMar>
          <w:top w:w="0" w:type="dxa"/>
          <w:left w:w="0" w:type="dxa"/>
          <w:bottom w:w="0" w:type="dxa"/>
          <w:right w:w="0" w:type="dxa"/>
        </w:tblCellMar>
      </w:tblPr>
      <w:tblGrid>
        <w:gridCol w:w="155"/>
        <w:gridCol w:w="518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180" w:type="dxa"/>
            <w:tcBorders/>
            <w:shd w:fill="auto" w:val="clear"/>
          </w:tcPr>
          <w:p>
            <w:pPr>
              <w:pStyle w:val="TableContents"/>
              <w:pBdr/>
              <w:spacing w:before="0" w:after="283"/>
              <w:jc w:val="both"/>
              <w:rPr>
                <w:sz w:val="17"/>
              </w:rPr>
            </w:pPr>
            <w:r>
              <w:rPr>
                <w:sz w:val="17"/>
              </w:rPr>
              <w:t xml:space="preserve">the acquisition of fee interests in land for general real estate development; </w:t>
            </w:r>
          </w:p>
        </w:tc>
      </w:tr>
    </w:tbl>
    <w:tbl>
      <w:tblPr>
        <w:tblW w:w="3265" w:type="dxa"/>
        <w:jc w:val="left"/>
        <w:tblInd w:w="1440" w:type="dxa"/>
        <w:tblCellMar>
          <w:top w:w="0" w:type="dxa"/>
          <w:left w:w="0" w:type="dxa"/>
          <w:bottom w:w="0" w:type="dxa"/>
          <w:right w:w="0" w:type="dxa"/>
        </w:tblCellMar>
      </w:tblPr>
      <w:tblGrid>
        <w:gridCol w:w="155"/>
        <w:gridCol w:w="311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110" w:type="dxa"/>
            <w:tcBorders/>
            <w:shd w:fill="auto" w:val="clear"/>
          </w:tcPr>
          <w:p>
            <w:pPr>
              <w:pStyle w:val="TableContents"/>
              <w:pBdr/>
              <w:spacing w:before="0" w:after="283"/>
              <w:jc w:val="both"/>
              <w:rPr>
                <w:sz w:val="17"/>
              </w:rPr>
            </w:pPr>
            <w:r>
              <w:rPr>
                <w:sz w:val="17"/>
              </w:rPr>
              <w:t>the leasing to shows of our live theaters; and</w:t>
            </w:r>
          </w:p>
        </w:tc>
      </w:tr>
    </w:tbl>
    <w:tbl>
      <w:tblPr>
        <w:tblW w:w="7285" w:type="dxa"/>
        <w:jc w:val="left"/>
        <w:tblInd w:w="1440" w:type="dxa"/>
        <w:tblCellMar>
          <w:top w:w="0" w:type="dxa"/>
          <w:left w:w="0" w:type="dxa"/>
          <w:bottom w:w="0" w:type="dxa"/>
          <w:right w:w="0" w:type="dxa"/>
        </w:tblCellMar>
      </w:tblPr>
      <w:tblGrid>
        <w:gridCol w:w="155"/>
        <w:gridCol w:w="713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130" w:type="dxa"/>
            <w:tcBorders/>
            <w:shd w:fill="auto" w:val="clear"/>
          </w:tcPr>
          <w:p>
            <w:pPr>
              <w:pStyle w:val="TableContents"/>
              <w:pBdr/>
              <w:spacing w:before="0" w:after="283"/>
              <w:jc w:val="both"/>
              <w:rPr>
                <w:sz w:val="17"/>
              </w:rPr>
            </w:pPr>
            <w:r>
              <w:rPr>
                <w:sz w:val="17"/>
              </w:rPr>
              <w:t xml:space="preserve">the redevelopment of our existing fee owned cinema or live theater sites to their highest and best use.  </w:t>
            </w:r>
          </w:p>
        </w:tc>
      </w:tr>
    </w:tbl>
    <w:p>
      <w:pPr>
        <w:pStyle w:val="TextBody"/>
        <w:spacing w:before="200" w:after="200"/>
        <w:ind w:left="1440" w:right="0" w:firstLine="720"/>
        <w:jc w:val="both"/>
        <w:rPr>
          <w:sz w:val="17"/>
        </w:rPr>
      </w:pPr>
      <w:r>
        <w:rPr>
          <w:sz w:val="17"/>
        </w:rPr>
        <w:t xml:space="preserve">While we report our real estate as a separate segment, it has historically operated as an integral portion of our overall business and, again historically, has principally been in support of that business.  In recent periods, however, we have acquired or developed properties which do not have any cinema or other entertainment component.  As opportunities for cinema development become more limited, it is likely that our real estate activities will continue to expand beyond the development of entertainment-oriented properties.     </w:t>
      </w:r>
    </w:p>
    <w:p>
      <w:pPr>
        <w:pStyle w:val="TextBody"/>
        <w:spacing w:before="0" w:after="200"/>
        <w:ind w:left="1440" w:right="0" w:firstLine="720"/>
        <w:jc w:val="both"/>
        <w:rPr>
          <w:sz w:val="17"/>
        </w:rPr>
      </w:pPr>
      <w:r>
        <w:rPr>
          <w:sz w:val="17"/>
        </w:rPr>
        <w:t xml:space="preserve">Our real estate activities, holdings and developments are described in greater detail in Item 2 – </w:t>
      </w:r>
      <w:r>
        <w:rPr>
          <w:i/>
          <w:sz w:val="17"/>
        </w:rPr>
        <w:t>Properties</w:t>
      </w:r>
      <w:r>
        <w:rPr>
          <w:sz w:val="17"/>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sz w:val="17"/>
        </w:rPr>
      </w:pPr>
      <w:r>
        <w:rPr>
          <w:b/>
          <w:sz w:val="17"/>
          <w:u w:val="single"/>
        </w:rPr>
        <w:t>Item 1A – Risk Factors</w:t>
      </w:r>
      <w:r>
        <w:rPr>
          <w:sz w:val="17"/>
        </w:rPr>
        <w:t xml:space="preserve"> </w:t>
      </w:r>
    </w:p>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 </w:t>
      </w:r>
    </w:p>
    <w:p>
      <w:pPr>
        <w:pStyle w:val="TextBody"/>
        <w:spacing w:before="0" w:after="200"/>
        <w:ind w:left="1440" w:right="0" w:hanging="0"/>
        <w:jc w:val="both"/>
        <w:rPr>
          <w:sz w:val="17"/>
        </w:rPr>
      </w:pPr>
      <w:r>
        <w:rPr>
          <w:b/>
          <w:sz w:val="17"/>
          <w:u w:val="single"/>
        </w:rPr>
        <w:t>Business Risk Factors</w:t>
      </w:r>
      <w:r>
        <w:rPr>
          <w:sz w:val="17"/>
        </w:rPr>
        <w:t xml:space="preserve"> </w:t>
      </w:r>
    </w:p>
    <w:p>
      <w:pPr>
        <w:pStyle w:val="TextBody"/>
        <w:spacing w:before="0" w:after="200"/>
        <w:ind w:left="1440" w:right="0" w:firstLine="720"/>
        <w:jc w:val="both"/>
        <w:rPr>
          <w:sz w:val="17"/>
        </w:rPr>
      </w:pPr>
      <w:r>
        <w:rPr>
          <w:sz w:val="17"/>
        </w:rPr>
        <w:t xml:space="preserve">We are currently engaged principally in the cinema exhibition and real estate businesses.  Since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since we are principally in the business of renting space to producers rather than in licensing or producing plays ourselves – the cinema exhibition and live theater businesses share certain risk factors and are, accordingly, discussed together below. </w:t>
      </w:r>
    </w:p>
    <w:p>
      <w:pPr>
        <w:pStyle w:val="TextBody"/>
        <w:spacing w:before="0" w:after="200"/>
        <w:ind w:left="1440" w:right="0" w:hanging="0"/>
        <w:jc w:val="both"/>
        <w:rPr>
          <w:sz w:val="17"/>
        </w:rPr>
      </w:pPr>
      <w:r>
        <w:rPr>
          <w:sz w:val="17"/>
          <w:u w:val="single"/>
        </w:rPr>
        <w:t>Cinema Exhibition and Live Theater Business Risk Factors</w:t>
      </w:r>
      <w:r>
        <w:rPr>
          <w:sz w:val="17"/>
        </w:rPr>
        <w:t xml:space="preserve"> </w:t>
      </w:r>
    </w:p>
    <w:p>
      <w:pPr>
        <w:pStyle w:val="TextBody"/>
        <w:spacing w:before="0" w:after="200"/>
        <w:ind w:left="2160" w:right="0" w:hanging="0"/>
        <w:jc w:val="both"/>
        <w:rPr>
          <w:sz w:val="17"/>
        </w:rPr>
      </w:pPr>
      <w:r>
        <w:rPr>
          <w:i/>
          <w:sz w:val="17"/>
        </w:rPr>
        <w:t>We operate in a highly competitive environment, with many competitors who are significantly larger and may have significantly better access to funds than do we.</w:t>
      </w:r>
      <w:r>
        <w:rPr>
          <w:sz w:val="17"/>
        </w:rPr>
        <w:t xml:space="preserve"> </w:t>
      </w:r>
    </w:p>
    <w:p>
      <w:pPr>
        <w:pStyle w:val="TextBody"/>
        <w:spacing w:before="0" w:after="200"/>
        <w:ind w:left="1440" w:right="0" w:firstLine="720"/>
        <w:jc w:val="both"/>
        <w:rPr>
          <w:sz w:val="17"/>
        </w:rPr>
      </w:pPr>
      <w:r>
        <w:rPr>
          <w:sz w:val="17"/>
        </w:rPr>
        <w:t xml:space="preserve">We are a comparatively small cinema operator and face competition from much larger cinema exhibitors.  These larger exhibitors are able to offer distributors more screens in more markets – including markets where they may be the exclusive exhibitor – than can we.  In some cases, faced with such competition, we may not be able to get access to all of the films we want, which may adversely affect our revenue and profitability. </w:t>
      </w:r>
    </w:p>
    <w:p>
      <w:pPr>
        <w:pStyle w:val="TextBody"/>
        <w:spacing w:before="0" w:after="200"/>
        <w:ind w:left="1440" w:right="0" w:firstLine="720"/>
        <w:jc w:val="both"/>
        <w:rPr>
          <w:sz w:val="17"/>
        </w:rPr>
      </w:pPr>
      <w:r>
        <w:rPr>
          <w:sz w:val="17"/>
        </w:rPr>
        <w:t xml:space="preserve">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  </w:t>
      </w:r>
    </w:p>
    <w:p>
      <w:pPr>
        <w:pStyle w:val="TextBody"/>
        <w:spacing w:before="0" w:after="200"/>
        <w:ind w:left="1440" w:right="0" w:firstLine="720"/>
        <w:jc w:val="both"/>
        <w:rPr>
          <w:sz w:val="17"/>
        </w:rPr>
      </w:pPr>
      <w:r>
        <w:rPr>
          <w:sz w:val="17"/>
        </w:rPr>
        <w:t xml:space="preserve">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 </w:t>
      </w:r>
    </w:p>
    <w:p>
      <w:pPr>
        <w:pStyle w:val="TextBody"/>
        <w:spacing w:before="0" w:after="200"/>
        <w:ind w:left="1440" w:right="0" w:firstLine="720"/>
        <w:jc w:val="both"/>
        <w:rPr>
          <w:sz w:val="17"/>
        </w:rPr>
      </w:pPr>
      <w:r>
        <w:rPr>
          <w:i/>
          <w:sz w:val="17"/>
        </w:rPr>
        <w:t>We face competition from other sources of entertainment and other entertainment delivery systems.</w:t>
      </w:r>
      <w:r>
        <w:rPr>
          <w:sz w:val="17"/>
        </w:rPr>
        <w:t xml:space="preserve"> </w:t>
      </w:r>
    </w:p>
    <w:p>
      <w:pPr>
        <w:pStyle w:val="TextBody"/>
        <w:spacing w:before="0" w:after="200"/>
        <w:ind w:left="1440" w:right="0" w:firstLine="720"/>
        <w:jc w:val="both"/>
        <w:rPr>
          <w:sz w:val="17"/>
        </w:rPr>
      </w:pPr>
      <w:r>
        <w:rPr>
          <w:sz w:val="17"/>
        </w:rPr>
        <w:t xml:space="preserve">Both our cinema and live theater operations face competition from developing “in-home” sources of entertainment.  These include competition from DVDs, cable and satellite television, pay per view,  the internet and other sources of entertainment, and video games.  The quality of in-house entertainment systems has increased while the cost of such systems has decreased in recent periods, and some consumers may prefer the security of an ”in-home”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   </w:t>
      </w:r>
    </w:p>
    <w:p>
      <w:pPr>
        <w:pStyle w:val="TextBody"/>
        <w:spacing w:before="0" w:after="200"/>
        <w:ind w:left="1440" w:right="0" w:firstLine="720"/>
        <w:jc w:val="both"/>
        <w:rPr>
          <w:sz w:val="17"/>
        </w:rPr>
      </w:pPr>
      <w:r>
        <w:rPr>
          <w:sz w:val="17"/>
        </w:rPr>
        <w:t xml:space="preserve">The narrowing of this so-called “window” for cinema exhibition may be problematic for the cinema exhibition industry.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while theoretically possible, to be unlikely.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firstLine="720"/>
        <w:jc w:val="both"/>
        <w:rPr>
          <w:sz w:val="17"/>
        </w:rPr>
      </w:pPr>
      <w:r>
        <w:rPr>
          <w:sz w:val="17"/>
        </w:rPr>
        <w:t xml:space="preserve">However, there is the risk that, over time, distributors may move towards simultaneous release of motion picture product in multiple channels of distribution.  This would adversely affect the competitive advantage enjoyed by cinemas over “in-home” forms of entertainment, as it may be that both the cinema market and the “in-home” market will have simultaneous access to motion picture product. </w:t>
      </w:r>
    </w:p>
    <w:p>
      <w:pPr>
        <w:pStyle w:val="TextBody"/>
        <w:spacing w:before="0" w:after="200"/>
        <w:ind w:left="1440" w:right="0" w:firstLine="720"/>
        <w:jc w:val="both"/>
        <w:rPr>
          <w:sz w:val="17"/>
        </w:rPr>
      </w:pPr>
      <w:r>
        <w:rPr>
          <w:sz w:val="17"/>
        </w:rPr>
        <w:t xml:space="preserve">We also face competition from various other forms of “beyond-the-home” entertainment, including sporting events, concerts, restaurants, casinos, video game arcades, and nightclubs.  Our cinemas also face competition from live theaters and vice versa. </w:t>
      </w:r>
    </w:p>
    <w:p>
      <w:pPr>
        <w:pStyle w:val="TextBody"/>
        <w:spacing w:before="0" w:after="200"/>
        <w:ind w:left="1440" w:right="0" w:firstLine="720"/>
        <w:jc w:val="both"/>
        <w:rPr>
          <w:sz w:val="17"/>
        </w:rPr>
      </w:pPr>
      <w:r>
        <w:rPr>
          <w:sz w:val="17"/>
        </w:rPr>
        <w:t xml:space="preserve">Competition from less expensive “in-home” entertainment alternatives may be intensified as a result of the current economic recession. </w:t>
      </w:r>
    </w:p>
    <w:p>
      <w:pPr>
        <w:pStyle w:val="TextBody"/>
        <w:spacing w:before="0" w:after="200"/>
        <w:ind w:left="2160" w:right="0" w:hanging="0"/>
        <w:jc w:val="both"/>
        <w:rPr>
          <w:sz w:val="17"/>
        </w:rPr>
      </w:pPr>
      <w:r>
        <w:rPr>
          <w:i/>
          <w:sz w:val="17"/>
        </w:rPr>
        <w:t>Our cinema operations depend upon access to film that is attractive to our patrons and our live theater operations depend upon the continued attractiveness of our theaters to producers.</w:t>
      </w:r>
      <w:r>
        <w:rPr>
          <w:sz w:val="17"/>
        </w:rPr>
        <w:t xml:space="preserve"> </w:t>
      </w:r>
    </w:p>
    <w:p>
      <w:pPr>
        <w:pStyle w:val="TextBody"/>
        <w:spacing w:before="0" w:after="200"/>
        <w:ind w:left="1440" w:right="0" w:firstLine="720"/>
        <w:jc w:val="both"/>
        <w:rPr>
          <w:sz w:val="17"/>
        </w:rPr>
      </w:pPr>
      <w:r>
        <w:rPr>
          <w:sz w:val="17"/>
        </w:rPr>
        <w:t xml:space="preserve">Our ability to generate revenue and profits is largely dependent on factors outside of our control, specifically, the continued ability of motion picture and live theater producers to produce films and plays that are attractive to audiences, the amount of money spent by film distributors to promote their motion pictures, and the willingness of these producers to license their films on terms that are financial viable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 </w:t>
      </w:r>
    </w:p>
    <w:p>
      <w:pPr>
        <w:pStyle w:val="TextBody"/>
        <w:spacing w:before="0" w:after="200"/>
        <w:ind w:left="1440" w:right="0" w:firstLine="720"/>
        <w:jc w:val="both"/>
        <w:rPr>
          <w:sz w:val="17"/>
        </w:rPr>
      </w:pPr>
      <w:r>
        <w:rPr>
          <w:sz w:val="17"/>
        </w:rPr>
        <w:t xml:space="preserve">We rely on film distributors to supply the films shown in our theatres. In the U.S., the film distribution business is highly concentrated, with six major film distributors accounting for approximately 83.0% of U.S. box office revenues. Numerous antitrust cases and consent decrees resulting from these antitrust cases impact the distribution of films. The consent decrees bind certain major film distributors to license films to exhibitors on a theatre-by-theatre and film-by-film basis. Consequently, we cannot guarantee a supply of films by entering into long-term arrangements with major distributors. We are therefore required to negotiate licenses for each film and for each theatre. A deterioration in our relationship with any of the [six] major film distributors could adversely affect our ability to obtain commercially successful films and to negotiate favorable licensing terms for such films, both of which could adversely affect our business and operating results. </w:t>
      </w:r>
    </w:p>
    <w:p>
      <w:pPr>
        <w:pStyle w:val="TextBody"/>
        <w:spacing w:before="0" w:after="200"/>
        <w:ind w:left="2160" w:right="0" w:hanging="0"/>
        <w:jc w:val="both"/>
        <w:rPr>
          <w:sz w:val="17"/>
        </w:rPr>
      </w:pPr>
      <w:r>
        <w:rPr>
          <w:i/>
          <w:sz w:val="17"/>
        </w:rPr>
        <w:t>Adverse economic conditions could materially affect our business by reducing discretionary income and by limiting or reducing sources of film and live theater funding.</w:t>
      </w:r>
      <w:r>
        <w:rPr>
          <w:sz w:val="17"/>
        </w:rPr>
        <w:t xml:space="preserve"> </w:t>
      </w:r>
    </w:p>
    <w:p>
      <w:pPr>
        <w:pStyle w:val="TextBody"/>
        <w:spacing w:before="0" w:after="200"/>
        <w:ind w:left="1440" w:right="0" w:firstLine="720"/>
        <w:jc w:val="both"/>
        <w:rPr>
          <w:sz w:val="17"/>
        </w:rPr>
      </w:pPr>
      <w:r>
        <w:rPr>
          <w:sz w:val="17"/>
        </w:rPr>
        <w:t xml:space="preserve">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which are very risky due to the absence of any ability to recoup investment in secondary markets like DVD or cable. </w:t>
      </w:r>
    </w:p>
    <w:p>
      <w:pPr>
        <w:pStyle w:val="TextBody"/>
        <w:spacing w:before="0" w:after="200"/>
        <w:ind w:left="1440" w:right="0" w:firstLine="720"/>
        <w:jc w:val="both"/>
        <w:rPr>
          <w:i/>
          <w:sz w:val="17"/>
        </w:rPr>
      </w:pPr>
      <w:r>
        <w:rPr>
          <w:i/>
          <w:sz w:val="17"/>
        </w:rPr>
        <w:t xml:space="preserve">Our screen advertising revenue may decline.  </w:t>
      </w:r>
    </w:p>
    <w:p>
      <w:pPr>
        <w:pStyle w:val="TextBody"/>
        <w:spacing w:before="0" w:after="200"/>
        <w:ind w:left="1440" w:right="0" w:firstLine="720"/>
        <w:jc w:val="both"/>
        <w:rPr>
          <w:sz w:val="17"/>
        </w:rPr>
      </w:pPr>
      <w:r>
        <w:rPr>
          <w:sz w:val="17"/>
        </w:rPr>
        <w:t xml:space="preserve">Over the past several years, cinema exhibitors have been looking increasingly to screen advertising as a way to boost income.  No assurances can be given that this source of income will be continuing or that the use of such advertising will not ultimately prove to be counterproductive by giving consumers a disincentive to choose going to the movies over “in-home” entertainment alternatives. </w:t>
      </w:r>
    </w:p>
    <w:p>
      <w:pPr>
        <w:pStyle w:val="TextBody"/>
        <w:spacing w:before="0" w:after="200"/>
        <w:ind w:left="2160" w:right="0" w:hanging="0"/>
        <w:jc w:val="both"/>
        <w:rPr>
          <w:sz w:val="17"/>
        </w:rPr>
      </w:pPr>
      <w:r>
        <w:rPr>
          <w:i/>
          <w:sz w:val="17"/>
        </w:rPr>
        <w:t>We face uncertainty as to the timing and direction of technological innovations in the cinema exhibition business and as to our access to those technologies.</w:t>
      </w:r>
      <w:r>
        <w:rPr>
          <w:sz w:val="17"/>
        </w:rPr>
        <w:t xml:space="preserve"> </w:t>
      </w:r>
    </w:p>
    <w:p>
      <w:pPr>
        <w:pStyle w:val="TextBody"/>
        <w:spacing w:before="0" w:after="200"/>
        <w:ind w:left="1440" w:right="0" w:firstLine="720"/>
        <w:jc w:val="both"/>
        <w:rPr>
          <w:sz w:val="17"/>
        </w:rPr>
      </w:pPr>
      <w:r>
        <w:rPr>
          <w:sz w:val="17"/>
        </w:rPr>
        <w:t xml:space="preserve">We are now in the midst of converting substantially all of our cinema auditoriums to digital projection.  However, no assurances can be given that other technological advances will not require us to make further material investments in our cinemas or face loss of business.  For example, only a limited number of our cinemas are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equipped with the 48 frame per second equipment that is required to show such films as The Hobbit.  Also, equipment is currently being developed for holographic or laser projection.  The future of these technologies in the cinema exhibition industry is uncertain. </w:t>
      </w:r>
    </w:p>
    <w:p>
      <w:pPr>
        <w:pStyle w:val="TextBody"/>
        <w:spacing w:before="0" w:after="200"/>
        <w:ind w:left="1440" w:right="0" w:hanging="0"/>
        <w:jc w:val="both"/>
        <w:rPr>
          <w:sz w:val="17"/>
        </w:rPr>
      </w:pPr>
      <w:r>
        <w:rPr>
          <w:sz w:val="17"/>
          <w:u w:val="single"/>
        </w:rPr>
        <w:t>Real Estate Development and Ownership Business Risks</w:t>
      </w:r>
      <w:r>
        <w:rPr>
          <w:sz w:val="17"/>
        </w:rPr>
        <w:t xml:space="preserve"> </w:t>
      </w:r>
    </w:p>
    <w:p>
      <w:pPr>
        <w:pStyle w:val="TextBody"/>
        <w:spacing w:before="0" w:after="200"/>
        <w:ind w:left="2160" w:right="0" w:hanging="0"/>
        <w:jc w:val="both"/>
        <w:rPr>
          <w:sz w:val="17"/>
        </w:rPr>
      </w:pPr>
      <w:r>
        <w:rPr>
          <w:i/>
          <w:sz w:val="17"/>
        </w:rPr>
        <w:t>We operate in a highly competitive environment, in which we must compete against companies with much greater financial and human resources than we have.</w:t>
      </w:r>
      <w:r>
        <w:rPr>
          <w:sz w:val="17"/>
        </w:rPr>
        <w:t xml:space="preserve"> </w:t>
      </w:r>
    </w:p>
    <w:p>
      <w:pPr>
        <w:pStyle w:val="TextBody"/>
        <w:spacing w:before="0" w:after="200"/>
        <w:ind w:left="1440" w:right="0" w:firstLine="720"/>
        <w:jc w:val="both"/>
        <w:rPr>
          <w:sz w:val="17"/>
        </w:rPr>
      </w:pPr>
      <w:r>
        <w:rPr>
          <w:sz w:val="17"/>
        </w:rPr>
        <w:t xml:space="preserve">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 </w:t>
      </w:r>
    </w:p>
    <w:p>
      <w:pPr>
        <w:pStyle w:val="TextBody"/>
        <w:spacing w:before="0" w:after="200"/>
        <w:ind w:left="1440" w:right="0" w:hanging="0"/>
        <w:jc w:val="both"/>
        <w:rPr>
          <w:sz w:val="17"/>
        </w:rPr>
      </w:pPr>
      <w:r>
        <w:rPr>
          <w:sz w:val="17"/>
          <w:u w:val="single"/>
        </w:rPr>
        <w:t>Risks Related to the Real Estate Industry Generally</w:t>
      </w:r>
      <w:r>
        <w:rPr>
          <w:sz w:val="17"/>
        </w:rPr>
        <w:t xml:space="preserve"> </w:t>
      </w:r>
    </w:p>
    <w:p>
      <w:pPr>
        <w:pStyle w:val="TextBody"/>
        <w:spacing w:before="0" w:after="200"/>
        <w:ind w:left="1440" w:right="0" w:firstLine="720"/>
        <w:jc w:val="both"/>
        <w:rPr>
          <w:i/>
          <w:sz w:val="17"/>
        </w:rPr>
      </w:pPr>
      <w:r>
        <w:rPr>
          <w:i/>
          <w:sz w:val="17"/>
        </w:rPr>
        <w:t xml:space="preserve">Our financial performance will be affected by risks associated with the real estate industry generally. </w:t>
      </w:r>
    </w:p>
    <w:p>
      <w:pPr>
        <w:pStyle w:val="TextBody"/>
        <w:spacing w:before="0" w:after="200"/>
        <w:ind w:left="1440" w:right="0" w:hanging="0"/>
        <w:jc w:val="both"/>
        <w:rPr/>
      </w:pPr>
      <w:r>
        <w:rPr/>
        <w:t>            </w:t>
      </w:r>
      <w:r>
        <w:rPr>
          <w:sz w:val="17"/>
        </w:rPr>
        <w:t xml:space="preserve">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 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 based lending.  In addition, periods of economic slowdown or recession, rising interest rates or declining demand for real estate, or the public perception that any of these events may occur, could result in declining rents or increased lease defaults. </w:t>
      </w:r>
    </w:p>
    <w:p>
      <w:pPr>
        <w:pStyle w:val="TextBody"/>
        <w:spacing w:before="0" w:after="200"/>
        <w:ind w:left="1440" w:right="0" w:firstLine="720"/>
        <w:jc w:val="both"/>
        <w:rPr>
          <w:sz w:val="17"/>
        </w:rPr>
      </w:pPr>
      <w:r>
        <w:rPr>
          <w:i/>
          <w:sz w:val="17"/>
        </w:rPr>
        <w:t>We may incur costs complying with the Americans with Disabilities Act and similar laws.</w:t>
      </w:r>
      <w:r>
        <w:rPr>
          <w:sz w:val="17"/>
        </w:rPr>
        <w:t xml:space="preserve"> </w:t>
      </w:r>
    </w:p>
    <w:p>
      <w:pPr>
        <w:pStyle w:val="TextBody"/>
        <w:spacing w:before="0" w:after="200"/>
        <w:ind w:left="1440" w:right="0" w:hanging="0"/>
        <w:jc w:val="both"/>
        <w:rPr/>
      </w:pPr>
      <w:r>
        <w:rPr/>
        <w:t>            </w:t>
      </w:r>
      <w:r>
        <w:rPr>
          <w:sz w:val="17"/>
        </w:rPr>
        <w:t xml:space="preserve">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  </w:t>
      </w:r>
    </w:p>
    <w:p>
      <w:pPr>
        <w:pStyle w:val="TextBody"/>
        <w:spacing w:before="0" w:after="200"/>
        <w:ind w:left="2160" w:right="0" w:hanging="0"/>
        <w:jc w:val="both"/>
        <w:rPr>
          <w:sz w:val="17"/>
        </w:rPr>
      </w:pPr>
      <w:r>
        <w:rPr>
          <w:i/>
          <w:sz w:val="17"/>
        </w:rPr>
        <w:t>Illiquidity of real estate investments could impede our ability to respond to adverse changes in the performance of our properties.</w:t>
      </w:r>
      <w:r>
        <w:rPr>
          <w:sz w:val="17"/>
        </w:rPr>
        <w:t xml:space="preserve"> </w:t>
      </w:r>
    </w:p>
    <w:p>
      <w:pPr>
        <w:pStyle w:val="TextBody"/>
        <w:spacing w:before="0" w:after="200"/>
        <w:ind w:left="1440" w:right="0" w:hanging="0"/>
        <w:jc w:val="both"/>
        <w:rPr/>
      </w:pPr>
      <w:r>
        <w:rPr/>
        <w:t>            </w:t>
      </w:r>
      <w:r>
        <w:rPr>
          <w:sz w:val="17"/>
        </w:rPr>
        <w:t xml:space="preserve">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 </w:t>
      </w:r>
    </w:p>
    <w:p>
      <w:pPr>
        <w:pStyle w:val="TextBody"/>
        <w:spacing w:before="0" w:after="200"/>
        <w:ind w:left="1440" w:right="0" w:firstLine="720"/>
        <w:jc w:val="both"/>
        <w:rPr>
          <w:sz w:val="17"/>
        </w:rPr>
      </w:pPr>
      <w:r>
        <w:rPr>
          <w:i/>
          <w:sz w:val="17"/>
        </w:rPr>
        <w:t>Real estate development involves a variety of risks.</w:t>
      </w:r>
      <w:r>
        <w:rPr>
          <w:sz w:val="17"/>
        </w:rPr>
        <w:t xml:space="preserve"> </w:t>
      </w:r>
    </w:p>
    <w:p>
      <w:pPr>
        <w:pStyle w:val="TextBody"/>
        <w:spacing w:before="0" w:after="2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w:t>
      </w:r>
      <w:r>
        <w:rPr>
          <w:sz w:val="17"/>
        </w:rPr>
        <w:t xml:space="preserve">Real estate development includes a variety of risks, including the following: </w:t>
      </w:r>
    </w:p>
    <w:tbl>
      <w:tblPr>
        <w:tblW w:w="8765" w:type="dxa"/>
        <w:jc w:val="left"/>
        <w:tblInd w:w="1440" w:type="dxa"/>
        <w:tblCellMar>
          <w:top w:w="0" w:type="dxa"/>
          <w:left w:w="0" w:type="dxa"/>
          <w:bottom w:w="0" w:type="dxa"/>
          <w:right w:w="0" w:type="dxa"/>
        </w:tblCellMar>
      </w:tblPr>
      <w:tblGrid>
        <w:gridCol w:w="119"/>
        <w:gridCol w:w="8646"/>
      </w:tblGrid>
      <w:tr>
        <w:trPr/>
        <w:tc>
          <w:tcPr>
            <w:tcW w:w="11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6" w:type="dxa"/>
            <w:tcBorders/>
            <w:shd w:fill="auto" w:val="clear"/>
          </w:tcPr>
          <w:p>
            <w:pPr>
              <w:pStyle w:val="TableContents"/>
              <w:pBdr/>
              <w:spacing w:before="0" w:after="283"/>
              <w:jc w:val="both"/>
              <w:rPr>
                <w:sz w:val="17"/>
              </w:rPr>
            </w:pPr>
            <w:r>
              <w:rPr>
                <w:i/>
                <w:sz w:val="17"/>
              </w:rPr>
              <w:t>The identification and acquisition of suitable development properties</w:t>
            </w:r>
            <w:r>
              <w:rPr>
                <w:sz w:val="17"/>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tc>
      </w:tr>
    </w:tbl>
    <w:tbl>
      <w:tblPr>
        <w:tblW w:w="8765" w:type="dxa"/>
        <w:jc w:val="left"/>
        <w:tblInd w:w="1440" w:type="dxa"/>
        <w:tblCellMar>
          <w:top w:w="0" w:type="dxa"/>
          <w:left w:w="0" w:type="dxa"/>
          <w:bottom w:w="0" w:type="dxa"/>
          <w:right w:w="0" w:type="dxa"/>
        </w:tblCellMar>
      </w:tblPr>
      <w:tblGrid>
        <w:gridCol w:w="118"/>
        <w:gridCol w:w="8647"/>
      </w:tblGrid>
      <w:tr>
        <w:trPr/>
        <w:tc>
          <w:tcPr>
            <w:tcW w:w="118"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7" w:type="dxa"/>
            <w:tcBorders/>
            <w:shd w:fill="auto" w:val="clear"/>
          </w:tcPr>
          <w:p>
            <w:pPr>
              <w:pStyle w:val="TableContents"/>
              <w:pBdr/>
              <w:spacing w:before="0" w:after="283"/>
              <w:jc w:val="both"/>
              <w:rPr>
                <w:sz w:val="17"/>
              </w:rPr>
            </w:pPr>
            <w:r>
              <w:rPr>
                <w:i/>
                <w:sz w:val="17"/>
              </w:rPr>
              <w:t>The procurement of necessary land use entitlements for the project</w:t>
            </w:r>
            <w:r>
              <w:rPr>
                <w:sz w:val="17"/>
              </w:rPr>
              <w:t xml:space="preserve">.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  </w:t>
            </w:r>
          </w:p>
        </w:tc>
      </w:tr>
    </w:tbl>
    <w:tbl>
      <w:tblPr>
        <w:tblW w:w="8765" w:type="dxa"/>
        <w:jc w:val="left"/>
        <w:tblInd w:w="1440" w:type="dxa"/>
        <w:tblCellMar>
          <w:top w:w="0" w:type="dxa"/>
          <w:left w:w="0" w:type="dxa"/>
          <w:bottom w:w="0" w:type="dxa"/>
          <w:right w:w="0" w:type="dxa"/>
        </w:tblCellMar>
      </w:tblPr>
      <w:tblGrid>
        <w:gridCol w:w="121"/>
        <w:gridCol w:w="8644"/>
      </w:tblGrid>
      <w:tr>
        <w:trPr/>
        <w:tc>
          <w:tcPr>
            <w:tcW w:w="121"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4" w:type="dxa"/>
            <w:tcBorders/>
            <w:shd w:fill="auto" w:val="clear"/>
          </w:tcPr>
          <w:p>
            <w:pPr>
              <w:pStyle w:val="TableContents"/>
              <w:pBdr/>
              <w:spacing w:before="0" w:after="283"/>
              <w:jc w:val="both"/>
              <w:rPr>
                <w:sz w:val="17"/>
              </w:rPr>
            </w:pPr>
            <w:r>
              <w:rPr>
                <w:i/>
                <w:sz w:val="17"/>
              </w:rPr>
              <w:t>The construction of the project on time and on budget</w:t>
            </w:r>
            <w:r>
              <w:rPr>
                <w:sz w:val="17"/>
              </w:rPr>
              <w:t xml:space="preserve">.  Construction risks include the availability and cost of finance; the availability and costs of material and labor; the costs of dealing with unknown site conditions (including addressing pollution or environmental wastes deposited upon the property by prior owners); inclement weather conditions; and the ever-present potential for labor related disruptions.  </w:t>
            </w:r>
          </w:p>
        </w:tc>
      </w:tr>
    </w:tbl>
    <w:tbl>
      <w:tblPr>
        <w:tblW w:w="8765" w:type="dxa"/>
        <w:jc w:val="left"/>
        <w:tblInd w:w="1440" w:type="dxa"/>
        <w:tblCellMar>
          <w:top w:w="0" w:type="dxa"/>
          <w:left w:w="0" w:type="dxa"/>
          <w:bottom w:w="0" w:type="dxa"/>
          <w:right w:w="0" w:type="dxa"/>
        </w:tblCellMar>
      </w:tblPr>
      <w:tblGrid>
        <w:gridCol w:w="117"/>
        <w:gridCol w:w="8648"/>
      </w:tblGrid>
      <w:tr>
        <w:trPr/>
        <w:tc>
          <w:tcPr>
            <w:tcW w:w="11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8" w:type="dxa"/>
            <w:tcBorders/>
            <w:shd w:fill="auto" w:val="clear"/>
          </w:tcPr>
          <w:p>
            <w:pPr>
              <w:pStyle w:val="TableContents"/>
              <w:pBdr/>
              <w:spacing w:before="0" w:after="283"/>
              <w:jc w:val="both"/>
              <w:rPr>
                <w:sz w:val="17"/>
              </w:rPr>
            </w:pPr>
            <w:r>
              <w:rPr>
                <w:i/>
                <w:sz w:val="17"/>
              </w:rPr>
              <w:t>The leasing or sell-out of the project</w:t>
            </w:r>
            <w:r>
              <w:rPr>
                <w:sz w:val="17"/>
              </w:rPr>
              <w:t>.  Ultimately, there are risks involved in the leasing of a rental property or the sale of a condominium or built-for-sale property.  For our entertainment themed retail centers (“ETRCs”),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tc>
      </w:tr>
    </w:tbl>
    <w:tbl>
      <w:tblPr>
        <w:tblW w:w="8765" w:type="dxa"/>
        <w:jc w:val="left"/>
        <w:tblInd w:w="1440" w:type="dxa"/>
        <w:tblCellMar>
          <w:top w:w="0" w:type="dxa"/>
          <w:left w:w="0" w:type="dxa"/>
          <w:bottom w:w="0" w:type="dxa"/>
          <w:right w:w="0" w:type="dxa"/>
        </w:tblCellMar>
      </w:tblPr>
      <w:tblGrid>
        <w:gridCol w:w="117"/>
        <w:gridCol w:w="8648"/>
      </w:tblGrid>
      <w:tr>
        <w:trPr/>
        <w:tc>
          <w:tcPr>
            <w:tcW w:w="11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8" w:type="dxa"/>
            <w:tcBorders/>
            <w:shd w:fill="auto" w:val="clear"/>
          </w:tcPr>
          <w:p>
            <w:pPr>
              <w:pStyle w:val="TableContents"/>
              <w:pBdr/>
              <w:spacing w:before="0" w:after="283"/>
              <w:jc w:val="both"/>
              <w:rPr>
                <w:sz w:val="17"/>
              </w:rPr>
            </w:pPr>
            <w:r>
              <w:rPr>
                <w:i/>
                <w:sz w:val="17"/>
              </w:rPr>
              <w:t>The refinancing of completed properties</w:t>
            </w:r>
            <w:r>
              <w:rPr>
                <w:sz w:val="17"/>
              </w:rPr>
              <w:t xml:space="preserve">.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  </w:t>
            </w:r>
          </w:p>
        </w:tc>
      </w:tr>
    </w:tbl>
    <w:p>
      <w:pPr>
        <w:pStyle w:val="TextBody"/>
        <w:spacing w:before="200" w:after="200"/>
        <w:ind w:left="1440" w:right="0" w:firstLine="720"/>
        <w:jc w:val="both"/>
        <w:rPr>
          <w:i/>
          <w:sz w:val="17"/>
        </w:rPr>
      </w:pPr>
      <w:r>
        <w:rPr>
          <w:i/>
          <w:sz w:val="17"/>
        </w:rPr>
        <w:t xml:space="preserve">The ownership of properties involves risk.  </w:t>
      </w:r>
    </w:p>
    <w:p>
      <w:pPr>
        <w:pStyle w:val="TextBody"/>
        <w:spacing w:before="0" w:after="200"/>
        <w:ind w:left="1440" w:right="0" w:firstLine="720"/>
        <w:jc w:val="both"/>
        <w:rPr>
          <w:sz w:val="17"/>
        </w:rPr>
      </w:pPr>
      <w:r>
        <w:rPr>
          <w:sz w:val="17"/>
        </w:rPr>
        <w:t xml:space="preserve">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 </w:t>
      </w:r>
    </w:p>
    <w:p>
      <w:pPr>
        <w:pStyle w:val="TextBody"/>
        <w:spacing w:before="0" w:after="200"/>
        <w:ind w:left="1440" w:right="0" w:hanging="0"/>
        <w:jc w:val="both"/>
        <w:rPr>
          <w:sz w:val="17"/>
        </w:rPr>
      </w:pPr>
      <w:r>
        <w:rPr>
          <w:sz w:val="17"/>
          <w:u w:val="single"/>
        </w:rPr>
        <w:t>International Business Risks</w:t>
      </w:r>
      <w:r>
        <w:rPr>
          <w:sz w:val="17"/>
        </w:rPr>
        <w:t xml:space="preserve"> </w:t>
      </w:r>
    </w:p>
    <w:p>
      <w:pPr>
        <w:pStyle w:val="TextBody"/>
        <w:spacing w:before="0" w:after="200"/>
        <w:ind w:left="1440" w:right="0" w:firstLine="720"/>
        <w:jc w:val="both"/>
        <w:rPr>
          <w:sz w:val="17"/>
        </w:rPr>
      </w:pPr>
      <w:r>
        <w:rPr>
          <w:sz w:val="17"/>
        </w:rPr>
        <w:t xml:space="preserve">Our international operations are subject to a variety of risks, including the following: </w:t>
      </w:r>
    </w:p>
    <w:p>
      <w:pPr>
        <w:pStyle w:val="TextBody"/>
        <w:spacing w:before="0" w:after="200"/>
        <w:ind w:left="1440" w:right="0" w:firstLine="720"/>
        <w:jc w:val="both"/>
        <w:rPr>
          <w:sz w:val="17"/>
        </w:rPr>
      </w:pPr>
      <w:r>
        <w:rPr>
          <w:i/>
          <w:sz w:val="17"/>
        </w:rPr>
        <w:t>Risk of currency fluctuations</w:t>
      </w:r>
      <w:r>
        <w:rPr>
          <w:sz w:val="17"/>
        </w:rPr>
        <w:t xml:space="preserve">.  While we report our earnings and assets in US dollars, substantial portions of our revenue and of our obligations are 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this debt could be adversely impacted by declines in the relative value of the Australian and New Zealand dollar compared to the US dollar.  Our cash in Australia and New Zealand of $17.5 million (AUS$16.8 million) and $6.3 million (NZ$7.6 million),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respectively, is denominated in local currencies and subject to the risk of currency exchange rate fluctuations.  Also, our use of local borrowings to mitigate the business risk of currency fluctuations has reduced our flexibility to move cash between jurisdictions.  Set forth below is a chart of the exchange ratios between these three currencies over the past twenty years: </w:t>
      </w:r>
    </w:p>
    <w:p>
      <w:pPr>
        <w:pStyle w:val="TextBody"/>
        <w:spacing w:before="0" w:after="200"/>
        <w:ind w:left="1440" w:right="0" w:hanging="0"/>
        <w:jc w:val="center"/>
        <w:rPr/>
      </w:pPr>
      <w:r>
        <w:rPr/>
        <w:drawing>
          <wp:inline distT="0" distB="0" distL="0" distR="0">
            <wp:extent cx="4206240" cy="29794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06240" cy="2979420"/>
                    </a:xfrm>
                    <a:prstGeom prst="rect">
                      <a:avLst/>
                    </a:prstGeom>
                  </pic:spPr>
                </pic:pic>
              </a:graphicData>
            </a:graphic>
          </wp:inline>
        </w:drawing>
      </w:r>
      <w:r>
        <w:rPr/>
        <w:t xml:space="preserve"> </w:t>
      </w:r>
    </w:p>
    <w:tbl>
      <w:tblPr>
        <w:tblW w:w="8765" w:type="dxa"/>
        <w:jc w:val="left"/>
        <w:tblInd w:w="1440" w:type="dxa"/>
        <w:tblCellMar>
          <w:top w:w="0" w:type="dxa"/>
          <w:left w:w="0" w:type="dxa"/>
          <w:bottom w:w="0" w:type="dxa"/>
          <w:right w:w="0" w:type="dxa"/>
        </w:tblCellMar>
      </w:tblPr>
      <w:tblGrid>
        <w:gridCol w:w="123"/>
        <w:gridCol w:w="8642"/>
      </w:tblGrid>
      <w:tr>
        <w:trPr/>
        <w:tc>
          <w:tcPr>
            <w:tcW w:w="12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2" w:type="dxa"/>
            <w:tcBorders/>
            <w:shd w:fill="auto" w:val="clear"/>
          </w:tcPr>
          <w:p>
            <w:pPr>
              <w:pStyle w:val="TableContents"/>
              <w:pBdr/>
              <w:spacing w:before="0" w:after="283"/>
              <w:jc w:val="both"/>
              <w:rPr>
                <w:sz w:val="17"/>
              </w:rPr>
            </w:pPr>
            <w:r>
              <w:rPr>
                <w:i/>
                <w:sz w:val="17"/>
              </w:rPr>
              <w:t>Risk of adverse government regulation</w:t>
            </w:r>
            <w:r>
              <w:rPr>
                <w:sz w:val="17"/>
              </w:rPr>
              <w:t xml:space="preserve">.  At the present time,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  </w:t>
            </w:r>
          </w:p>
        </w:tc>
      </w:tr>
    </w:tbl>
    <w:tbl>
      <w:tblPr>
        <w:tblW w:w="8765" w:type="dxa"/>
        <w:jc w:val="left"/>
        <w:tblInd w:w="1440" w:type="dxa"/>
        <w:tblCellMar>
          <w:top w:w="0" w:type="dxa"/>
          <w:left w:w="0" w:type="dxa"/>
          <w:bottom w:w="0" w:type="dxa"/>
          <w:right w:w="0" w:type="dxa"/>
        </w:tblCellMar>
      </w:tblPr>
      <w:tblGrid>
        <w:gridCol w:w="134"/>
        <w:gridCol w:w="8631"/>
      </w:tblGrid>
      <w:tr>
        <w:trPr/>
        <w:tc>
          <w:tcPr>
            <w:tcW w:w="13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1" w:type="dxa"/>
            <w:tcBorders/>
            <w:shd w:fill="auto" w:val="clear"/>
          </w:tcPr>
          <w:p>
            <w:pPr>
              <w:pStyle w:val="TableContents"/>
              <w:pBdr/>
              <w:spacing w:before="0" w:after="283"/>
              <w:jc w:val="both"/>
              <w:rPr>
                <w:sz w:val="17"/>
              </w:rPr>
            </w:pPr>
            <w:r>
              <w:rPr>
                <w:i/>
                <w:sz w:val="17"/>
              </w:rPr>
              <w:t>Risk of adverse labor relations</w:t>
            </w:r>
            <w:r>
              <w:rPr>
                <w:sz w:val="17"/>
              </w:rPr>
              <w:t>.  Our labor relations and costs of labor (including future government requirements with respect to pension liabilities, disability insurance and health coverage, and vacations and leave).</w:t>
            </w:r>
          </w:p>
        </w:tc>
      </w:tr>
    </w:tbl>
    <w:p>
      <w:pPr>
        <w:pStyle w:val="TextBody"/>
        <w:spacing w:before="200" w:after="200"/>
        <w:ind w:left="1440" w:right="0" w:hanging="0"/>
        <w:jc w:val="both"/>
        <w:rPr>
          <w:sz w:val="17"/>
        </w:rPr>
      </w:pPr>
      <w:r>
        <w:rPr>
          <w:sz w:val="17"/>
          <w:u w:val="single"/>
        </w:rPr>
        <w:t>Risks Associated with Certain Discontinued Operations</w:t>
      </w:r>
      <w:r>
        <w:rPr>
          <w:sz w:val="17"/>
        </w:rPr>
        <w:t xml:space="preserve"> </w:t>
      </w:r>
    </w:p>
    <w:p>
      <w:pPr>
        <w:pStyle w:val="TextBody"/>
        <w:spacing w:before="0" w:after="200"/>
        <w:ind w:left="1440" w:right="0" w:firstLine="720"/>
        <w:jc w:val="both"/>
        <w:rPr>
          <w:sz w:val="17"/>
        </w:rPr>
      </w:pPr>
      <w:r>
        <w:rPr>
          <w:sz w:val="17"/>
        </w:rPr>
        <w:t xml:space="preserve">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  </w:t>
      </w:r>
    </w:p>
    <w:p>
      <w:pPr>
        <w:pStyle w:val="TextBody"/>
        <w:pBdr/>
        <w:spacing w:before="100" w:after="100"/>
        <w:ind w:left="1440" w:right="0" w:hanging="0"/>
        <w:jc w:val="both"/>
        <w:rPr>
          <w:sz w:val="17"/>
        </w:rPr>
      </w:pPr>
      <w:r>
        <w:rPr>
          <w:sz w:val="17"/>
          <w:u w:val="single"/>
        </w:rPr>
        <w:t>Operating Results, Financial Structure and Borrowing Risk</w:t>
      </w:r>
      <w:r>
        <w:rPr>
          <w:sz w:val="17"/>
        </w:rPr>
        <w:t xml:space="preserve"> </w:t>
      </w:r>
    </w:p>
    <w:p>
      <w:pPr>
        <w:pStyle w:val="TextBody"/>
        <w:pBdr/>
        <w:spacing w:before="100" w:after="100"/>
        <w:ind w:left="2160" w:right="0" w:hanging="0"/>
        <w:jc w:val="both"/>
        <w:rPr>
          <w:i/>
          <w:sz w:val="17"/>
        </w:rPr>
      </w:pPr>
      <w:r>
        <w:rPr>
          <w:i/>
          <w:sz w:val="17"/>
        </w:rPr>
        <w:t xml:space="preserve">From time to time, we may have negative working capital.  </w:t>
      </w:r>
    </w:p>
    <w:p>
      <w:pPr>
        <w:pStyle w:val="TextBody"/>
        <w:pBdr/>
        <w:spacing w:before="100" w:after="100"/>
        <w:ind w:left="1440" w:right="0" w:firstLine="720"/>
        <w:jc w:val="both"/>
        <w:rPr>
          <w:sz w:val="17"/>
        </w:rPr>
      </w:pPr>
      <w:r>
        <w:rPr>
          <w:sz w:val="17"/>
        </w:rPr>
        <w:t xml:space="preserve">In recent years, as we have invested our cash in new acquisitions and the development of our existing properties, we have from time to time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w:t>
      </w:r>
    </w:p>
    <w:p>
      <w:pPr>
        <w:pStyle w:val="TextBody"/>
        <w:pBdr/>
        <w:spacing w:before="100" w:after="100"/>
        <w:ind w:left="1440" w:right="0" w:firstLine="72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100" w:after="100"/>
        <w:ind w:left="2160" w:right="0" w:hanging="0"/>
        <w:jc w:val="both"/>
        <w:rPr>
          <w:sz w:val="17"/>
        </w:rPr>
      </w:pPr>
      <w:r>
        <w:rPr>
          <w:i/>
          <w:sz w:val="17"/>
        </w:rPr>
        <w:t>We have substantial short to medium term debt.</w:t>
      </w:r>
      <w:r>
        <w:rPr>
          <w:sz w:val="17"/>
        </w:rPr>
        <w:t xml:space="preserve"> </w:t>
      </w:r>
    </w:p>
    <w:p>
      <w:pPr>
        <w:pStyle w:val="TextBody"/>
        <w:pBdr/>
        <w:spacing w:before="100" w:after="100"/>
        <w:ind w:left="1440" w:right="0" w:firstLine="720"/>
        <w:jc w:val="both"/>
        <w:rPr>
          <w:sz w:val="17"/>
        </w:rPr>
      </w:pPr>
      <w:r>
        <w:rPr>
          <w:sz w:val="17"/>
        </w:rPr>
        <w:t xml:space="preserve">Generally speaking, we have historically financed our operations through relatively short-term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  </w:t>
      </w:r>
    </w:p>
    <w:p>
      <w:pPr>
        <w:pStyle w:val="TextBody"/>
        <w:pBdr/>
        <w:spacing w:before="100" w:after="100"/>
        <w:ind w:left="1440" w:right="0" w:firstLine="720"/>
        <w:jc w:val="both"/>
        <w:rPr>
          <w:sz w:val="17"/>
        </w:rPr>
      </w:pPr>
      <w:r>
        <w:rPr>
          <w:sz w:val="17"/>
        </w:rPr>
        <w:t xml:space="preserve">In February 2007, we issued $50.0 million in 20-year TPS, and utilized the net proceeds principally to retire short-term bank debt in New Zealand and Australia.  The interest rate on our TPS was only fixed for five years. Additionally, we used US dollar denominated obligations to retire debt denominated in New Zealand and Australian dollars which has increased our exposure to currency risk.  In the first quarter of 2009, we repurchased $22.9 million of our TPS at a 50% discount. </w:t>
      </w:r>
    </w:p>
    <w:p>
      <w:pPr>
        <w:pStyle w:val="TextBody"/>
        <w:pBdr/>
        <w:spacing w:before="100" w:after="100"/>
        <w:ind w:left="1440" w:right="0" w:firstLine="720"/>
        <w:jc w:val="both"/>
        <w:rPr>
          <w:sz w:val="17"/>
        </w:rPr>
      </w:pPr>
      <w:r>
        <w:rPr>
          <w:sz w:val="17"/>
        </w:rPr>
        <w:t xml:space="preserve">At the present time, corporate borrowers both domestically and internationally are facing greater than normal constraints on liquidity.  No assurances can be given that we will be able to refinance these debts as they become due. </w:t>
      </w:r>
    </w:p>
    <w:p>
      <w:pPr>
        <w:pStyle w:val="TextBody"/>
        <w:pBdr/>
        <w:spacing w:before="100" w:after="100"/>
        <w:ind w:left="2160" w:right="0" w:hanging="0"/>
        <w:jc w:val="both"/>
        <w:rPr>
          <w:sz w:val="17"/>
        </w:rPr>
      </w:pPr>
      <w:r>
        <w:rPr>
          <w:i/>
          <w:sz w:val="17"/>
        </w:rPr>
        <w:t>We have substantial lease liabilities.</w:t>
      </w:r>
      <w:r>
        <w:rPr>
          <w:sz w:val="17"/>
        </w:rPr>
        <w:t xml:space="preserve"> </w:t>
      </w:r>
    </w:p>
    <w:p>
      <w:pPr>
        <w:pStyle w:val="TextBody"/>
        <w:pBdr/>
        <w:spacing w:before="100" w:after="100"/>
        <w:ind w:left="1440" w:right="0" w:firstLine="720"/>
        <w:jc w:val="both"/>
        <w:rPr>
          <w:sz w:val="17"/>
        </w:rPr>
      </w:pPr>
      <w:r>
        <w:rPr>
          <w:sz w:val="17"/>
        </w:rPr>
        <w:t xml:space="preserve">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  Unlike property rental leases, our newly added digital equipment leases do not have cost of living or other lease adjustment features. </w:t>
      </w:r>
    </w:p>
    <w:p>
      <w:pPr>
        <w:pStyle w:val="TextBody"/>
        <w:spacing w:before="0" w:after="200"/>
        <w:ind w:left="1440" w:right="0" w:firstLine="720"/>
        <w:jc w:val="both"/>
        <w:rPr>
          <w:sz w:val="17"/>
        </w:rPr>
      </w:pPr>
      <w:r>
        <w:rPr>
          <w:i/>
          <w:sz w:val="17"/>
        </w:rPr>
        <w:t>Our stock is thinly traded.</w:t>
      </w:r>
      <w:r>
        <w:rPr>
          <w:sz w:val="17"/>
        </w:rPr>
        <w:t xml:space="preserve"> </w:t>
      </w:r>
    </w:p>
    <w:p>
      <w:pPr>
        <w:pStyle w:val="TextBody"/>
        <w:spacing w:before="0" w:after="200"/>
        <w:ind w:left="1440" w:right="0" w:firstLine="720"/>
        <w:jc w:val="both"/>
        <w:rPr>
          <w:sz w:val="17"/>
        </w:rPr>
      </w:pPr>
      <w:r>
        <w:rPr>
          <w:sz w:val="17"/>
        </w:rPr>
        <w:t xml:space="preserve">Our stock is thinly traded, with an average daily volume in 2012 of only approximately 53,000 shares.  This can result in significant volatility, as demand by buyers and sellers can easily get out of balance.  </w:t>
      </w:r>
    </w:p>
    <w:p>
      <w:pPr>
        <w:pStyle w:val="TextBody"/>
        <w:spacing w:before="0" w:after="200"/>
        <w:ind w:left="1440" w:right="0" w:hanging="0"/>
        <w:jc w:val="both"/>
        <w:rPr>
          <w:sz w:val="17"/>
          <w:u w:val="single"/>
        </w:rPr>
      </w:pPr>
      <w:r>
        <w:rPr>
          <w:sz w:val="17"/>
          <w:u w:val="single"/>
        </w:rPr>
        <w:t xml:space="preserve">Ownership and Management Structure, Corporate Governance, and Change of Control Risks  </w:t>
      </w:r>
    </w:p>
    <w:p>
      <w:pPr>
        <w:pStyle w:val="TextBody"/>
        <w:spacing w:before="0" w:after="200"/>
        <w:ind w:left="1440" w:right="0" w:firstLine="720"/>
        <w:jc w:val="both"/>
        <w:rPr>
          <w:i/>
          <w:sz w:val="17"/>
        </w:rPr>
      </w:pPr>
      <w:r>
        <w:rPr>
          <w:i/>
          <w:sz w:val="17"/>
        </w:rPr>
        <w:t xml:space="preserve">The interests of our controlling stockholder may conflict with your interests. </w:t>
      </w:r>
    </w:p>
    <w:p>
      <w:pPr>
        <w:pStyle w:val="TextBody"/>
        <w:spacing w:before="0" w:after="200"/>
        <w:ind w:left="1440" w:right="0" w:firstLine="720"/>
        <w:jc w:val="both"/>
        <w:rPr>
          <w:sz w:val="17"/>
        </w:rPr>
      </w:pPr>
      <w:r>
        <w:rPr>
          <w:sz w:val="17"/>
        </w:rPr>
        <w:t xml:space="preserve">Mr. James J. Cotter beneficially owns 70.4% of our outstanding Class B Stock.  Our Class A Stock is non-voting, while our Class B Stock represents all of the voting power of our Company.  As a result, as of December 31, 2012, Mr. Cotter controlled 70.4% of the voting power of all of our outstanding common stock.  For as long as Mr. Cotter continues to own shares of common stock representing more than 50% of the voting power of our common 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25 – </w:t>
      </w:r>
      <w:r>
        <w:rPr>
          <w:i/>
          <w:sz w:val="17"/>
        </w:rPr>
        <w:t>Related Parties and Transactions</w:t>
      </w:r>
      <w:r>
        <w:rPr>
          <w:sz w:val="17"/>
        </w:rPr>
        <w:t xml:space="preserve"> to our 2012 Consolidated Financial Statements). </w:t>
      </w:r>
    </w:p>
    <w:p>
      <w:pPr>
        <w:pStyle w:val="TextBody"/>
        <w:spacing w:before="0" w:after="200"/>
        <w:ind w:left="2160" w:right="0" w:hanging="0"/>
        <w:jc w:val="both"/>
        <w:rPr>
          <w:sz w:val="17"/>
        </w:rPr>
      </w:pPr>
      <w:r>
        <w:rPr>
          <w:i/>
          <w:sz w:val="17"/>
        </w:rPr>
        <w:t>Since we are a Controlled Company, our Directors have determined to take advantage of certain exemptions provide by the NASDAQ from the corporate governance rules adopted by that Exchange.</w:t>
      </w:r>
      <w:r>
        <w:rPr>
          <w:sz w:val="17"/>
        </w:rPr>
        <w:t xml:space="preserve"> </w:t>
      </w:r>
    </w:p>
    <w:p>
      <w:pPr>
        <w:pStyle w:val="TextBody"/>
        <w:spacing w:before="0" w:after="200"/>
        <w:ind w:left="1440" w:right="0" w:firstLine="720"/>
        <w:jc w:val="both"/>
        <w:rPr>
          <w:sz w:val="17"/>
        </w:rPr>
      </w:pPr>
      <w:r>
        <w:rPr>
          <w:sz w:val="17"/>
        </w:rPr>
        <w:t xml:space="preserve">Generally speaking, the NASDAQ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NASDAQ requirements, a majority of our board of directors is nevertheless currently comprised of independent directors, and our compensation committee is nevertheless currently comprised entirely of independent directors. </w:t>
      </w:r>
    </w:p>
    <w:p>
      <w:pPr>
        <w:pStyle w:val="TextBody"/>
        <w:spacing w:before="0" w:after="200"/>
        <w:ind w:left="1440" w:right="0" w:firstLine="720"/>
        <w:jc w:val="both"/>
        <w:rPr>
          <w:i/>
          <w:sz w:val="17"/>
        </w:rPr>
      </w:pPr>
      <w:r>
        <w:rPr>
          <w:i/>
          <w:sz w:val="17"/>
        </w:rPr>
        <w:t xml:space="preserve">We depend on key personnel for our current and future performance. </w:t>
      </w:r>
    </w:p>
    <w:p>
      <w:pPr>
        <w:pStyle w:val="TextBody"/>
        <w:spacing w:before="0" w:after="200"/>
        <w:ind w:left="1440" w:right="0" w:firstLine="720"/>
        <w:jc w:val="both"/>
        <w:rPr>
          <w:sz w:val="17"/>
        </w:rPr>
      </w:pPr>
      <w:r>
        <w:rPr>
          <w:sz w:val="17"/>
        </w:rPr>
        <w:t xml:space="preserve">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100" w:after="100"/>
        <w:ind w:left="1440" w:right="0" w:hanging="0"/>
        <w:jc w:val="center"/>
        <w:rPr>
          <w:sz w:val="17"/>
        </w:rPr>
      </w:pPr>
      <w:r>
        <w:rPr>
          <w:b/>
          <w:sz w:val="17"/>
          <w:u w:val="single"/>
        </w:rPr>
        <w:t>Item 1B - Unresolved Staff Comments</w:t>
      </w:r>
      <w:r>
        <w:rPr>
          <w:sz w:val="17"/>
        </w:rPr>
        <w:t xml:space="preserve"> </w:t>
      </w:r>
    </w:p>
    <w:p>
      <w:pPr>
        <w:pStyle w:val="TextBody"/>
        <w:spacing w:before="0" w:after="200"/>
        <w:ind w:left="1440" w:right="0" w:hanging="0"/>
        <w:jc w:val="both"/>
        <w:rPr>
          <w:sz w:val="17"/>
        </w:rPr>
      </w:pPr>
      <w:r>
        <w:rPr>
          <w:sz w:val="17"/>
        </w:rPr>
        <w:t xml:space="preserve">None.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center"/>
        <w:rPr>
          <w:sz w:val="17"/>
        </w:rPr>
      </w:pPr>
      <w:r>
        <w:rPr>
          <w:b/>
          <w:sz w:val="17"/>
          <w:u w:val="single"/>
        </w:rPr>
        <w:t>Item 2 – Properties</w:t>
      </w:r>
      <w:r>
        <w:rPr>
          <w:sz w:val="17"/>
        </w:rPr>
        <w:t xml:space="preserve"> </w:t>
      </w:r>
    </w:p>
    <w:p>
      <w:pPr>
        <w:pStyle w:val="TextBody"/>
        <w:spacing w:before="0" w:after="200"/>
        <w:ind w:left="1440" w:right="0" w:hanging="0"/>
        <w:jc w:val="both"/>
        <w:rPr>
          <w:sz w:val="17"/>
        </w:rPr>
      </w:pPr>
      <w:r>
        <w:rPr>
          <w:b/>
          <w:sz w:val="17"/>
          <w:u w:val="single"/>
        </w:rPr>
        <w:t>Executive and Administrative Offices</w:t>
      </w:r>
      <w:r>
        <w:rPr>
          <w:sz w:val="17"/>
        </w:rPr>
        <w:t xml:space="preserve"> </w:t>
      </w:r>
    </w:p>
    <w:p>
      <w:pPr>
        <w:pStyle w:val="TextBody"/>
        <w:spacing w:before="0" w:after="200"/>
        <w:ind w:left="1440" w:right="0" w:hanging="0"/>
        <w:jc w:val="both"/>
        <w:rPr/>
      </w:pPr>
      <w:r>
        <w:rPr/>
        <w:t>            </w:t>
      </w:r>
      <w:r>
        <w:rPr>
          <w:sz w:val="17"/>
        </w:rPr>
        <w:t xml:space="preserve">We lease approximately 9,800 square feet of office space in Los Angeles, California to serve as our executive headquarters.  We own an 8,100 square foot office building in Melbourne, Australia, approximately 5,200 square feet of which serves as the headquarters for our Australian and New Zealand operations (the remainder being leased to an unrelated third party).  We maintain our accounting personnel and certain IT and operational personnel in approximately 5,900 square foot of offices located in our Wellington Courtenay Central shopping center.  We occupy approximately 3,500 square feet at our Village East leasehold property for administrative purposes.  We also own a residential condominium unit in Los Angeles, used for offsite corporate meetings and residential space by our Chairman and Chief Executive Officer.  </w:t>
      </w:r>
    </w:p>
    <w:p>
      <w:pPr>
        <w:pStyle w:val="TextBody"/>
        <w:spacing w:before="0" w:after="200"/>
        <w:ind w:left="1440" w:right="0" w:hanging="0"/>
        <w:jc w:val="both"/>
        <w:rPr>
          <w:sz w:val="17"/>
        </w:rPr>
      </w:pPr>
      <w:r>
        <w:rPr>
          <w:b/>
          <w:sz w:val="17"/>
          <w:u w:val="single"/>
        </w:rPr>
        <w:t>Entertainment Properties</w:t>
      </w:r>
      <w:r>
        <w:rPr>
          <w:sz w:val="17"/>
        </w:rPr>
        <w:t xml:space="preserve"> </w:t>
      </w:r>
    </w:p>
    <w:p>
      <w:pPr>
        <w:pStyle w:val="TextBody"/>
        <w:spacing w:before="0" w:after="200"/>
        <w:ind w:left="1440" w:right="0" w:hanging="0"/>
        <w:jc w:val="both"/>
        <w:rPr>
          <w:sz w:val="17"/>
        </w:rPr>
      </w:pPr>
      <w:r>
        <w:rPr>
          <w:sz w:val="17"/>
          <w:u w:val="single"/>
        </w:rPr>
        <w:t>Entertainment Use Leasehold Interests</w:t>
      </w:r>
      <w:r>
        <w:rPr>
          <w:sz w:val="17"/>
        </w:rPr>
        <w:t xml:space="preserve"> </w:t>
      </w:r>
    </w:p>
    <w:p>
      <w:pPr>
        <w:pStyle w:val="TextBody"/>
        <w:spacing w:before="0" w:after="200"/>
        <w:ind w:left="1440" w:right="0" w:hanging="0"/>
        <w:jc w:val="both"/>
        <w:rPr/>
      </w:pPr>
      <w:r>
        <w:rPr/>
        <w:t>            </w:t>
      </w:r>
      <w:r>
        <w:rPr>
          <w:sz w:val="17"/>
        </w:rPr>
        <w:t xml:space="preserve">As of December 31, 2012, we lease approximately 1.8 million square feet of completed cinema space in the United States, Australia, and New Zealand as follows: </w:t>
      </w:r>
    </w:p>
    <w:tbl>
      <w:tblPr>
        <w:tblW w:w="8145" w:type="dxa"/>
        <w:jc w:val="left"/>
        <w:tblInd w:w="1440" w:type="dxa"/>
        <w:tblCellMar>
          <w:top w:w="0" w:type="dxa"/>
          <w:left w:w="0" w:type="dxa"/>
          <w:bottom w:w="0" w:type="dxa"/>
          <w:right w:w="0" w:type="dxa"/>
        </w:tblCellMar>
      </w:tblPr>
      <w:tblGrid>
        <w:gridCol w:w="75"/>
        <w:gridCol w:w="935"/>
        <w:gridCol w:w="60"/>
        <w:gridCol w:w="1985"/>
        <w:gridCol w:w="60"/>
        <w:gridCol w:w="4955"/>
        <w:gridCol w:w="75"/>
      </w:tblGrid>
      <w:tr>
        <w:trPr/>
        <w:tc>
          <w:tcPr>
            <w:tcW w:w="75"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9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95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9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955" w:type="dxa"/>
            <w:tcBorders/>
            <w:shd w:fill="auto" w:val="clear"/>
            <w:vAlign w:val="bottom"/>
          </w:tcPr>
          <w:p>
            <w:pPr>
              <w:pStyle w:val="TableContents"/>
              <w:spacing w:before="0" w:after="1"/>
              <w:ind w:left="0" w:right="0" w:hanging="0"/>
              <w:jc w:val="center"/>
              <w:rPr/>
            </w:pPr>
            <w:r>
              <w:rPr/>
              <w:t> </w:t>
            </w:r>
          </w:p>
        </w:tc>
        <w:tc>
          <w:tcPr>
            <w:tcW w:w="75" w:type="dxa"/>
            <w:tcBorders/>
            <w:shd w:fill="auto" w:val="clear"/>
            <w:vAlign w:val="bottom"/>
          </w:tcPr>
          <w:p>
            <w:pPr>
              <w:pStyle w:val="TableContents"/>
              <w:spacing w:before="0" w:after="1"/>
              <w:ind w:left="0" w:right="0" w:hanging="0"/>
              <w:jc w:val="center"/>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98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Aggregate Square Footage</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495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Approximate Range of Remaining Lease Terms (including renewals)</w:t>
            </w:r>
          </w:p>
        </w:tc>
        <w:tc>
          <w:tcPr>
            <w:tcW w:w="75" w:type="dxa"/>
            <w:tcBorders/>
            <w:shd w:fill="auto" w:val="clear"/>
            <w:vAlign w:val="bottom"/>
          </w:tcPr>
          <w:p>
            <w:pPr>
              <w:pStyle w:val="TableContents"/>
              <w:spacing w:before="0" w:after="1"/>
              <w:ind w:left="0" w:right="0" w:hanging="0"/>
              <w:jc w:val="center"/>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935" w:type="dxa"/>
            <w:tcBorders>
              <w:top w:val="single" w:sz="8" w:space="0" w:color="000000"/>
            </w:tcBorders>
            <w:shd w:fill="CCEEFF" w:val="clear"/>
            <w:tcMar>
              <w:top w:w="28" w:type="dxa"/>
            </w:tcMar>
          </w:tcPr>
          <w:p>
            <w:pPr>
              <w:pStyle w:val="TableContents"/>
              <w:spacing w:before="0" w:after="1"/>
              <w:ind w:left="0" w:right="0" w:hanging="0"/>
              <w:jc w:val="center"/>
              <w:rPr>
                <w:sz w:val="17"/>
              </w:rPr>
            </w:pPr>
            <w:r>
              <w:rPr>
                <w:sz w:val="17"/>
              </w:rPr>
              <w:t>United States</w:t>
            </w:r>
          </w:p>
        </w:tc>
        <w:tc>
          <w:tcPr>
            <w:tcW w:w="60" w:type="dxa"/>
            <w:tcBorders>
              <w:top w:val="single" w:sz="8" w:space="0" w:color="000000"/>
            </w:tcBorders>
            <w:shd w:fill="CCEEFF" w:val="clear"/>
            <w:tcMar>
              <w:top w:w="28" w:type="dxa"/>
            </w:tcMar>
          </w:tcPr>
          <w:p>
            <w:pPr>
              <w:pStyle w:val="TableContents"/>
              <w:spacing w:before="0" w:after="1"/>
              <w:ind w:left="0" w:right="0" w:hanging="0"/>
              <w:jc w:val="center"/>
              <w:rPr/>
            </w:pPr>
            <w:r>
              <w:rPr/>
              <w:t> </w:t>
            </w:r>
          </w:p>
        </w:tc>
        <w:tc>
          <w:tcPr>
            <w:tcW w:w="1985" w:type="dxa"/>
            <w:tcBorders>
              <w:top w:val="single" w:sz="8" w:space="0" w:color="000000"/>
            </w:tcBorders>
            <w:shd w:fill="CCEEFF" w:val="clear"/>
            <w:tcMar>
              <w:top w:w="28" w:type="dxa"/>
            </w:tcMar>
            <w:vAlign w:val="bottom"/>
          </w:tcPr>
          <w:p>
            <w:pPr>
              <w:pStyle w:val="TableContents"/>
              <w:spacing w:before="0" w:after="1"/>
              <w:ind w:left="0" w:right="0" w:hanging="0"/>
              <w:jc w:val="center"/>
              <w:rPr>
                <w:sz w:val="17"/>
              </w:rPr>
            </w:pPr>
            <w:r>
              <w:rPr>
                <w:sz w:val="17"/>
              </w:rPr>
              <w:t>942,000</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center"/>
              <w:rPr/>
            </w:pPr>
            <w:r>
              <w:rPr/>
              <w:t> </w:t>
            </w:r>
          </w:p>
        </w:tc>
        <w:tc>
          <w:tcPr>
            <w:tcW w:w="4955" w:type="dxa"/>
            <w:tcBorders>
              <w:top w:val="single" w:sz="8" w:space="0" w:color="000000"/>
            </w:tcBorders>
            <w:shd w:fill="CCEEFF" w:val="clear"/>
            <w:tcMar>
              <w:top w:w="28" w:type="dxa"/>
            </w:tcMar>
            <w:vAlign w:val="bottom"/>
          </w:tcPr>
          <w:p>
            <w:pPr>
              <w:pStyle w:val="TableContents"/>
              <w:spacing w:before="0" w:after="1"/>
              <w:ind w:left="0" w:right="0" w:hanging="0"/>
              <w:jc w:val="center"/>
              <w:rPr>
                <w:sz w:val="17"/>
              </w:rPr>
            </w:pPr>
            <w:r>
              <w:rPr>
                <w:sz w:val="17"/>
              </w:rPr>
              <w:t>2013 – 2049</w:t>
            </w:r>
          </w:p>
        </w:tc>
        <w:tc>
          <w:tcPr>
            <w:tcW w:w="75" w:type="dxa"/>
            <w:tcBorders/>
            <w:shd w:fill="CCEEFF" w:val="clear"/>
            <w:vAlign w:val="bottom"/>
          </w:tcPr>
          <w:p>
            <w:pPr>
              <w:pStyle w:val="TableContents"/>
              <w:spacing w:before="0" w:after="1"/>
              <w:ind w:left="0" w:right="0" w:hanging="0"/>
              <w:jc w:val="center"/>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935" w:type="dxa"/>
            <w:tcBorders/>
            <w:shd w:fill="FFFFFF" w:val="clear"/>
          </w:tcPr>
          <w:p>
            <w:pPr>
              <w:pStyle w:val="TableContents"/>
              <w:spacing w:before="0" w:after="1"/>
              <w:ind w:left="0" w:right="0" w:hanging="0"/>
              <w:jc w:val="center"/>
              <w:rPr>
                <w:sz w:val="17"/>
              </w:rPr>
            </w:pPr>
            <w:r>
              <w:rPr>
                <w:sz w:val="17"/>
              </w:rPr>
              <w:t>Australia</w:t>
            </w:r>
          </w:p>
        </w:tc>
        <w:tc>
          <w:tcPr>
            <w:tcW w:w="60" w:type="dxa"/>
            <w:tcBorders/>
            <w:shd w:fill="FFFFFF" w:val="clear"/>
          </w:tcPr>
          <w:p>
            <w:pPr>
              <w:pStyle w:val="TableContents"/>
              <w:spacing w:before="0" w:after="1"/>
              <w:ind w:left="0" w:right="0" w:hanging="0"/>
              <w:jc w:val="center"/>
              <w:rPr/>
            </w:pPr>
            <w:r>
              <w:rPr/>
              <w:t> </w:t>
            </w:r>
          </w:p>
        </w:tc>
        <w:tc>
          <w:tcPr>
            <w:tcW w:w="1985" w:type="dxa"/>
            <w:tcBorders/>
            <w:shd w:fill="FFFFFF" w:val="clear"/>
            <w:vAlign w:val="bottom"/>
          </w:tcPr>
          <w:p>
            <w:pPr>
              <w:pStyle w:val="TableContents"/>
              <w:spacing w:before="0" w:after="1"/>
              <w:ind w:left="0" w:right="0" w:hanging="0"/>
              <w:jc w:val="center"/>
              <w:rPr>
                <w:sz w:val="17"/>
              </w:rPr>
            </w:pPr>
            <w:r>
              <w:rPr>
                <w:sz w:val="17"/>
              </w:rPr>
              <w:t>721,000</w:t>
            </w:r>
          </w:p>
        </w:tc>
        <w:tc>
          <w:tcPr>
            <w:tcW w:w="60" w:type="dxa"/>
            <w:tcBorders/>
            <w:shd w:fill="FFFFFF" w:val="clear"/>
            <w:vAlign w:val="bottom"/>
          </w:tcPr>
          <w:p>
            <w:pPr>
              <w:pStyle w:val="TableContents"/>
              <w:spacing w:before="0" w:after="1"/>
              <w:ind w:left="0" w:right="0" w:hanging="0"/>
              <w:jc w:val="center"/>
              <w:rPr/>
            </w:pPr>
            <w:r>
              <w:rPr/>
              <w:t> </w:t>
            </w:r>
          </w:p>
        </w:tc>
        <w:tc>
          <w:tcPr>
            <w:tcW w:w="4955" w:type="dxa"/>
            <w:tcBorders/>
            <w:shd w:fill="FFFFFF" w:val="clear"/>
            <w:vAlign w:val="bottom"/>
          </w:tcPr>
          <w:p>
            <w:pPr>
              <w:pStyle w:val="TableContents"/>
              <w:spacing w:before="0" w:after="1"/>
              <w:ind w:left="0" w:right="0" w:hanging="0"/>
              <w:jc w:val="center"/>
              <w:rPr>
                <w:sz w:val="17"/>
              </w:rPr>
            </w:pPr>
            <w:r>
              <w:rPr>
                <w:sz w:val="17"/>
              </w:rPr>
              <w:t>2017 – 2049</w:t>
            </w:r>
          </w:p>
        </w:tc>
        <w:tc>
          <w:tcPr>
            <w:tcW w:w="75" w:type="dxa"/>
            <w:tcBorders/>
            <w:shd w:fill="FFFFFF" w:val="clear"/>
            <w:vAlign w:val="bottom"/>
          </w:tcPr>
          <w:p>
            <w:pPr>
              <w:pStyle w:val="TableContents"/>
              <w:spacing w:before="0" w:after="1"/>
              <w:ind w:left="0" w:right="0" w:hanging="0"/>
              <w:jc w:val="center"/>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935" w:type="dxa"/>
            <w:tcBorders/>
            <w:shd w:fill="CCEEFF" w:val="clear"/>
          </w:tcPr>
          <w:p>
            <w:pPr>
              <w:pStyle w:val="TableContents"/>
              <w:spacing w:before="0" w:after="1"/>
              <w:ind w:left="0" w:right="0" w:hanging="0"/>
              <w:jc w:val="center"/>
              <w:rPr>
                <w:sz w:val="17"/>
              </w:rPr>
            </w:pPr>
            <w:r>
              <w:rPr>
                <w:sz w:val="17"/>
              </w:rPr>
              <w:t>New Zealand</w:t>
            </w:r>
          </w:p>
        </w:tc>
        <w:tc>
          <w:tcPr>
            <w:tcW w:w="60" w:type="dxa"/>
            <w:tcBorders/>
            <w:shd w:fill="CCEEFF" w:val="clear"/>
          </w:tcPr>
          <w:p>
            <w:pPr>
              <w:pStyle w:val="TableContents"/>
              <w:spacing w:before="0" w:after="1"/>
              <w:ind w:left="0" w:right="0" w:hanging="0"/>
              <w:jc w:val="center"/>
              <w:rPr/>
            </w:pPr>
            <w:r>
              <w:rPr/>
              <w:t> </w:t>
            </w:r>
          </w:p>
        </w:tc>
        <w:tc>
          <w:tcPr>
            <w:tcW w:w="1985" w:type="dxa"/>
            <w:tcBorders/>
            <w:shd w:fill="CCEEFF" w:val="clear"/>
            <w:vAlign w:val="bottom"/>
          </w:tcPr>
          <w:p>
            <w:pPr>
              <w:pStyle w:val="TableContents"/>
              <w:spacing w:before="0" w:after="1"/>
              <w:ind w:left="0" w:right="0" w:hanging="0"/>
              <w:jc w:val="center"/>
              <w:rPr>
                <w:sz w:val="17"/>
              </w:rPr>
            </w:pPr>
            <w:r>
              <w:rPr>
                <w:sz w:val="17"/>
              </w:rPr>
              <w:t>141,000</w:t>
            </w:r>
          </w:p>
        </w:tc>
        <w:tc>
          <w:tcPr>
            <w:tcW w:w="60" w:type="dxa"/>
            <w:tcBorders/>
            <w:shd w:fill="CCEEFF" w:val="clear"/>
            <w:vAlign w:val="bottom"/>
          </w:tcPr>
          <w:p>
            <w:pPr>
              <w:pStyle w:val="TableContents"/>
              <w:spacing w:before="0" w:after="1"/>
              <w:ind w:left="0" w:right="0" w:hanging="0"/>
              <w:jc w:val="center"/>
              <w:rPr/>
            </w:pPr>
            <w:r>
              <w:rPr/>
              <w:t> </w:t>
            </w:r>
          </w:p>
        </w:tc>
        <w:tc>
          <w:tcPr>
            <w:tcW w:w="4955" w:type="dxa"/>
            <w:tcBorders/>
            <w:shd w:fill="CCEEFF" w:val="clear"/>
            <w:vAlign w:val="bottom"/>
          </w:tcPr>
          <w:p>
            <w:pPr>
              <w:pStyle w:val="TableContents"/>
              <w:spacing w:before="0" w:after="1"/>
              <w:ind w:left="0" w:right="0" w:hanging="0"/>
              <w:jc w:val="center"/>
              <w:rPr>
                <w:sz w:val="17"/>
              </w:rPr>
            </w:pPr>
            <w:r>
              <w:rPr>
                <w:sz w:val="17"/>
              </w:rPr>
              <w:t>2024 – 2034</w:t>
            </w:r>
          </w:p>
        </w:tc>
        <w:tc>
          <w:tcPr>
            <w:tcW w:w="75" w:type="dxa"/>
            <w:tcBorders/>
            <w:shd w:fill="CCEEFF" w:val="clear"/>
            <w:vAlign w:val="bottom"/>
          </w:tcPr>
          <w:p>
            <w:pPr>
              <w:pStyle w:val="TableContents"/>
              <w:spacing w:before="0" w:after="1"/>
              <w:ind w:left="0" w:right="0" w:hanging="0"/>
              <w:jc w:val="center"/>
              <w:rPr/>
            </w:pPr>
            <w:r>
              <w:rPr/>
              <w:t> </w:t>
            </w:r>
          </w:p>
        </w:tc>
      </w:tr>
    </w:tbl>
    <w:p>
      <w:pPr>
        <w:pStyle w:val="TextBody"/>
        <w:spacing w:before="0" w:after="0"/>
        <w:ind w:left="1440" w:right="0" w:firstLine="720"/>
        <w:jc w:val="both"/>
        <w:rPr/>
      </w:pPr>
      <w:r>
        <w:rPr/>
        <w:t xml:space="preserve">  </w:t>
      </w:r>
    </w:p>
    <w:p>
      <w:pPr>
        <w:pStyle w:val="TextBody"/>
        <w:spacing w:before="0" w:after="200"/>
        <w:ind w:left="1440" w:right="0" w:firstLine="720"/>
        <w:jc w:val="both"/>
        <w:rPr>
          <w:sz w:val="17"/>
        </w:rPr>
      </w:pPr>
      <w:r>
        <w:rPr>
          <w:sz w:val="17"/>
        </w:rPr>
        <w:t xml:space="preserve">During September 2012, we opened an 8-screen art cinema in the Mosaic District in the greater Washington D.C. metropolitan area.  Additionally, during 2012, we elected not to renew the leases of our 4-screen Hastings cinema in New Zealand and our 4-screen Kukui cinema in Hawaii.  We terminated operations with the Hastings cinema in January 2012 and we terminated operations for our Kukui cinema in November 2012.  </w:t>
      </w:r>
    </w:p>
    <w:p>
      <w:pPr>
        <w:pStyle w:val="TextBody"/>
        <w:spacing w:before="0" w:after="200"/>
        <w:ind w:left="1440" w:right="0" w:hanging="0"/>
        <w:jc w:val="both"/>
        <w:rPr>
          <w:sz w:val="17"/>
        </w:rPr>
      </w:pPr>
      <w:r>
        <w:rPr>
          <w:sz w:val="17"/>
          <w:u w:val="single"/>
        </w:rPr>
        <w:t>Entertainment Use Fee Interests</w:t>
      </w:r>
      <w:r>
        <w:rPr>
          <w:sz w:val="17"/>
        </w:rPr>
        <w:t xml:space="preserve"> </w:t>
      </w:r>
    </w:p>
    <w:p>
      <w:pPr>
        <w:pStyle w:val="TextBody"/>
        <w:spacing w:before="0" w:after="200"/>
        <w:ind w:left="1440" w:right="0" w:hanging="0"/>
        <w:jc w:val="both"/>
        <w:rPr/>
      </w:pPr>
      <w:r>
        <w:rPr/>
        <w:t>            </w:t>
      </w:r>
      <w:r>
        <w:rPr>
          <w:sz w:val="17"/>
        </w:rPr>
        <w:t xml:space="preserve">In Australia, as of December 31, 2012, we own approximately 3.2 million square feet of land at nine locations.  Most of this land is located in the greater metropolitan areas of Brisbane, Melbourne, Perth, and Sydney, including the 50.6-acre Burwood site.  Of these fee interests, approximately 145,000 square feet are currently improved with cinemas. </w:t>
      </w:r>
    </w:p>
    <w:p>
      <w:pPr>
        <w:pStyle w:val="TextBody"/>
        <w:spacing w:before="0" w:after="200"/>
        <w:ind w:left="1440" w:right="0" w:hanging="0"/>
        <w:jc w:val="both"/>
        <w:rPr/>
      </w:pPr>
      <w:r>
        <w:rPr/>
        <w:t>            </w:t>
      </w:r>
      <w:r>
        <w:rPr>
          <w:sz w:val="17"/>
        </w:rPr>
        <w:t xml:space="preserve">In New Zealand, as of December 31, 2012, we own approximately 3.4 million square feet of land at seven locations.  This includes the Courtney Central ETRC in Wellington, the 70.3 acre Manakau site, and the fee interests underlying three cinemas in New Zealand, which properties include approximately 22,000 square feet of ancillary retail space.    </w:t>
      </w:r>
    </w:p>
    <w:p>
      <w:pPr>
        <w:pStyle w:val="TextBody"/>
        <w:spacing w:before="0" w:after="200"/>
        <w:ind w:left="1440" w:right="0" w:hanging="0"/>
        <w:jc w:val="both"/>
        <w:rPr/>
      </w:pPr>
      <w:r>
        <w:rPr/>
        <w:t>            </w:t>
      </w:r>
      <w:r>
        <w:rPr>
          <w:sz w:val="17"/>
        </w:rPr>
        <w:t xml:space="preserve">In the United States, as of December 31, 2012, we own approximately 134,000 square feet of improved real estate comprised of four live theater buildings, which include approximately 58,000 square feet of leasable space, and the fee interest in our Cinemas 1, 2 &amp; 3 in Manhattan (held through a limited liability company in which we have a 75% managing member interest). </w:t>
      </w:r>
    </w:p>
    <w:p>
      <w:pPr>
        <w:pStyle w:val="TextBody"/>
        <w:spacing w:before="0" w:after="200"/>
        <w:ind w:left="1440" w:right="0" w:hanging="0"/>
        <w:jc w:val="both"/>
        <w:rPr>
          <w:sz w:val="17"/>
          <w:u w:val="single"/>
        </w:rPr>
      </w:pPr>
      <w:r>
        <w:rPr>
          <w:sz w:val="17"/>
          <w:u w:val="single"/>
        </w:rPr>
        <w:t xml:space="preserve">Live Theaters (“Liberty Theaters”)  </w:t>
      </w:r>
    </w:p>
    <w:p>
      <w:pPr>
        <w:pStyle w:val="TextBody"/>
        <w:spacing w:before="0" w:after="200"/>
        <w:ind w:left="1440" w:right="0" w:hanging="0"/>
        <w:jc w:val="both"/>
        <w:rPr/>
      </w:pPr>
      <w:r>
        <w:rPr/>
        <w:t>            </w:t>
      </w:r>
      <w:r>
        <w:rPr>
          <w:sz w:val="17"/>
        </w:rPr>
        <w:t xml:space="preserve">Included among our real estate holdings are four “Off Broadway” style live theaters, operated through our Liberty Theaters subsidiary.  We license theater auditoriums to the producers of “Off Broadway” theatrical productions and provide various box office and concession services.  The terms of our licenses are, naturally, principally dependent upon the commercial success of our tenants.  STOMP has been playing at our Orpheum Theatre in excess of 16 years.  While we attempt to choose productions that we believe will be successful, we have no control over the production itself.  At the current time, we have three single auditorium theaters in Manhattan: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2200" w:type="dxa"/>
        <w:jc w:val="left"/>
        <w:tblInd w:w="1440" w:type="dxa"/>
        <w:tblCellMar>
          <w:top w:w="0" w:type="dxa"/>
          <w:left w:w="0" w:type="dxa"/>
          <w:bottom w:w="0" w:type="dxa"/>
          <w:right w:w="0" w:type="dxa"/>
        </w:tblCellMar>
      </w:tblPr>
      <w:tblGrid>
        <w:gridCol w:w="155"/>
        <w:gridCol w:w="204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045" w:type="dxa"/>
            <w:tcBorders/>
            <w:shd w:fill="auto" w:val="clear"/>
          </w:tcPr>
          <w:p>
            <w:pPr>
              <w:pStyle w:val="TableContents"/>
              <w:pBdr/>
              <w:spacing w:before="0" w:after="283"/>
              <w:jc w:val="both"/>
              <w:rPr>
                <w:sz w:val="17"/>
              </w:rPr>
            </w:pPr>
            <w:r>
              <w:rPr>
                <w:sz w:val="17"/>
              </w:rPr>
              <w:t>the Minetta Lane (399 seats);</w:t>
            </w:r>
          </w:p>
        </w:tc>
      </w:tr>
    </w:tbl>
    <w:tbl>
      <w:tblPr>
        <w:tblW w:w="2245" w:type="dxa"/>
        <w:jc w:val="left"/>
        <w:tblInd w:w="1440" w:type="dxa"/>
        <w:tblCellMar>
          <w:top w:w="0" w:type="dxa"/>
          <w:left w:w="0" w:type="dxa"/>
          <w:bottom w:w="0" w:type="dxa"/>
          <w:right w:w="0" w:type="dxa"/>
        </w:tblCellMar>
      </w:tblPr>
      <w:tblGrid>
        <w:gridCol w:w="155"/>
        <w:gridCol w:w="20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090" w:type="dxa"/>
            <w:tcBorders/>
            <w:shd w:fill="auto" w:val="clear"/>
          </w:tcPr>
          <w:p>
            <w:pPr>
              <w:pStyle w:val="TableContents"/>
              <w:pBdr/>
              <w:spacing w:before="0" w:after="283"/>
              <w:jc w:val="both"/>
              <w:rPr>
                <w:sz w:val="17"/>
              </w:rPr>
            </w:pPr>
            <w:r>
              <w:rPr>
                <w:sz w:val="17"/>
              </w:rPr>
              <w:t>the Orpheum (347 seats); and</w:t>
            </w:r>
          </w:p>
        </w:tc>
      </w:tr>
    </w:tbl>
    <w:tbl>
      <w:tblPr>
        <w:tblW w:w="2245" w:type="dxa"/>
        <w:jc w:val="left"/>
        <w:tblInd w:w="1440" w:type="dxa"/>
        <w:tblCellMar>
          <w:top w:w="0" w:type="dxa"/>
          <w:left w:w="0" w:type="dxa"/>
          <w:bottom w:w="0" w:type="dxa"/>
          <w:right w:w="0" w:type="dxa"/>
        </w:tblCellMar>
      </w:tblPr>
      <w:tblGrid>
        <w:gridCol w:w="155"/>
        <w:gridCol w:w="20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090" w:type="dxa"/>
            <w:tcBorders/>
            <w:shd w:fill="auto" w:val="clear"/>
          </w:tcPr>
          <w:p>
            <w:pPr>
              <w:pStyle w:val="TableContents"/>
              <w:pBdr/>
              <w:spacing w:before="0" w:after="283"/>
              <w:jc w:val="both"/>
              <w:rPr>
                <w:sz w:val="17"/>
              </w:rPr>
            </w:pPr>
            <w:r>
              <w:rPr>
                <w:sz w:val="17"/>
              </w:rPr>
              <w:t>the Union Square (499 seats).</w:t>
            </w:r>
          </w:p>
        </w:tc>
      </w:tr>
    </w:tbl>
    <w:p>
      <w:pPr>
        <w:pStyle w:val="TextBody"/>
        <w:spacing w:before="200" w:after="200"/>
        <w:ind w:left="1440" w:right="0" w:firstLine="662"/>
        <w:jc w:val="both"/>
        <w:rPr>
          <w:sz w:val="17"/>
        </w:rPr>
      </w:pPr>
      <w:r>
        <w:rPr>
          <w:sz w:val="17"/>
        </w:rPr>
        <w:t xml:space="preserve">We also own a four-auditorium theater complex, the Royal George in Chicago (main stage 452 seats, cabaret 199 seats, great room 100 seats and gallery 60 seats).  Two of the properties, the Union Square and the Royal George, have ancillary retail and office space. </w:t>
      </w:r>
    </w:p>
    <w:p>
      <w:pPr>
        <w:pStyle w:val="TextBody"/>
        <w:spacing w:before="0" w:after="200"/>
        <w:ind w:left="1440" w:right="0" w:firstLine="660"/>
        <w:jc w:val="both"/>
        <w:rPr>
          <w:sz w:val="17"/>
        </w:rPr>
      </w:pPr>
      <w:r>
        <w:rPr>
          <w:sz w:val="17"/>
        </w:rPr>
        <w:t xml:space="preserve">Liberty Theaters is primarily in the business of renting theater space.  However, we may from time to time participate as an investor in a play, which can help facilitate the production of the play at one of our facilities, and do from time to time rent space on a basis that allows us to share in a production’s revenue or profits.  Revenue, expense, and profits are reported as a part of the real estate segment of our business. </w:t>
      </w:r>
    </w:p>
    <w:p>
      <w:pPr>
        <w:pStyle w:val="TextBody"/>
        <w:spacing w:before="0" w:after="200"/>
        <w:ind w:left="1440" w:right="0" w:hanging="0"/>
        <w:jc w:val="both"/>
        <w:rPr>
          <w:sz w:val="17"/>
        </w:rPr>
      </w:pPr>
      <w:r>
        <w:rPr>
          <w:sz w:val="17"/>
          <w:u w:val="single"/>
        </w:rPr>
        <w:t>Joint Venture Cinema Interests</w:t>
      </w:r>
      <w:r>
        <w:rPr>
          <w:sz w:val="17"/>
        </w:rPr>
        <w:t xml:space="preserve"> </w:t>
      </w:r>
    </w:p>
    <w:p>
      <w:pPr>
        <w:pStyle w:val="TextBody"/>
        <w:spacing w:before="0" w:after="200"/>
        <w:ind w:left="1440" w:right="0" w:hanging="0"/>
        <w:jc w:val="both"/>
        <w:rPr/>
      </w:pPr>
      <w:r>
        <w:rPr/>
        <w:t>            </w:t>
      </w:r>
      <w:r>
        <w:rPr>
          <w:sz w:val="17"/>
        </w:rPr>
        <w:t xml:space="preserve">We also hold real estate through several unincorporated joint ventures, two 75% owned subsidiaries, and one majority-owned subsidiary, as described below: </w:t>
      </w:r>
    </w:p>
    <w:tbl>
      <w:tblPr>
        <w:tblW w:w="8765" w:type="dxa"/>
        <w:jc w:val="left"/>
        <w:tblInd w:w="1440" w:type="dxa"/>
        <w:tblCellMar>
          <w:top w:w="0" w:type="dxa"/>
          <w:left w:w="0" w:type="dxa"/>
          <w:bottom w:w="0" w:type="dxa"/>
          <w:right w:w="0" w:type="dxa"/>
        </w:tblCellMar>
      </w:tblPr>
      <w:tblGrid>
        <w:gridCol w:w="131"/>
        <w:gridCol w:w="8634"/>
      </w:tblGrid>
      <w:tr>
        <w:trPr/>
        <w:tc>
          <w:tcPr>
            <w:tcW w:w="131"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4" w:type="dxa"/>
            <w:tcBorders/>
            <w:shd w:fill="auto" w:val="clear"/>
          </w:tcPr>
          <w:p>
            <w:pPr>
              <w:pStyle w:val="TableContents"/>
              <w:pBdr/>
              <w:spacing w:before="0" w:after="283"/>
              <w:jc w:val="both"/>
              <w:rPr>
                <w:sz w:val="17"/>
              </w:rPr>
            </w:pPr>
            <w:r>
              <w:rPr>
                <w:sz w:val="17"/>
              </w:rPr>
              <w:t xml:space="preserve">in Australia, we own a 75% interest in a subsidiary company that leases two cinemas with eleven screens in two Australian country towns, and a 33% unincorporated joint venture interest in a 16-screen leasehold cinema in a suburb of Brisbane.  </w:t>
            </w:r>
          </w:p>
        </w:tc>
      </w:tr>
    </w:tbl>
    <w:tbl>
      <w:tblPr>
        <w:tblW w:w="8765" w:type="dxa"/>
        <w:jc w:val="left"/>
        <w:tblInd w:w="1440" w:type="dxa"/>
        <w:tblCellMar>
          <w:top w:w="0" w:type="dxa"/>
          <w:left w:w="0" w:type="dxa"/>
          <w:bottom w:w="0" w:type="dxa"/>
          <w:right w:w="0" w:type="dxa"/>
        </w:tblCellMar>
      </w:tblPr>
      <w:tblGrid>
        <w:gridCol w:w="145"/>
        <w:gridCol w:w="8620"/>
      </w:tblGrid>
      <w:tr>
        <w:trPr/>
        <w:tc>
          <w:tcPr>
            <w:tcW w:w="14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0" w:type="dxa"/>
            <w:tcBorders/>
            <w:shd w:fill="auto" w:val="clear"/>
          </w:tcPr>
          <w:p>
            <w:pPr>
              <w:pStyle w:val="TableContents"/>
              <w:pBdr/>
              <w:spacing w:before="0" w:after="283"/>
              <w:jc w:val="both"/>
              <w:rPr>
                <w:sz w:val="17"/>
              </w:rPr>
            </w:pPr>
            <w:r>
              <w:rPr>
                <w:sz w:val="17"/>
              </w:rPr>
              <w:t xml:space="preserve">in New Zealand, we own a 50% unincorporated joint venture interest in two cinemas with 13 screens in the New Zealand cities of Auckland and Dunedin.  </w:t>
            </w:r>
          </w:p>
        </w:tc>
      </w:tr>
    </w:tbl>
    <w:tbl>
      <w:tblPr>
        <w:tblW w:w="8765" w:type="dxa"/>
        <w:jc w:val="left"/>
        <w:tblInd w:w="1440" w:type="dxa"/>
        <w:tblCellMar>
          <w:top w:w="0" w:type="dxa"/>
          <w:left w:w="0" w:type="dxa"/>
          <w:bottom w:w="0" w:type="dxa"/>
          <w:right w:w="0" w:type="dxa"/>
        </w:tblCellMar>
      </w:tblPr>
      <w:tblGrid>
        <w:gridCol w:w="117"/>
        <w:gridCol w:w="8648"/>
      </w:tblGrid>
      <w:tr>
        <w:trPr/>
        <w:tc>
          <w:tcPr>
            <w:tcW w:w="11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8" w:type="dxa"/>
            <w:tcBorders/>
            <w:shd w:fill="auto" w:val="clear"/>
          </w:tcPr>
          <w:p>
            <w:pPr>
              <w:pStyle w:val="TableContents"/>
              <w:pBdr/>
              <w:spacing w:before="0" w:after="283"/>
              <w:jc w:val="both"/>
              <w:rPr>
                <w:sz w:val="17"/>
              </w:rPr>
            </w:pPr>
            <w:r>
              <w:rPr>
                <w:sz w:val="17"/>
              </w:rPr>
              <w:t xml:space="preserve">In the United States, we own a 50% membership interest in Angelika Film Center, LLC, which holds the lease to the approximately 17,000 square foot Angelika Film Center &amp; Café in the Soho district of Manhattan.  We also hold the management rights with respect to this asset.  We also own a 75% managing member interest in the limited liability company that owns our Cinemas 1, 2 &amp; 3 property and a 50% managing member interest in Shadow View Land &amp; Farming, LLC which owns an approximately 202-acre property in Riverside County, California which, while zoned residential and approved for 823 single family lots. </w:t>
            </w:r>
          </w:p>
        </w:tc>
      </w:tr>
    </w:tbl>
    <w:p>
      <w:pPr>
        <w:pStyle w:val="TextBody"/>
        <w:pBdr/>
        <w:spacing w:before="0" w:after="0"/>
        <w:ind w:left="2462"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b/>
          <w:sz w:val="17"/>
          <w:u w:val="single"/>
        </w:rPr>
        <w:t>Income Operating Property</w:t>
      </w:r>
      <w:r>
        <w:rPr>
          <w:sz w:val="17"/>
        </w:rPr>
        <w:t xml:space="preserve"> </w:t>
      </w:r>
    </w:p>
    <w:p>
      <w:pPr>
        <w:pStyle w:val="TextBody"/>
        <w:spacing w:before="0" w:after="200"/>
        <w:ind w:left="1440" w:right="0" w:hanging="0"/>
        <w:jc w:val="both"/>
        <w:rPr/>
      </w:pPr>
      <w:r>
        <w:rPr/>
        <w:t>            </w:t>
      </w:r>
      <w:r>
        <w:rPr>
          <w:sz w:val="17"/>
        </w:rPr>
        <w:t xml:space="preserve">As of December 31, 2012, we own fee interests in approximately 1.0 million square feet of income producing properties (including certain properties principally occupied by our cinemas).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5615" w:type="dxa"/>
        <w:jc w:val="left"/>
        <w:tblInd w:w="1440" w:type="dxa"/>
        <w:tblCellMar>
          <w:top w:w="0" w:type="dxa"/>
          <w:left w:w="0" w:type="dxa"/>
          <w:bottom w:w="0" w:type="dxa"/>
          <w:right w:w="0" w:type="dxa"/>
        </w:tblCellMar>
      </w:tblPr>
      <w:tblGrid>
        <w:gridCol w:w="1805"/>
        <w:gridCol w:w="1640"/>
        <w:gridCol w:w="830"/>
        <w:gridCol w:w="1340"/>
      </w:tblGrid>
      <w:tr>
        <w:trPr/>
        <w:tc>
          <w:tcPr>
            <w:tcW w:w="1805"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340" w:type="dxa"/>
            <w:tcBorders/>
            <w:shd w:fill="auto" w:val="clear"/>
            <w:vAlign w:val="bottom"/>
          </w:tcPr>
          <w:p>
            <w:pPr>
              <w:pStyle w:val="TableContents"/>
              <w:spacing w:before="0" w:after="1"/>
              <w:ind w:left="0" w:right="0" w:hanging="0"/>
              <w:jc w:val="both"/>
              <w:rPr/>
            </w:pPr>
            <w:r>
              <w:rPr/>
              <w:t> </w:t>
            </w:r>
          </w:p>
        </w:tc>
      </w:tr>
      <w:tr>
        <w:trPr/>
        <w:tc>
          <w:tcPr>
            <w:tcW w:w="180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3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r>
      <w:tr>
        <w:trPr/>
        <w:tc>
          <w:tcPr>
            <w:tcW w:w="1805"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6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b/>
                <w:sz w:val="17"/>
              </w:rPr>
            </w:pPr>
            <w:r>
              <w:rPr>
                <w:b/>
                <w:sz w:val="17"/>
              </w:rPr>
              <w:t xml:space="preserve">Square Feet of </w:t>
            </w:r>
          </w:p>
        </w:tc>
        <w:tc>
          <w:tcPr>
            <w:tcW w:w="83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r>
      <w:tr>
        <w:trPr/>
        <w:tc>
          <w:tcPr>
            <w:tcW w:w="1805"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both"/>
              <w:rPr/>
            </w:pPr>
            <w:r>
              <w:rPr/>
              <w:t> </w:t>
            </w:r>
          </w:p>
        </w:tc>
        <w:tc>
          <w:tcPr>
            <w:tcW w:w="16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Improvements</w:t>
            </w:r>
          </w:p>
        </w:tc>
        <w:tc>
          <w:tcPr>
            <w:tcW w:w="83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Percentage</w:t>
            </w:r>
          </w:p>
        </w:tc>
        <w:tc>
          <w:tcPr>
            <w:tcW w:w="13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Gross Book Value</w:t>
            </w:r>
          </w:p>
        </w:tc>
      </w:tr>
      <w:tr>
        <w:trPr/>
        <w:tc>
          <w:tcPr>
            <w:tcW w:w="1805"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Property7</w:t>
            </w:r>
          </w:p>
        </w:tc>
        <w:tc>
          <w:tcPr>
            <w:tcW w:w="16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(rental/entertainment)</w:t>
            </w:r>
          </w:p>
        </w:tc>
        <w:tc>
          <w:tcPr>
            <w:tcW w:w="83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Leased</w:t>
            </w:r>
          </w:p>
        </w:tc>
        <w:tc>
          <w:tcPr>
            <w:tcW w:w="13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(in U.S. Dollars)</w:t>
            </w:r>
          </w:p>
        </w:tc>
      </w:tr>
      <w:tr>
        <w:trPr/>
        <w:tc>
          <w:tcPr>
            <w:tcW w:w="1805"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pPr>
            <w:r>
              <w:rPr/>
              <w:t> </w:t>
            </w:r>
          </w:p>
        </w:tc>
        <w:tc>
          <w:tcPr>
            <w:tcW w:w="16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r>
      <w:tr>
        <w:trPr/>
        <w:tc>
          <w:tcPr>
            <w:tcW w:w="180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Auburn</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60000 / 57000</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both"/>
              <w:rPr/>
            </w:pPr>
            <w:r>
              <w:rPr/>
              <w:t> </w:t>
            </w:r>
          </w:p>
        </w:tc>
      </w:tr>
      <w:tr>
        <w:trPr/>
        <w:tc>
          <w:tcPr>
            <w:tcW w:w="180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 Parramatta Road</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Plus a 871-space</w:t>
            </w:r>
          </w:p>
        </w:tc>
        <w:tc>
          <w:tcPr>
            <w:tcW w:w="83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$35,894,000</w:t>
            </w:r>
          </w:p>
        </w:tc>
      </w:tr>
      <w:tr>
        <w:trPr/>
        <w:tc>
          <w:tcPr>
            <w:tcW w:w="180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Auburn, NSW, Australia</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parking structure</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r>
      <w:tr>
        <w:trPr/>
        <w:tc>
          <w:tcPr>
            <w:tcW w:w="180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both"/>
              <w:rPr/>
            </w:pPr>
            <w:r>
              <w:rPr/>
              <w:t> </w:t>
            </w:r>
          </w:p>
        </w:tc>
        <w:tc>
          <w:tcPr>
            <w:tcW w:w="83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180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Belmont</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180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 xml:space="preserve">Knutsford Avenue and </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15000 / 52000</w:t>
            </w:r>
          </w:p>
        </w:tc>
        <w:tc>
          <w:tcPr>
            <w:tcW w:w="83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78%</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$16,102,000</w:t>
            </w:r>
          </w:p>
        </w:tc>
      </w:tr>
      <w:tr>
        <w:trPr/>
        <w:tc>
          <w:tcPr>
            <w:tcW w:w="180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Fulham Street</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r>
      <w:tr>
        <w:trPr/>
        <w:tc>
          <w:tcPr>
            <w:tcW w:w="180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sz w:val="17"/>
              </w:rPr>
            </w:pPr>
            <w:r>
              <w:rPr>
                <w:sz w:val="17"/>
              </w:rPr>
              <w:t>Belmont, WA, Australia</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180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Cinemas 1, 2 &amp; 38</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83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180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1003 Third Avenue</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0 / 21000</w:t>
            </w:r>
          </w:p>
        </w:tc>
        <w:tc>
          <w:tcPr>
            <w:tcW w:w="83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$23,626,000</w:t>
            </w:r>
          </w:p>
        </w:tc>
      </w:tr>
      <w:tr>
        <w:trPr/>
        <w:tc>
          <w:tcPr>
            <w:tcW w:w="180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Manhattan, NY, USA</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1805"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r>
      <w:tr>
        <w:trPr/>
        <w:tc>
          <w:tcPr>
            <w:tcW w:w="180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Courtenay Central</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38000 / 71000</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both"/>
              <w:rPr/>
            </w:pPr>
            <w:r>
              <w:rPr/>
              <w:t> </w:t>
            </w:r>
          </w:p>
        </w:tc>
      </w:tr>
      <w:tr>
        <w:trPr/>
        <w:tc>
          <w:tcPr>
            <w:tcW w:w="180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 Courtenay Place</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Plus a 1,086-space</w:t>
            </w:r>
          </w:p>
        </w:tc>
        <w:tc>
          <w:tcPr>
            <w:tcW w:w="83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75%</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$26,237,000</w:t>
            </w:r>
          </w:p>
        </w:tc>
      </w:tr>
      <w:tr>
        <w:trPr/>
        <w:tc>
          <w:tcPr>
            <w:tcW w:w="180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Wellington, New Zealand</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parking structure</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r>
      <w:tr>
        <w:trPr/>
        <w:tc>
          <w:tcPr>
            <w:tcW w:w="1805"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64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both"/>
              <w:rPr/>
            </w:pPr>
            <w:r>
              <w:rPr/>
              <w:t> </w:t>
            </w:r>
          </w:p>
        </w:tc>
        <w:tc>
          <w:tcPr>
            <w:tcW w:w="83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3"/>
        </w:rPr>
      </w:pPr>
      <w:r>
        <w:rPr>
          <w:sz w:val="13"/>
        </w:rPr>
        <w:t xml:space="preserve">[7] Rental square footage refers to the amount of area available to be rented to third parties and the percentage leased is the amount of such rental square footage currently leased to third parties.  A number of our real estate holdings include entertainment components rented to one or more of our subsidiaries.  The rental area to such subsidiaries is noted under the entertainment square footage.  The gross book value refers to the gross carrying cost of the land and buildings of the property.  Book value and rental information are as of December 31, 2012. </w:t>
      </w:r>
    </w:p>
    <w:p>
      <w:pPr>
        <w:pStyle w:val="TextBody"/>
        <w:spacing w:before="0" w:after="200"/>
        <w:ind w:left="1440" w:right="0" w:hanging="0"/>
        <w:jc w:val="both"/>
        <w:rPr>
          <w:sz w:val="13"/>
        </w:rPr>
      </w:pPr>
      <w:r>
        <w:rPr>
          <w:sz w:val="13"/>
        </w:rPr>
        <w:t xml:space="preserve">[8] This property is owned by a limited liability company in which we hold a 75% managing interest.  The remaining 25% is owned by Sutton Hill Investments, LLC, a company owned in equal parts by our Chairman and Chief Executive Officer, Mr. James J. Cotter, and Michael Forman.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6245" w:type="dxa"/>
        <w:jc w:val="left"/>
        <w:tblInd w:w="1440" w:type="dxa"/>
        <w:tblCellMar>
          <w:top w:w="0" w:type="dxa"/>
          <w:left w:w="0" w:type="dxa"/>
          <w:bottom w:w="0" w:type="dxa"/>
          <w:right w:w="0" w:type="dxa"/>
        </w:tblCellMar>
      </w:tblPr>
      <w:tblGrid>
        <w:gridCol w:w="2000"/>
        <w:gridCol w:w="1640"/>
        <w:gridCol w:w="1265"/>
        <w:gridCol w:w="1340"/>
      </w:tblGrid>
      <w:tr>
        <w:trPr/>
        <w:tc>
          <w:tcPr>
            <w:tcW w:w="200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1265" w:type="dxa"/>
            <w:tcBorders/>
            <w:shd w:fill="auto" w:val="clear"/>
            <w:vAlign w:val="bottom"/>
          </w:tcPr>
          <w:p>
            <w:pPr>
              <w:pStyle w:val="TableContents"/>
              <w:spacing w:before="0" w:after="1"/>
              <w:ind w:left="0" w:right="0" w:hanging="0"/>
              <w:jc w:val="both"/>
              <w:rPr/>
            </w:pPr>
            <w:r>
              <w:rPr/>
              <w:t> </w:t>
            </w:r>
          </w:p>
        </w:tc>
        <w:tc>
          <w:tcPr>
            <w:tcW w:w="1340" w:type="dxa"/>
            <w:tcBorders/>
            <w:shd w:fill="auto" w:val="clear"/>
            <w:vAlign w:val="bottom"/>
          </w:tcPr>
          <w:p>
            <w:pPr>
              <w:pStyle w:val="TableContents"/>
              <w:spacing w:before="0" w:after="1"/>
              <w:ind w:left="0" w:right="0" w:hanging="0"/>
              <w:jc w:val="both"/>
              <w:rPr/>
            </w:pPr>
            <w:r>
              <w:rPr/>
              <w:t> </w:t>
            </w:r>
          </w:p>
        </w:tc>
      </w:tr>
      <w:tr>
        <w:trPr/>
        <w:tc>
          <w:tcPr>
            <w:tcW w:w="200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26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3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r>
      <w:tr>
        <w:trPr/>
        <w:tc>
          <w:tcPr>
            <w:tcW w:w="200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6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b/>
                <w:sz w:val="17"/>
              </w:rPr>
            </w:pPr>
            <w:r>
              <w:rPr>
                <w:b/>
                <w:sz w:val="17"/>
              </w:rPr>
              <w:t xml:space="preserve">Square Feet of </w:t>
            </w:r>
          </w:p>
        </w:tc>
        <w:tc>
          <w:tcPr>
            <w:tcW w:w="1265"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r>
      <w:tr>
        <w:trPr/>
        <w:tc>
          <w:tcPr>
            <w:tcW w:w="200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both"/>
              <w:rPr/>
            </w:pPr>
            <w:r>
              <w:rPr/>
              <w:t> </w:t>
            </w:r>
          </w:p>
        </w:tc>
        <w:tc>
          <w:tcPr>
            <w:tcW w:w="16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Improvements</w:t>
            </w:r>
          </w:p>
        </w:tc>
        <w:tc>
          <w:tcPr>
            <w:tcW w:w="1265"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Percentage</w:t>
            </w:r>
          </w:p>
        </w:tc>
        <w:tc>
          <w:tcPr>
            <w:tcW w:w="13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Gross Book Value</w:t>
            </w:r>
          </w:p>
        </w:tc>
      </w:tr>
      <w:tr>
        <w:trPr/>
        <w:tc>
          <w:tcPr>
            <w:tcW w:w="200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Property</w:t>
            </w:r>
          </w:p>
        </w:tc>
        <w:tc>
          <w:tcPr>
            <w:tcW w:w="16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(rental/entertainment)</w:t>
            </w:r>
          </w:p>
        </w:tc>
        <w:tc>
          <w:tcPr>
            <w:tcW w:w="1265"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Leased</w:t>
            </w:r>
          </w:p>
        </w:tc>
        <w:tc>
          <w:tcPr>
            <w:tcW w:w="13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(in U.S. Dollars)</w:t>
            </w:r>
          </w:p>
        </w:tc>
      </w:tr>
      <w:tr>
        <w:trPr/>
        <w:tc>
          <w:tcPr>
            <w:tcW w:w="200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Invercargill Cinema</w:t>
            </w:r>
          </w:p>
        </w:tc>
        <w:tc>
          <w:tcPr>
            <w:tcW w:w="164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29 Dee Street</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10000 / 24000</w:t>
            </w:r>
          </w:p>
        </w:tc>
        <w:tc>
          <w:tcPr>
            <w:tcW w:w="126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72%</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$3,243,000</w:t>
            </w:r>
          </w:p>
        </w:tc>
      </w:tr>
      <w:tr>
        <w:trPr/>
        <w:tc>
          <w:tcPr>
            <w:tcW w:w="20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Invercargill, New Zealand</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sz w:val="17"/>
              </w:rPr>
            </w:pPr>
            <w:r>
              <w:rPr>
                <w:sz w:val="17"/>
              </w:rPr>
              <w:t>Lake Taupo Motel</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138-140 Lake Terrace Road</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9000 / 0</w:t>
            </w:r>
          </w:p>
        </w:tc>
        <w:tc>
          <w:tcPr>
            <w:tcW w:w="126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Short-term rentals</w:t>
            </w:r>
          </w:p>
        </w:tc>
        <w:tc>
          <w:tcPr>
            <w:tcW w:w="1340" w:type="dxa"/>
            <w:tcBorders>
              <w:left w:val="single" w:sz="8" w:space="0" w:color="000000"/>
              <w:right w:val="single" w:sz="8" w:space="0" w:color="000000"/>
            </w:tcBorders>
            <w:shd w:fill="CCEEFF" w:val="clear"/>
            <w:tcMar>
              <w:left w:w="28" w:type="dxa"/>
              <w:right w:w="28" w:type="dxa"/>
            </w:tcMar>
            <w:vAlign w:val="center"/>
          </w:tcPr>
          <w:p>
            <w:pPr>
              <w:pStyle w:val="TableContents"/>
              <w:spacing w:before="0" w:after="1"/>
              <w:ind w:left="0" w:right="0" w:hanging="0"/>
              <w:jc w:val="center"/>
              <w:rPr>
                <w:sz w:val="17"/>
              </w:rPr>
            </w:pPr>
            <w:r>
              <w:rPr>
                <w:sz w:val="17"/>
              </w:rPr>
              <w:t>$2,283,000</w:t>
            </w:r>
          </w:p>
        </w:tc>
      </w:tr>
      <w:tr>
        <w:trPr/>
        <w:tc>
          <w:tcPr>
            <w:tcW w:w="200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sz w:val="17"/>
              </w:rPr>
            </w:pPr>
            <w:r>
              <w:rPr>
                <w:sz w:val="17"/>
              </w:rPr>
              <w:t>Taupo, New Zealand</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Maitland Cinema</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Ken Tubman Drive</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0 / 22000</w:t>
            </w:r>
          </w:p>
        </w:tc>
        <w:tc>
          <w:tcPr>
            <w:tcW w:w="126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$2,472,000</w:t>
            </w:r>
          </w:p>
        </w:tc>
      </w:tr>
      <w:tr>
        <w:trPr/>
        <w:tc>
          <w:tcPr>
            <w:tcW w:w="20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Maitland, NSW, Australia</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sz w:val="17"/>
              </w:rPr>
            </w:pPr>
            <w:r>
              <w:rPr>
                <w:sz w:val="17"/>
              </w:rPr>
              <w:t>Minetta Lane Theatre</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18-22 Minetta Lane</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0 / 9000</w:t>
            </w:r>
          </w:p>
        </w:tc>
        <w:tc>
          <w:tcPr>
            <w:tcW w:w="126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CCEEFF" w:val="clear"/>
            <w:tcMar>
              <w:left w:w="28" w:type="dxa"/>
              <w:right w:w="28" w:type="dxa"/>
            </w:tcMar>
            <w:vAlign w:val="center"/>
          </w:tcPr>
          <w:p>
            <w:pPr>
              <w:pStyle w:val="TableContents"/>
              <w:spacing w:before="0" w:after="1"/>
              <w:ind w:left="0" w:right="0" w:hanging="0"/>
              <w:jc w:val="center"/>
              <w:rPr>
                <w:sz w:val="17"/>
              </w:rPr>
            </w:pPr>
            <w:r>
              <w:rPr>
                <w:sz w:val="17"/>
              </w:rPr>
              <w:t>$8,354,000</w:t>
            </w:r>
          </w:p>
        </w:tc>
      </w:tr>
      <w:tr>
        <w:trPr/>
        <w:tc>
          <w:tcPr>
            <w:tcW w:w="200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sz w:val="17"/>
              </w:rPr>
            </w:pPr>
            <w:r>
              <w:rPr>
                <w:sz w:val="17"/>
              </w:rPr>
              <w:t>Manhattan, NY, USA</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Napier Cinema</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154 Station Street</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12000 / 17000</w:t>
            </w:r>
          </w:p>
        </w:tc>
        <w:tc>
          <w:tcPr>
            <w:tcW w:w="126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$3,547,000</w:t>
            </w:r>
          </w:p>
        </w:tc>
      </w:tr>
      <w:tr>
        <w:trPr/>
        <w:tc>
          <w:tcPr>
            <w:tcW w:w="20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Napier, New Zealand</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sz w:val="17"/>
              </w:rPr>
            </w:pPr>
            <w:r>
              <w:rPr>
                <w:sz w:val="17"/>
              </w:rPr>
              <w:t>Newmarket</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265"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400 Newmarket Road</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93000 / 0</w:t>
            </w:r>
          </w:p>
        </w:tc>
        <w:tc>
          <w:tcPr>
            <w:tcW w:w="126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Newmarket, Queensland,</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Plus a 436-space</w:t>
            </w:r>
          </w:p>
        </w:tc>
        <w:tc>
          <w:tcPr>
            <w:tcW w:w="126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97%</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$45,087,000</w:t>
            </w:r>
          </w:p>
        </w:tc>
      </w:tr>
      <w:tr>
        <w:trPr/>
        <w:tc>
          <w:tcPr>
            <w:tcW w:w="20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Australia</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parking structure</w:t>
            </w:r>
          </w:p>
        </w:tc>
        <w:tc>
          <w:tcPr>
            <w:tcW w:w="126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sz w:val="17"/>
              </w:rPr>
            </w:pPr>
            <w:r>
              <w:rPr>
                <w:sz w:val="17"/>
              </w:rPr>
              <w:t>Orpheum Theatre</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126 2nd Street</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0 / 5000</w:t>
            </w:r>
          </w:p>
        </w:tc>
        <w:tc>
          <w:tcPr>
            <w:tcW w:w="126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CCEEFF" w:val="clear"/>
            <w:tcMar>
              <w:left w:w="28" w:type="dxa"/>
              <w:right w:w="28" w:type="dxa"/>
            </w:tcMar>
            <w:vAlign w:val="center"/>
          </w:tcPr>
          <w:p>
            <w:pPr>
              <w:pStyle w:val="TableContents"/>
              <w:spacing w:before="0" w:after="1"/>
              <w:ind w:left="0" w:right="0" w:hanging="0"/>
              <w:jc w:val="center"/>
              <w:rPr>
                <w:sz w:val="17"/>
              </w:rPr>
            </w:pPr>
            <w:r>
              <w:rPr>
                <w:sz w:val="17"/>
              </w:rPr>
              <w:t>$3,439,000</w:t>
            </w:r>
          </w:p>
        </w:tc>
      </w:tr>
      <w:tr>
        <w:trPr/>
        <w:tc>
          <w:tcPr>
            <w:tcW w:w="200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sz w:val="17"/>
              </w:rPr>
            </w:pPr>
            <w:r>
              <w:rPr>
                <w:sz w:val="17"/>
              </w:rPr>
              <w:t>Manhattan, NY, USA</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Royal George</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37000 / 23000</w:t>
            </w:r>
          </w:p>
        </w:tc>
        <w:tc>
          <w:tcPr>
            <w:tcW w:w="126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1633 N. Halsted Street</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Plus a 55-space</w:t>
            </w:r>
          </w:p>
        </w:tc>
        <w:tc>
          <w:tcPr>
            <w:tcW w:w="126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91%</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$3,415,000</w:t>
            </w:r>
          </w:p>
        </w:tc>
      </w:tr>
      <w:tr>
        <w:trPr/>
        <w:tc>
          <w:tcPr>
            <w:tcW w:w="20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Chicago, IL, USA</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parking structure</w:t>
            </w:r>
          </w:p>
        </w:tc>
        <w:tc>
          <w:tcPr>
            <w:tcW w:w="126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sz w:val="17"/>
              </w:rPr>
            </w:pPr>
            <w:r>
              <w:rPr>
                <w:sz w:val="17"/>
              </w:rPr>
              <w:t>Rotorua Cinema</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1281 Eruera Street</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0 / 19000</w:t>
            </w:r>
          </w:p>
        </w:tc>
        <w:tc>
          <w:tcPr>
            <w:tcW w:w="1265"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CCEEFF" w:val="clear"/>
            <w:tcMar>
              <w:left w:w="28" w:type="dxa"/>
              <w:right w:w="28" w:type="dxa"/>
            </w:tcMar>
            <w:vAlign w:val="center"/>
          </w:tcPr>
          <w:p>
            <w:pPr>
              <w:pStyle w:val="TableContents"/>
              <w:spacing w:before="0" w:after="1"/>
              <w:ind w:left="0" w:right="0" w:hanging="0"/>
              <w:jc w:val="center"/>
              <w:rPr>
                <w:sz w:val="17"/>
              </w:rPr>
            </w:pPr>
            <w:r>
              <w:rPr>
                <w:sz w:val="17"/>
              </w:rPr>
              <w:t>$3,044,000</w:t>
            </w:r>
          </w:p>
        </w:tc>
      </w:tr>
      <w:tr>
        <w:trPr/>
        <w:tc>
          <w:tcPr>
            <w:tcW w:w="200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sz w:val="17"/>
              </w:rPr>
            </w:pPr>
            <w:r>
              <w:rPr>
                <w:sz w:val="17"/>
              </w:rPr>
              <w:t>Rotorua, New Zealand</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20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sz w:val="17"/>
              </w:rPr>
            </w:pPr>
            <w:r>
              <w:rPr>
                <w:sz w:val="17"/>
              </w:rPr>
              <w:t>Union Square Theatre</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26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200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 E. 17th Street</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21000 / 17000</w:t>
            </w:r>
          </w:p>
        </w:tc>
        <w:tc>
          <w:tcPr>
            <w:tcW w:w="1265"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$8,900,000</w:t>
            </w:r>
          </w:p>
        </w:tc>
      </w:tr>
      <w:tr>
        <w:trPr/>
        <w:tc>
          <w:tcPr>
            <w:tcW w:w="2000" w:type="dxa"/>
            <w:tcBorders>
              <w:left w:val="single" w:sz="8" w:space="0" w:color="000000"/>
              <w:bottom w:val="single" w:sz="12"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sz w:val="17"/>
              </w:rPr>
            </w:pPr>
            <w:r>
              <w:rPr>
                <w:sz w:val="17"/>
              </w:rPr>
              <w:t>Manhattan, NY, USA</w:t>
            </w:r>
          </w:p>
        </w:tc>
        <w:tc>
          <w:tcPr>
            <w:tcW w:w="1640" w:type="dxa"/>
            <w:tcBorders>
              <w:left w:val="single" w:sz="8" w:space="0" w:color="000000"/>
              <w:bottom w:val="single" w:sz="12"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265" w:type="dxa"/>
            <w:tcBorders>
              <w:left w:val="single" w:sz="8" w:space="0" w:color="000000"/>
              <w:bottom w:val="single" w:sz="12"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12"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b/>
          <w:sz w:val="17"/>
          <w:u w:val="single"/>
        </w:rPr>
        <w:t>Long-Term Leasehold Operating Property</w:t>
      </w:r>
      <w:r>
        <w:rPr>
          <w:sz w:val="17"/>
        </w:rPr>
        <w:t xml:space="preserve"> </w:t>
      </w:r>
    </w:p>
    <w:p>
      <w:pPr>
        <w:pStyle w:val="TextBody"/>
        <w:spacing w:before="0" w:after="200"/>
        <w:ind w:left="1440" w:right="0" w:firstLine="720"/>
        <w:jc w:val="both"/>
        <w:rPr>
          <w:sz w:val="17"/>
        </w:rPr>
      </w:pPr>
      <w:r>
        <w:rPr>
          <w:sz w:val="17"/>
        </w:rPr>
        <w:t xml:space="preserve">In addition, in certain cases we have long-term leases that we view more akin to real estate investments than cinema leases.  As of December 31, 2012, we had approximately 169,000 square foot of space subject to such long-term leases. </w:t>
      </w:r>
    </w:p>
    <w:p>
      <w:pPr>
        <w:pStyle w:val="TextBody"/>
        <w:spacing w:before="0" w:after="0"/>
        <w:ind w:left="1440" w:right="0" w:hanging="0"/>
        <w:jc w:val="both"/>
        <w:rPr/>
      </w:pPr>
      <w:r>
        <w:rPr/>
        <w:t xml:space="preserve">  </w:t>
      </w:r>
    </w:p>
    <w:tbl>
      <w:tblPr>
        <w:tblW w:w="4850" w:type="dxa"/>
        <w:jc w:val="left"/>
        <w:tblInd w:w="1440" w:type="dxa"/>
        <w:tblCellMar>
          <w:top w:w="0" w:type="dxa"/>
          <w:left w:w="0" w:type="dxa"/>
          <w:bottom w:w="0" w:type="dxa"/>
          <w:right w:w="0" w:type="dxa"/>
        </w:tblCellMar>
      </w:tblPr>
      <w:tblGrid>
        <w:gridCol w:w="1040"/>
        <w:gridCol w:w="1640"/>
        <w:gridCol w:w="830"/>
        <w:gridCol w:w="1340"/>
      </w:tblGrid>
      <w:tr>
        <w:trPr/>
        <w:tc>
          <w:tcPr>
            <w:tcW w:w="104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340" w:type="dxa"/>
            <w:tcBorders/>
            <w:shd w:fill="auto" w:val="clear"/>
            <w:vAlign w:val="bottom"/>
          </w:tcPr>
          <w:p>
            <w:pPr>
              <w:pStyle w:val="TableContents"/>
              <w:spacing w:before="0" w:after="1"/>
              <w:ind w:left="0" w:right="0" w:hanging="0"/>
              <w:jc w:val="both"/>
              <w:rPr/>
            </w:pPr>
            <w:r>
              <w:rPr/>
              <w:t> </w:t>
            </w:r>
          </w:p>
        </w:tc>
      </w:tr>
      <w:tr>
        <w:trPr/>
        <w:tc>
          <w:tcPr>
            <w:tcW w:w="10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3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r>
      <w:tr>
        <w:trPr/>
        <w:tc>
          <w:tcPr>
            <w:tcW w:w="10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6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b/>
                <w:sz w:val="17"/>
              </w:rPr>
            </w:pPr>
            <w:r>
              <w:rPr>
                <w:b/>
                <w:sz w:val="17"/>
              </w:rPr>
              <w:t xml:space="preserve">Square Feet of </w:t>
            </w:r>
          </w:p>
        </w:tc>
        <w:tc>
          <w:tcPr>
            <w:tcW w:w="83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34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r>
      <w:tr>
        <w:trPr/>
        <w:tc>
          <w:tcPr>
            <w:tcW w:w="10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both"/>
              <w:rPr/>
            </w:pPr>
            <w:r>
              <w:rPr/>
              <w:t> </w:t>
            </w:r>
          </w:p>
        </w:tc>
        <w:tc>
          <w:tcPr>
            <w:tcW w:w="16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Improvements</w:t>
            </w:r>
          </w:p>
        </w:tc>
        <w:tc>
          <w:tcPr>
            <w:tcW w:w="83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Percentage</w:t>
            </w:r>
          </w:p>
        </w:tc>
        <w:tc>
          <w:tcPr>
            <w:tcW w:w="134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7"/>
              </w:rPr>
            </w:pPr>
            <w:r>
              <w:rPr>
                <w:b/>
                <w:sz w:val="17"/>
              </w:rPr>
              <w:t>Gross Book Value</w:t>
            </w:r>
          </w:p>
        </w:tc>
      </w:tr>
      <w:tr>
        <w:trPr/>
        <w:tc>
          <w:tcPr>
            <w:tcW w:w="10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Property9</w:t>
            </w:r>
          </w:p>
        </w:tc>
        <w:tc>
          <w:tcPr>
            <w:tcW w:w="16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(rental/entertainment)</w:t>
            </w:r>
          </w:p>
        </w:tc>
        <w:tc>
          <w:tcPr>
            <w:tcW w:w="83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Leased</w:t>
            </w:r>
          </w:p>
        </w:tc>
        <w:tc>
          <w:tcPr>
            <w:tcW w:w="134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b/>
                <w:sz w:val="17"/>
              </w:rPr>
            </w:pPr>
            <w:r>
              <w:rPr>
                <w:b/>
                <w:sz w:val="17"/>
              </w:rPr>
              <w:t>(in U.S. Dollars)</w:t>
            </w:r>
          </w:p>
        </w:tc>
      </w:tr>
      <w:tr>
        <w:trPr/>
        <w:tc>
          <w:tcPr>
            <w:tcW w:w="104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164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12"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both"/>
              <w:rPr/>
            </w:pPr>
            <w:r>
              <w:rPr/>
              <w:t> </w:t>
            </w:r>
          </w:p>
        </w:tc>
      </w:tr>
      <w:tr>
        <w:trPr/>
        <w:tc>
          <w:tcPr>
            <w:tcW w:w="10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Manville</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0 / 53000</w:t>
            </w:r>
          </w:p>
        </w:tc>
        <w:tc>
          <w:tcPr>
            <w:tcW w:w="83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$2,285,000</w:t>
            </w:r>
          </w:p>
        </w:tc>
      </w:tr>
      <w:tr>
        <w:trPr/>
        <w:tc>
          <w:tcPr>
            <w:tcW w:w="10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10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10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Tower</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0 / 16000</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N/A</w:t>
            </w:r>
          </w:p>
        </w:tc>
        <w:tc>
          <w:tcPr>
            <w:tcW w:w="1340" w:type="dxa"/>
            <w:tcBorders>
              <w:left w:val="single" w:sz="8" w:space="0" w:color="000000"/>
              <w:right w:val="single" w:sz="8" w:space="0" w:color="000000"/>
            </w:tcBorders>
            <w:shd w:fill="CCEEFF" w:val="clear"/>
            <w:tcMar>
              <w:left w:w="28" w:type="dxa"/>
              <w:right w:w="28" w:type="dxa"/>
            </w:tcMar>
            <w:vAlign w:val="center"/>
          </w:tcPr>
          <w:p>
            <w:pPr>
              <w:pStyle w:val="TableContents"/>
              <w:spacing w:before="0" w:after="1"/>
              <w:ind w:left="0" w:right="0" w:hanging="0"/>
              <w:jc w:val="center"/>
              <w:rPr>
                <w:sz w:val="17"/>
              </w:rPr>
            </w:pPr>
            <w:r>
              <w:rPr>
                <w:sz w:val="17"/>
              </w:rPr>
              <w:t>$994,000</w:t>
            </w:r>
          </w:p>
        </w:tc>
      </w:tr>
      <w:tr>
        <w:trPr/>
        <w:tc>
          <w:tcPr>
            <w:tcW w:w="10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6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10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16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10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Village East10</w:t>
            </w:r>
          </w:p>
        </w:tc>
        <w:tc>
          <w:tcPr>
            <w:tcW w:w="164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4000 / 38000</w:t>
            </w:r>
          </w:p>
        </w:tc>
        <w:tc>
          <w:tcPr>
            <w:tcW w:w="830" w:type="dxa"/>
            <w:tcBorders>
              <w:left w:val="single" w:sz="8" w:space="0" w:color="000000"/>
              <w:right w:val="single" w:sz="8" w:space="0" w:color="000000"/>
            </w:tcBorders>
            <w:shd w:fill="FFFFFF" w:val="clear"/>
            <w:tcMar>
              <w:left w:w="28" w:type="dxa"/>
              <w:right w:w="28" w:type="dxa"/>
            </w:tcMar>
            <w:vAlign w:val="bottom"/>
          </w:tcPr>
          <w:p>
            <w:pPr>
              <w:pStyle w:val="TableContents"/>
              <w:spacing w:before="0" w:after="1"/>
              <w:ind w:left="0" w:right="0" w:hanging="0"/>
              <w:jc w:val="center"/>
              <w:rPr>
                <w:sz w:val="17"/>
              </w:rPr>
            </w:pPr>
            <w:r>
              <w:rPr>
                <w:sz w:val="17"/>
              </w:rPr>
              <w:t>100%</w:t>
            </w:r>
          </w:p>
        </w:tc>
        <w:tc>
          <w:tcPr>
            <w:tcW w:w="1340" w:type="dxa"/>
            <w:tcBorders>
              <w:left w:val="single" w:sz="8" w:space="0" w:color="000000"/>
              <w:right w:val="single" w:sz="8" w:space="0" w:color="000000"/>
            </w:tcBorders>
            <w:shd w:fill="FFFFFF" w:val="clear"/>
            <w:tcMar>
              <w:left w:w="28" w:type="dxa"/>
              <w:right w:w="28" w:type="dxa"/>
            </w:tcMar>
            <w:vAlign w:val="center"/>
          </w:tcPr>
          <w:p>
            <w:pPr>
              <w:pStyle w:val="TableContents"/>
              <w:spacing w:before="0" w:after="1"/>
              <w:ind w:left="0" w:right="0" w:hanging="0"/>
              <w:jc w:val="center"/>
              <w:rPr>
                <w:sz w:val="17"/>
              </w:rPr>
            </w:pPr>
            <w:r>
              <w:rPr>
                <w:sz w:val="17"/>
              </w:rPr>
              <w:t>$11,877,000</w:t>
            </w:r>
          </w:p>
        </w:tc>
      </w:tr>
      <w:tr>
        <w:trPr/>
        <w:tc>
          <w:tcPr>
            <w:tcW w:w="10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6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spacing w:before="0" w:after="1"/>
              <w:ind w:left="0" w:right="0" w:hanging="0"/>
              <w:jc w:val="center"/>
              <w:rPr/>
            </w:pPr>
            <w:r>
              <w:rPr/>
              <w:t> </w:t>
            </w:r>
          </w:p>
        </w:tc>
      </w:tr>
      <w:tr>
        <w:trPr/>
        <w:tc>
          <w:tcPr>
            <w:tcW w:w="10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6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83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c>
          <w:tcPr>
            <w:tcW w:w="1340" w:type="dxa"/>
            <w:tcBorders>
              <w:top w:val="single" w:sz="8" w:space="0" w:color="000000"/>
              <w:left w:val="single" w:sz="8" w:space="0" w:color="000000"/>
              <w:right w:val="single" w:sz="8" w:space="0" w:color="000000"/>
            </w:tcBorders>
            <w:shd w:fill="FFFFFF" w:val="clear"/>
            <w:tcMar>
              <w:top w:w="28" w:type="dxa"/>
              <w:left w:w="28" w:type="dxa"/>
              <w:right w:w="28" w:type="dxa"/>
            </w:tcMar>
            <w:vAlign w:val="bottom"/>
          </w:tcPr>
          <w:p>
            <w:pPr>
              <w:pStyle w:val="TableContents"/>
              <w:spacing w:before="0" w:after="1"/>
              <w:ind w:left="0" w:right="0" w:hanging="0"/>
              <w:jc w:val="center"/>
              <w:rPr/>
            </w:pPr>
            <w:r>
              <w:rPr/>
              <w:t> </w:t>
            </w:r>
          </w:p>
        </w:tc>
      </w:tr>
      <w:tr>
        <w:trPr/>
        <w:tc>
          <w:tcPr>
            <w:tcW w:w="10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Waurn Ponds</w:t>
            </w:r>
          </w:p>
        </w:tc>
        <w:tc>
          <w:tcPr>
            <w:tcW w:w="164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6000 / 52000</w:t>
            </w:r>
          </w:p>
        </w:tc>
        <w:tc>
          <w:tcPr>
            <w:tcW w:w="830" w:type="dxa"/>
            <w:tcBorders>
              <w:left w:val="single" w:sz="8" w:space="0" w:color="000000"/>
              <w:right w:val="single" w:sz="8" w:space="0" w:color="000000"/>
            </w:tcBorders>
            <w:shd w:fill="CCEEFF" w:val="clear"/>
            <w:tcMar>
              <w:left w:w="28" w:type="dxa"/>
              <w:right w:w="28" w:type="dxa"/>
            </w:tcMar>
            <w:vAlign w:val="bottom"/>
          </w:tcPr>
          <w:p>
            <w:pPr>
              <w:pStyle w:val="TableContents"/>
              <w:spacing w:before="0" w:after="1"/>
              <w:ind w:left="0" w:right="0" w:hanging="0"/>
              <w:jc w:val="center"/>
              <w:rPr>
                <w:sz w:val="17"/>
              </w:rPr>
            </w:pPr>
            <w:r>
              <w:rPr>
                <w:sz w:val="17"/>
              </w:rPr>
              <w:t>100%</w:t>
            </w:r>
          </w:p>
        </w:tc>
        <w:tc>
          <w:tcPr>
            <w:tcW w:w="1340" w:type="dxa"/>
            <w:tcBorders>
              <w:left w:val="single" w:sz="8" w:space="0" w:color="000000"/>
              <w:right w:val="single" w:sz="8" w:space="0" w:color="000000"/>
            </w:tcBorders>
            <w:shd w:fill="CCEEFF" w:val="clear"/>
            <w:tcMar>
              <w:left w:w="28" w:type="dxa"/>
              <w:right w:w="28" w:type="dxa"/>
            </w:tcMar>
            <w:vAlign w:val="center"/>
          </w:tcPr>
          <w:p>
            <w:pPr>
              <w:pStyle w:val="TableContents"/>
              <w:spacing w:before="0" w:after="1"/>
              <w:ind w:left="0" w:right="0" w:hanging="0"/>
              <w:jc w:val="center"/>
              <w:rPr>
                <w:sz w:val="17"/>
              </w:rPr>
            </w:pPr>
            <w:r>
              <w:rPr>
                <w:sz w:val="17"/>
              </w:rPr>
              <w:t>$3,656,000</w:t>
            </w:r>
          </w:p>
        </w:tc>
      </w:tr>
      <w:tr>
        <w:trPr/>
        <w:tc>
          <w:tcPr>
            <w:tcW w:w="104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64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83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c>
          <w:tcPr>
            <w:tcW w:w="1340" w:type="dxa"/>
            <w:tcBorders>
              <w:left w:val="single" w:sz="8" w:space="0" w:color="000000"/>
              <w:bottom w:val="single" w:sz="12" w:space="0" w:color="000000"/>
              <w:right w:val="single" w:sz="8" w:space="0" w:color="000000"/>
            </w:tcBorders>
            <w:shd w:fill="FFFFFF" w:val="clear"/>
            <w:tcMar>
              <w:left w:w="28" w:type="dxa"/>
              <w:bottom w:w="28" w:type="dxa"/>
              <w:right w:w="28" w:type="dxa"/>
            </w:tcMar>
            <w:vAlign w:val="bottom"/>
          </w:tcPr>
          <w:p>
            <w:pPr>
              <w:pStyle w:val="TableContents"/>
              <w:spacing w:before="0" w:after="1"/>
              <w:ind w:left="0" w:right="0" w:hanging="0"/>
              <w:jc w:val="center"/>
              <w:rPr/>
            </w:pPr>
            <w:r>
              <w:rPr/>
              <w:t>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sz w:val="13"/>
        </w:rPr>
      </w:pPr>
      <w:r>
        <w:rPr>
          <w:sz w:val="13"/>
        </w:rPr>
        <w:t xml:space="preserve">[9] Rental square footage refers to the amount of area available to be rented to third parties, and the percentage leased is the amount of rental square footage currently leased to third parties.  A number of our long-term leasehold operating property include entertainment components rented to one or more of our subsidiaries.  The rental area to such subsidiaries is noted under the entertainment square footage.  Book value includes the entire investment in the leased property, including any cinema fit-out.  Rental and book value information is as of December 31, 2012. </w:t>
      </w:r>
    </w:p>
    <w:p>
      <w:pPr>
        <w:pStyle w:val="TextBody"/>
        <w:spacing w:before="0" w:after="200"/>
        <w:ind w:left="1440" w:right="0" w:hanging="0"/>
        <w:jc w:val="both"/>
        <w:rPr>
          <w:sz w:val="13"/>
        </w:rPr>
      </w:pPr>
      <w:r>
        <w:rPr>
          <w:sz w:val="13"/>
        </w:rPr>
        <w:t xml:space="preserve">[10] 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Note 25 - </w:t>
      </w:r>
      <w:r>
        <w:rPr>
          <w:i/>
          <w:sz w:val="13"/>
        </w:rPr>
        <w:t>Related Parties and Transactions</w:t>
      </w:r>
      <w:r>
        <w:rPr>
          <w:sz w:val="13"/>
        </w:rPr>
        <w:t xml:space="preserve"> to our 2012 Consolidated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b/>
          <w:sz w:val="17"/>
          <w:u w:val="single"/>
        </w:rPr>
        <w:t>Investment and Development Property</w:t>
      </w:r>
      <w:r>
        <w:rPr>
          <w:sz w:val="17"/>
        </w:rPr>
        <w:t xml:space="preserve"> </w:t>
      </w:r>
    </w:p>
    <w:p>
      <w:pPr>
        <w:pStyle w:val="TextBody"/>
        <w:spacing w:before="0" w:after="200"/>
        <w:ind w:left="1440" w:right="0" w:hanging="0"/>
        <w:jc w:val="both"/>
        <w:rPr/>
      </w:pPr>
      <w:r>
        <w:rPr/>
        <w:t>            </w:t>
      </w:r>
      <w:r>
        <w:rPr>
          <w:sz w:val="17"/>
        </w:rPr>
        <w:t xml:space="preserve">We are engaged in several investment and development projects relative to our currently undeveloped parcels of land.  In addition, we anticipate that redevelopment of one or more of our existing developed properties may also occur. </w:t>
      </w:r>
    </w:p>
    <w:p>
      <w:pPr>
        <w:pStyle w:val="TextBody"/>
        <w:pBdr/>
        <w:spacing w:lineRule="auto" w:line="240" w:before="0" w:after="0"/>
        <w:ind w:left="1440" w:right="0" w:hanging="0"/>
        <w:jc w:val="both"/>
        <w:rPr/>
      </w:pPr>
      <w:r>
        <w:rPr/>
        <w:t xml:space="preserve">  </w:t>
      </w:r>
    </w:p>
    <w:p>
      <w:pPr>
        <w:pStyle w:val="TextBody"/>
        <w:pBdr/>
        <w:spacing w:lineRule="auto" w:line="240"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1188"/>
        <w:gridCol w:w="547"/>
        <w:gridCol w:w="1009"/>
        <w:gridCol w:w="6021"/>
      </w:tblGrid>
      <w:tr>
        <w:trPr/>
        <w:tc>
          <w:tcPr>
            <w:tcW w:w="1188" w:type="dxa"/>
            <w:tcBorders/>
            <w:shd w:fill="auto" w:val="clear"/>
            <w:vAlign w:val="bottom"/>
          </w:tcPr>
          <w:p>
            <w:pPr>
              <w:pStyle w:val="TableContents"/>
              <w:spacing w:before="0" w:after="1"/>
              <w:ind w:left="0" w:right="0" w:hanging="0"/>
              <w:jc w:val="both"/>
              <w:rPr/>
            </w:pPr>
            <w:r>
              <w:rPr/>
              <w:t> </w:t>
            </w:r>
          </w:p>
        </w:tc>
        <w:tc>
          <w:tcPr>
            <w:tcW w:w="547" w:type="dxa"/>
            <w:tcBorders/>
            <w:shd w:fill="auto" w:val="clear"/>
            <w:vAlign w:val="bottom"/>
          </w:tcPr>
          <w:p>
            <w:pPr>
              <w:pStyle w:val="TableContents"/>
              <w:spacing w:before="0" w:after="1"/>
              <w:ind w:left="0" w:right="0" w:hanging="0"/>
              <w:jc w:val="both"/>
              <w:rPr/>
            </w:pPr>
            <w:r>
              <w:rPr/>
              <w:t> </w:t>
            </w:r>
          </w:p>
        </w:tc>
        <w:tc>
          <w:tcPr>
            <w:tcW w:w="1009" w:type="dxa"/>
            <w:tcBorders/>
            <w:shd w:fill="auto" w:val="clear"/>
            <w:vAlign w:val="bottom"/>
          </w:tcPr>
          <w:p>
            <w:pPr>
              <w:pStyle w:val="TableContents"/>
              <w:spacing w:before="0" w:after="1"/>
              <w:ind w:left="0" w:right="0" w:hanging="0"/>
              <w:jc w:val="both"/>
              <w:rPr/>
            </w:pPr>
            <w:r>
              <w:rPr/>
              <w:t> </w:t>
            </w:r>
          </w:p>
        </w:tc>
        <w:tc>
          <w:tcPr>
            <w:tcW w:w="6021" w:type="dxa"/>
            <w:tcBorders/>
            <w:shd w:fill="auto" w:val="clear"/>
            <w:vAlign w:val="bottom"/>
          </w:tcPr>
          <w:p>
            <w:pPr>
              <w:pStyle w:val="TableContents"/>
              <w:spacing w:before="0" w:after="1"/>
              <w:ind w:left="0" w:right="0" w:hanging="0"/>
              <w:jc w:val="both"/>
              <w:rPr/>
            </w:pPr>
            <w:r>
              <w:rPr/>
              <w:t> </w:t>
            </w:r>
          </w:p>
        </w:tc>
      </w:tr>
      <w:tr>
        <w:trPr/>
        <w:tc>
          <w:tcPr>
            <w:tcW w:w="1188"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47"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009"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21"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r>
      <w:tr>
        <w:trPr/>
        <w:tc>
          <w:tcPr>
            <w:tcW w:w="1188"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547"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pPr>
            <w:r>
              <w:rPr/>
              <w:t> </w:t>
            </w:r>
          </w:p>
        </w:tc>
        <w:tc>
          <w:tcPr>
            <w:tcW w:w="1009"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6021"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r>
      <w:tr>
        <w:trPr/>
        <w:tc>
          <w:tcPr>
            <w:tcW w:w="1188"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pPr>
            <w:r>
              <w:rPr/>
              <w:t> </w:t>
            </w:r>
          </w:p>
        </w:tc>
        <w:tc>
          <w:tcPr>
            <w:tcW w:w="547"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pPr>
            <w:r>
              <w:rPr/>
              <w:t> </w:t>
            </w:r>
          </w:p>
        </w:tc>
        <w:tc>
          <w:tcPr>
            <w:tcW w:w="1009"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Gross Book Value</w:t>
            </w:r>
          </w:p>
        </w:tc>
        <w:tc>
          <w:tcPr>
            <w:tcW w:w="6021"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pPr>
            <w:r>
              <w:rPr/>
              <w:t> </w:t>
            </w:r>
          </w:p>
        </w:tc>
      </w:tr>
      <w:tr>
        <w:trPr/>
        <w:tc>
          <w:tcPr>
            <w:tcW w:w="1188"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Property11</w:t>
            </w:r>
          </w:p>
        </w:tc>
        <w:tc>
          <w:tcPr>
            <w:tcW w:w="547"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Acreage</w:t>
            </w:r>
          </w:p>
        </w:tc>
        <w:tc>
          <w:tcPr>
            <w:tcW w:w="1009"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(in U.S. Dollars)</w:t>
            </w:r>
          </w:p>
        </w:tc>
        <w:tc>
          <w:tcPr>
            <w:tcW w:w="6021"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Status</w:t>
            </w:r>
          </w:p>
        </w:tc>
      </w:tr>
      <w:tr>
        <w:trPr/>
        <w:tc>
          <w:tcPr>
            <w:tcW w:w="1188"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pPr>
            <w:r>
              <w:rPr/>
              <w:t> </w:t>
            </w:r>
          </w:p>
        </w:tc>
        <w:tc>
          <w:tcPr>
            <w:tcW w:w="547"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pPr>
            <w:r>
              <w:rPr/>
              <w:t> </w:t>
            </w:r>
          </w:p>
        </w:tc>
        <w:tc>
          <w:tcPr>
            <w:tcW w:w="1009"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pPr>
            <w:r>
              <w:rPr/>
              <w:t> </w:t>
            </w:r>
          </w:p>
        </w:tc>
        <w:tc>
          <w:tcPr>
            <w:tcW w:w="6021"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both"/>
              <w:rPr/>
            </w:pPr>
            <w:r>
              <w:rPr/>
              <w:t> </w:t>
            </w:r>
          </w:p>
        </w:tc>
      </w:tr>
      <w:tr>
        <w:trPr/>
        <w:tc>
          <w:tcPr>
            <w:tcW w:w="1188" w:type="dxa"/>
            <w:tcBorders>
              <w:top w:val="single" w:sz="12"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 xml:space="preserve">Auburn, </w:t>
              <w:br/>
              <w:t>Sydney, Australia</w:t>
            </w:r>
          </w:p>
        </w:tc>
        <w:tc>
          <w:tcPr>
            <w:tcW w:w="547" w:type="dxa"/>
            <w:tcBorders>
              <w:top w:val="single" w:sz="12"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2.6 acres</w:t>
            </w:r>
          </w:p>
        </w:tc>
        <w:tc>
          <w:tcPr>
            <w:tcW w:w="1009" w:type="dxa"/>
            <w:tcBorders>
              <w:top w:val="single" w:sz="12"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$2,107,000</w:t>
            </w:r>
          </w:p>
        </w:tc>
        <w:tc>
          <w:tcPr>
            <w:tcW w:w="6021" w:type="dxa"/>
            <w:tcBorders>
              <w:top w:val="single" w:sz="12"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We are actively pursuing the development of the next phase of this property.</w:t>
            </w:r>
          </w:p>
        </w:tc>
      </w:tr>
      <w:tr>
        <w:trPr/>
        <w:tc>
          <w:tcPr>
            <w:tcW w:w="1188"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 xml:space="preserve">Burwood, </w:t>
              <w:br/>
              <w:t>Victoria, Australia</w:t>
            </w:r>
          </w:p>
        </w:tc>
        <w:tc>
          <w:tcPr>
            <w:tcW w:w="547"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50.6 acres</w:t>
            </w:r>
          </w:p>
        </w:tc>
        <w:tc>
          <w:tcPr>
            <w:tcW w:w="1009"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$54,156,000</w:t>
            </w:r>
          </w:p>
        </w:tc>
        <w:tc>
          <w:tcPr>
            <w:tcW w:w="6021"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We continue to evaluate our options with regards to this property.</w:t>
            </w:r>
          </w:p>
        </w:tc>
      </w:tr>
      <w:tr>
        <w:trPr/>
        <w:tc>
          <w:tcPr>
            <w:tcW w:w="1188"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Coachella,</w:t>
              <w:br/>
              <w:t>CA, USA</w:t>
            </w:r>
          </w:p>
        </w:tc>
        <w:tc>
          <w:tcPr>
            <w:tcW w:w="547"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202 acres</w:t>
            </w:r>
          </w:p>
        </w:tc>
        <w:tc>
          <w:tcPr>
            <w:tcW w:w="1009"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$4,050,000</w:t>
            </w:r>
          </w:p>
        </w:tc>
        <w:tc>
          <w:tcPr>
            <w:tcW w:w="6021"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We continue to evaluate our options with regards to this property.</w:t>
            </w:r>
          </w:p>
        </w:tc>
      </w:tr>
      <w:tr>
        <w:trPr/>
        <w:tc>
          <w:tcPr>
            <w:tcW w:w="1188"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 xml:space="preserve">Courtenay Central, </w:t>
              <w:br/>
              <w:t xml:space="preserve">Wellington, </w:t>
              <w:br/>
              <w:t>New Zealand</w:t>
            </w:r>
          </w:p>
        </w:tc>
        <w:tc>
          <w:tcPr>
            <w:tcW w:w="547"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1.1 acres</w:t>
            </w:r>
          </w:p>
        </w:tc>
        <w:tc>
          <w:tcPr>
            <w:tcW w:w="1009"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$6,831,000</w:t>
            </w:r>
          </w:p>
        </w:tc>
        <w:tc>
          <w:tcPr>
            <w:tcW w:w="6021" w:type="dxa"/>
            <w:tcBorders>
              <w:top w:val="single" w:sz="8" w:space="0" w:color="000000"/>
              <w:left w:val="single" w:sz="8" w:space="0" w:color="000000"/>
              <w:bottom w:val="single" w:sz="8"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We are actively pursuing the development of the next phase of this property.</w:t>
            </w:r>
          </w:p>
        </w:tc>
      </w:tr>
      <w:tr>
        <w:trPr/>
        <w:tc>
          <w:tcPr>
            <w:tcW w:w="1188"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Moonee Ponds, Victoria, Australia</w:t>
            </w:r>
          </w:p>
        </w:tc>
        <w:tc>
          <w:tcPr>
            <w:tcW w:w="547"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3.3 acres</w:t>
            </w:r>
          </w:p>
        </w:tc>
        <w:tc>
          <w:tcPr>
            <w:tcW w:w="1009"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$12,728,000</w:t>
            </w:r>
          </w:p>
        </w:tc>
        <w:tc>
          <w:tcPr>
            <w:tcW w:w="6021" w:type="dxa"/>
            <w:tcBorders>
              <w:top w:val="single" w:sz="8" w:space="0" w:color="000000"/>
              <w:left w:val="single" w:sz="8" w:space="0" w:color="000000"/>
              <w:bottom w:val="single" w:sz="8" w:space="0" w:color="000000"/>
              <w:right w:val="single" w:sz="8" w:space="0" w:color="000000"/>
            </w:tcBorders>
            <w:shd w:fill="CCEEFF"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Zoned for high-density as a “Principal Activity Area.”  Recently, this property has enjoyed a rezoning by the city increasing our permitted development potential from up to 10 levels to a range of 10 to 16 levels. We continue to evaluate our options with regards to this property.</w:t>
            </w:r>
          </w:p>
        </w:tc>
      </w:tr>
      <w:tr>
        <w:trPr/>
        <w:tc>
          <w:tcPr>
            <w:tcW w:w="1188" w:type="dxa"/>
            <w:tcBorders>
              <w:top w:val="single" w:sz="8" w:space="0" w:color="000000"/>
              <w:left w:val="single" w:sz="8" w:space="0" w:color="000000"/>
              <w:bottom w:val="single" w:sz="12"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Lake Taupo, Taupo, New Zealand</w:t>
            </w:r>
          </w:p>
        </w:tc>
        <w:tc>
          <w:tcPr>
            <w:tcW w:w="547" w:type="dxa"/>
            <w:tcBorders>
              <w:top w:val="single" w:sz="8" w:space="0" w:color="000000"/>
              <w:left w:val="single" w:sz="8" w:space="0" w:color="000000"/>
              <w:bottom w:val="single" w:sz="12"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0.5 acre</w:t>
            </w:r>
          </w:p>
        </w:tc>
        <w:tc>
          <w:tcPr>
            <w:tcW w:w="1009" w:type="dxa"/>
            <w:tcBorders>
              <w:top w:val="single" w:sz="8" w:space="0" w:color="000000"/>
              <w:left w:val="single" w:sz="8" w:space="0" w:color="000000"/>
              <w:bottom w:val="single" w:sz="12"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$2,283,000</w:t>
            </w:r>
          </w:p>
        </w:tc>
        <w:tc>
          <w:tcPr>
            <w:tcW w:w="6021" w:type="dxa"/>
            <w:tcBorders>
              <w:top w:val="single" w:sz="8" w:space="0" w:color="000000"/>
              <w:left w:val="single" w:sz="8" w:space="0" w:color="000000"/>
              <w:bottom w:val="single" w:sz="12" w:space="0" w:color="000000"/>
              <w:right w:val="single" w:sz="8" w:space="0" w:color="000000"/>
            </w:tcBorders>
            <w:shd w:fill="FFFFFF"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We are actively pursuing various methods to dispose of this property.</w:t>
            </w:r>
          </w:p>
        </w:tc>
      </w:tr>
    </w:tbl>
    <w:p>
      <w:pPr>
        <w:pStyle w:val="TextBody"/>
        <w:spacing w:lineRule="auto" w:line="240" w:before="0" w:after="0"/>
        <w:ind w:left="1440" w:right="0" w:hanging="0"/>
        <w:jc w:val="both"/>
        <w:rPr/>
      </w:pPr>
      <w:r>
        <w:rPr/>
        <w:t xml:space="preserve">  </w:t>
      </w:r>
    </w:p>
    <w:p>
      <w:pPr>
        <w:pStyle w:val="TextBody"/>
        <w:spacing w:before="0" w:after="200"/>
        <w:ind w:left="1440" w:right="0" w:hanging="0"/>
        <w:jc w:val="both"/>
        <w:rPr>
          <w:sz w:val="13"/>
        </w:rPr>
      </w:pPr>
      <w:r>
        <w:rPr>
          <w:sz w:val="13"/>
        </w:rPr>
        <w:t xml:space="preserve">[11] A number of our real estate holdings include additional land held for development.  In addition, we have acquired certain parcels for future development.  The gross book value includes, as applicable, the land, building, development costs, and capitalized interest.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lineRule="auto" w:line="240" w:before="100" w:after="100"/>
        <w:ind w:left="1440" w:right="0" w:hanging="0"/>
        <w:jc w:val="both"/>
        <w:rPr/>
      </w:pPr>
      <w:r>
        <w:rPr/>
        <w:t xml:space="preserve">  </w:t>
      </w:r>
    </w:p>
    <w:p>
      <w:pPr>
        <w:pStyle w:val="TextBody"/>
        <w:spacing w:before="0" w:after="0"/>
        <w:ind w:left="1440" w:right="0" w:firstLine="720"/>
        <w:jc w:val="both"/>
        <w:rPr/>
      </w:pPr>
      <w:r>
        <w:rPr/>
        <w:t xml:space="preserve">  </w:t>
      </w:r>
    </w:p>
    <w:tbl>
      <w:tblPr>
        <w:tblW w:w="8765" w:type="dxa"/>
        <w:jc w:val="left"/>
        <w:tblInd w:w="1440" w:type="dxa"/>
        <w:tblCellMar>
          <w:top w:w="0" w:type="dxa"/>
          <w:left w:w="0" w:type="dxa"/>
          <w:bottom w:w="0" w:type="dxa"/>
          <w:right w:w="0" w:type="dxa"/>
        </w:tblCellMar>
      </w:tblPr>
      <w:tblGrid>
        <w:gridCol w:w="869"/>
        <w:gridCol w:w="1235"/>
        <w:gridCol w:w="970"/>
        <w:gridCol w:w="5691"/>
      </w:tblGrid>
      <w:tr>
        <w:trPr/>
        <w:tc>
          <w:tcPr>
            <w:tcW w:w="869" w:type="dxa"/>
            <w:tcBorders/>
            <w:shd w:fill="auto" w:val="clear"/>
            <w:vAlign w:val="bottom"/>
          </w:tcPr>
          <w:p>
            <w:pPr>
              <w:pStyle w:val="TableContents"/>
              <w:spacing w:before="0" w:after="1"/>
              <w:ind w:left="0" w:right="0" w:hanging="0"/>
              <w:jc w:val="both"/>
              <w:rPr/>
            </w:pPr>
            <w:r>
              <w:rPr/>
              <w:t> </w:t>
            </w:r>
          </w:p>
        </w:tc>
        <w:tc>
          <w:tcPr>
            <w:tcW w:w="1235" w:type="dxa"/>
            <w:tcBorders/>
            <w:shd w:fill="auto" w:val="clear"/>
            <w:vAlign w:val="bottom"/>
          </w:tcPr>
          <w:p>
            <w:pPr>
              <w:pStyle w:val="TableContents"/>
              <w:spacing w:before="0" w:after="1"/>
              <w:ind w:left="0" w:right="0" w:hanging="0"/>
              <w:jc w:val="both"/>
              <w:rPr/>
            </w:pPr>
            <w:r>
              <w:rPr/>
              <w:t> </w:t>
            </w:r>
          </w:p>
        </w:tc>
        <w:tc>
          <w:tcPr>
            <w:tcW w:w="970" w:type="dxa"/>
            <w:tcBorders/>
            <w:shd w:fill="auto" w:val="clear"/>
            <w:vAlign w:val="bottom"/>
          </w:tcPr>
          <w:p>
            <w:pPr>
              <w:pStyle w:val="TableContents"/>
              <w:spacing w:before="0" w:after="1"/>
              <w:ind w:left="0" w:right="0" w:hanging="0"/>
              <w:jc w:val="both"/>
              <w:rPr/>
            </w:pPr>
            <w:r>
              <w:rPr/>
              <w:t> </w:t>
            </w:r>
          </w:p>
        </w:tc>
        <w:tc>
          <w:tcPr>
            <w:tcW w:w="5691" w:type="dxa"/>
            <w:tcBorders/>
            <w:shd w:fill="auto" w:val="clear"/>
            <w:vAlign w:val="bottom"/>
          </w:tcPr>
          <w:p>
            <w:pPr>
              <w:pStyle w:val="TableContents"/>
              <w:spacing w:before="0" w:after="1"/>
              <w:ind w:left="0" w:right="0" w:hanging="0"/>
              <w:jc w:val="both"/>
              <w:rPr/>
            </w:pPr>
            <w:r>
              <w:rPr/>
              <w:t> </w:t>
            </w:r>
          </w:p>
        </w:tc>
      </w:tr>
      <w:tr>
        <w:trPr/>
        <w:tc>
          <w:tcPr>
            <w:tcW w:w="869"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23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7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691"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r>
      <w:tr>
        <w:trPr/>
        <w:tc>
          <w:tcPr>
            <w:tcW w:w="869"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c>
          <w:tcPr>
            <w:tcW w:w="1235"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pPr>
            <w:r>
              <w:rPr/>
              <w:t> </w:t>
            </w:r>
          </w:p>
        </w:tc>
        <w:tc>
          <w:tcPr>
            <w:tcW w:w="970"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center"/>
              <w:rPr/>
            </w:pPr>
            <w:r>
              <w:rPr/>
              <w:t> </w:t>
            </w:r>
          </w:p>
        </w:tc>
        <w:tc>
          <w:tcPr>
            <w:tcW w:w="5691" w:type="dxa"/>
            <w:tcBorders>
              <w:top w:val="single" w:sz="8" w:space="0" w:color="000000"/>
              <w:left w:val="single" w:sz="8" w:space="0" w:color="000000"/>
              <w:right w:val="single" w:sz="8" w:space="0" w:color="000000"/>
            </w:tcBorders>
            <w:shd w:fill="auto" w:val="clear"/>
            <w:tcMar>
              <w:top w:w="28" w:type="dxa"/>
              <w:left w:w="28" w:type="dxa"/>
              <w:right w:w="28" w:type="dxa"/>
            </w:tcMar>
            <w:vAlign w:val="bottom"/>
          </w:tcPr>
          <w:p>
            <w:pPr>
              <w:pStyle w:val="TableContents"/>
              <w:spacing w:before="0" w:after="1"/>
              <w:ind w:left="0" w:right="0" w:hanging="0"/>
              <w:jc w:val="both"/>
              <w:rPr/>
            </w:pPr>
            <w:r>
              <w:rPr/>
              <w:t> </w:t>
            </w:r>
          </w:p>
        </w:tc>
      </w:tr>
      <w:tr>
        <w:trPr/>
        <w:tc>
          <w:tcPr>
            <w:tcW w:w="869"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both"/>
              <w:rPr/>
            </w:pPr>
            <w:r>
              <w:rPr/>
              <w:t> </w:t>
            </w:r>
          </w:p>
        </w:tc>
        <w:tc>
          <w:tcPr>
            <w:tcW w:w="1235"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pPr>
            <w:r>
              <w:rPr/>
              <w:t> </w:t>
            </w:r>
          </w:p>
        </w:tc>
        <w:tc>
          <w:tcPr>
            <w:tcW w:w="97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Gross Book Value</w:t>
            </w:r>
          </w:p>
        </w:tc>
        <w:tc>
          <w:tcPr>
            <w:tcW w:w="5691"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both"/>
              <w:rPr/>
            </w:pPr>
            <w:r>
              <w:rPr/>
              <w:t> </w:t>
            </w:r>
          </w:p>
        </w:tc>
      </w:tr>
      <w:tr>
        <w:trPr/>
        <w:tc>
          <w:tcPr>
            <w:tcW w:w="869"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Property11</w:t>
            </w:r>
          </w:p>
        </w:tc>
        <w:tc>
          <w:tcPr>
            <w:tcW w:w="1235"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Acreage</w:t>
            </w:r>
          </w:p>
        </w:tc>
        <w:tc>
          <w:tcPr>
            <w:tcW w:w="970"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(in U.S. Dollars)</w:t>
            </w:r>
          </w:p>
        </w:tc>
        <w:tc>
          <w:tcPr>
            <w:tcW w:w="5691" w:type="dxa"/>
            <w:tcBorders>
              <w:left w:val="single" w:sz="8" w:space="0" w:color="000000"/>
              <w:right w:val="single" w:sz="8" w:space="0" w:color="000000"/>
            </w:tcBorders>
            <w:shd w:fill="auto" w:val="clear"/>
            <w:tcMar>
              <w:left w:w="28" w:type="dxa"/>
              <w:right w:w="28" w:type="dxa"/>
            </w:tcMar>
            <w:vAlign w:val="bottom"/>
          </w:tcPr>
          <w:p>
            <w:pPr>
              <w:pStyle w:val="TableContents"/>
              <w:spacing w:before="0" w:after="1"/>
              <w:ind w:left="0" w:right="0" w:hanging="0"/>
              <w:jc w:val="center"/>
              <w:rPr>
                <w:b/>
                <w:sz w:val="15"/>
              </w:rPr>
            </w:pPr>
            <w:r>
              <w:rPr>
                <w:b/>
                <w:sz w:val="15"/>
              </w:rPr>
              <w:t>Status</w:t>
            </w:r>
          </w:p>
        </w:tc>
      </w:tr>
      <w:tr>
        <w:trPr/>
        <w:tc>
          <w:tcPr>
            <w:tcW w:w="869"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pPr>
            <w:r>
              <w:rPr/>
              <w:t> </w:t>
            </w:r>
          </w:p>
        </w:tc>
        <w:tc>
          <w:tcPr>
            <w:tcW w:w="1235"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pPr>
            <w:r>
              <w:rPr/>
              <w:t> </w:t>
            </w:r>
          </w:p>
        </w:tc>
        <w:tc>
          <w:tcPr>
            <w:tcW w:w="970"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center"/>
              <w:rPr/>
            </w:pPr>
            <w:r>
              <w:rPr/>
              <w:t> </w:t>
            </w:r>
          </w:p>
        </w:tc>
        <w:tc>
          <w:tcPr>
            <w:tcW w:w="5691" w:type="dxa"/>
            <w:tcBorders>
              <w:left w:val="single" w:sz="8" w:space="0" w:color="000000"/>
              <w:bottom w:val="single" w:sz="12" w:space="0" w:color="000000"/>
              <w:right w:val="single" w:sz="8" w:space="0" w:color="000000"/>
            </w:tcBorders>
            <w:shd w:fill="auto" w:val="clear"/>
            <w:tcMar>
              <w:left w:w="28" w:type="dxa"/>
              <w:bottom w:w="28" w:type="dxa"/>
              <w:right w:w="28" w:type="dxa"/>
            </w:tcMar>
            <w:vAlign w:val="bottom"/>
          </w:tcPr>
          <w:p>
            <w:pPr>
              <w:pStyle w:val="TableContents"/>
              <w:spacing w:before="0" w:after="1"/>
              <w:ind w:left="0" w:right="0" w:hanging="0"/>
              <w:jc w:val="both"/>
              <w:rPr/>
            </w:pPr>
            <w:r>
              <w:rPr/>
              <w:t> </w:t>
            </w:r>
          </w:p>
        </w:tc>
      </w:tr>
      <w:tr>
        <w:trPr/>
        <w:tc>
          <w:tcPr>
            <w:tcW w:w="869" w:type="dxa"/>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 xml:space="preserve">Manakau, </w:t>
              <w:br/>
              <w:t>Auckland, New Zealand</w:t>
            </w:r>
          </w:p>
        </w:tc>
        <w:tc>
          <w:tcPr>
            <w:tcW w:w="1235" w:type="dxa"/>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1"/>
              <w:ind w:left="0" w:right="0" w:hanging="0"/>
              <w:jc w:val="center"/>
              <w:rPr>
                <w:sz w:val="15"/>
              </w:rPr>
            </w:pPr>
            <w:r>
              <w:rPr>
                <w:sz w:val="15"/>
              </w:rPr>
              <w:t>64 acres zoned agricultural and 6.4 acres zoned light industrial</w:t>
            </w:r>
          </w:p>
        </w:tc>
        <w:tc>
          <w:tcPr>
            <w:tcW w:w="970" w:type="dxa"/>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1"/>
              <w:ind w:left="0" w:right="0" w:hanging="0"/>
              <w:jc w:val="center"/>
              <w:rPr>
                <w:sz w:val="17"/>
              </w:rPr>
            </w:pPr>
            <w:r>
              <w:rPr>
                <w:sz w:val="17"/>
              </w:rPr>
              <w:t>$14,021,000</w:t>
            </w:r>
          </w:p>
        </w:tc>
        <w:tc>
          <w:tcPr>
            <w:tcW w:w="5691" w:type="dxa"/>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1"/>
              <w:ind w:left="0" w:right="0" w:hanging="0"/>
              <w:jc w:val="both"/>
              <w:rPr>
                <w:sz w:val="15"/>
              </w:rPr>
            </w:pPr>
            <w:r>
              <w:rPr>
                <w:sz w:val="15"/>
              </w:rPr>
              <w:t>The bulk of the land is zoned for agriculture and is currently used for horticulture commercial purposes.  A development plan has been filed to rezone the property for warehouse, distribution and manufacturing uses.  We currently anticipate that this rezoning will be approved.  In 2010, we acquired an adjacent property which is zoned industrial, but is currently unimproved.  This property links our existing parcel with the existing road network.</w:t>
            </w:r>
          </w:p>
        </w:tc>
      </w:tr>
    </w:tbl>
    <w:p>
      <w:pPr>
        <w:pStyle w:val="TextBody"/>
        <w:spacing w:before="100" w:after="100"/>
        <w:ind w:left="1440" w:right="0" w:firstLine="720"/>
        <w:jc w:val="both"/>
        <w:rPr>
          <w:sz w:val="17"/>
        </w:rPr>
      </w:pPr>
      <w:r>
        <w:rPr>
          <w:sz w:val="17"/>
        </w:rPr>
        <w:t xml:space="preserve">Some of our income operating property and our investment and development property carry various debt encumbrances based on their income streams and geographic locations.  For an explanation of our debt and the associated security collateral please see Note 12 – </w:t>
      </w:r>
      <w:r>
        <w:rPr>
          <w:i/>
          <w:sz w:val="17"/>
        </w:rPr>
        <w:t>Notes Payable</w:t>
      </w:r>
      <w:r>
        <w:rPr>
          <w:sz w:val="17"/>
        </w:rPr>
        <w:t xml:space="preserve"> to our 2012 Consolidated Financial Statements. </w:t>
      </w:r>
    </w:p>
    <w:p>
      <w:pPr>
        <w:pStyle w:val="TextBody"/>
        <w:spacing w:lineRule="auto" w:line="240" w:before="100" w:after="100"/>
        <w:ind w:left="1440" w:right="0" w:hanging="0"/>
        <w:jc w:val="both"/>
        <w:rPr>
          <w:sz w:val="17"/>
          <w:u w:val="single"/>
        </w:rPr>
      </w:pPr>
      <w:r>
        <w:rPr>
          <w:b/>
          <w:sz w:val="17"/>
          <w:u w:val="single"/>
        </w:rPr>
        <w:t>Other Property Interests and Investments</w:t>
      </w:r>
      <w:r>
        <w:rPr>
          <w:sz w:val="17"/>
          <w:u w:val="single"/>
        </w:rPr>
        <w:t xml:space="preserve"> </w:t>
      </w:r>
    </w:p>
    <w:p>
      <w:pPr>
        <w:pStyle w:val="TextBody"/>
        <w:spacing w:before="0" w:after="200"/>
        <w:ind w:left="1440" w:right="0" w:hanging="0"/>
        <w:jc w:val="both"/>
        <w:rPr/>
      </w:pPr>
      <w:r>
        <w:rPr/>
        <w:t>            </w:t>
      </w:r>
      <w:r>
        <w:rPr>
          <w:sz w:val="17"/>
        </w:rPr>
        <w:t xml:space="preserve">We own the fee interest in 11 parcels comprising 195 acres in Pennsylvania and Delaware.  These acres consist primarily of vacant land.  With the exception of certain properties located in Philadelphia (including the raised railroad bed leading to the old Reading Railroad Station), the properties are principally located in rural areas of Pennsylvania and Delaware.  Additionally, we own a condominium in the Los Angeles, California area that is used for offsite corporate meetings and by our Chief Executive Officer when he is in town.  Except for a negative pledge on the aforementioned Los Angeles condominium, these properties are unencumbered with any debt and are lien free.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sz w:val="17"/>
        </w:rPr>
      </w:pPr>
      <w:r>
        <w:rPr>
          <w:b/>
          <w:sz w:val="17"/>
          <w:u w:val="single"/>
        </w:rPr>
        <w:t>Item 3 – Legal Proceedings</w:t>
      </w:r>
      <w:r>
        <w:rPr>
          <w:sz w:val="17"/>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b/>
          <w:sz w:val="17"/>
          <w:u w:val="single"/>
        </w:rPr>
      </w:pPr>
      <w:r>
        <w:rPr>
          <w:b/>
          <w:sz w:val="17"/>
          <w:u w:val="single"/>
        </w:rPr>
        <w:t xml:space="preserve">Tax Audit/Litigation </w:t>
      </w:r>
    </w:p>
    <w:p>
      <w:pPr>
        <w:pStyle w:val="TextBody"/>
        <w:spacing w:before="0" w:after="200"/>
        <w:ind w:left="1440" w:right="0" w:firstLine="720"/>
        <w:jc w:val="both"/>
        <w:rPr>
          <w:sz w:val="17"/>
        </w:rPr>
      </w:pPr>
      <w:r>
        <w:rPr>
          <w:sz w:val="17"/>
        </w:rPr>
        <w:t xml:space="preserve">The Internal Revenue Service (the “IRS”) has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  </w:t>
      </w:r>
    </w:p>
    <w:p>
      <w:pPr>
        <w:pStyle w:val="TextBody"/>
        <w:spacing w:before="0" w:after="200"/>
        <w:ind w:left="1440" w:right="0" w:firstLine="720"/>
        <w:jc w:val="both"/>
        <w:rPr>
          <w:sz w:val="17"/>
        </w:rPr>
      </w:pPr>
      <w:r>
        <w:rPr>
          <w:sz w:val="17"/>
        </w:rPr>
        <w:t xml:space="preserve">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2012 and 2011, after the payments made during 2012 and 2011, respectively, the remaining federal tax obligation was $10.0 million and $13.5 million, respectively, in tax and interest.  Of the $10.0 million owed under the installment agreement as of December 31, 2012, $3.5 million was recorded as current taxes payable, with the remaining balance being recorded as non-current tax liability.  Of the $13.5 million owed under the installment agreement as of December 31, 2011, $3.5 million was recorded as current taxes payable, with the remaining balance being recorded as non-current tax liability.  </w:t>
      </w:r>
    </w:p>
    <w:p>
      <w:pPr>
        <w:pStyle w:val="TextBody"/>
        <w:spacing w:before="0" w:after="200"/>
        <w:ind w:left="1440" w:right="0" w:firstLine="720"/>
        <w:jc w:val="both"/>
        <w:rPr>
          <w:sz w:val="17"/>
        </w:rPr>
      </w:pPr>
      <w:r>
        <w:rPr>
          <w:sz w:val="17"/>
        </w:rPr>
        <w:t xml:space="preserve">The impact of the settlement upon the state taxes of the Reading consolidated group, if the adjustment to income agreed with the IRS were reflected on state returns, would be an obligation of approximately $1.4 million in tax plus interest and potential penalty.  CRG’s 1997 tax year remains open with respect to CRG’s potential tax liability to the State of California.  As of December 31, 2012, no deficiency has been asserted by the State of California, and we have made no final decision as to the course of action to be followed if a deficiency is asserted. </w:t>
      </w:r>
    </w:p>
    <w:p>
      <w:pPr>
        <w:pStyle w:val="TextBody"/>
        <w:spacing w:before="0" w:after="200"/>
        <w:ind w:left="1440" w:right="0" w:hanging="0"/>
        <w:jc w:val="both"/>
        <w:rPr>
          <w:sz w:val="17"/>
        </w:rPr>
      </w:pPr>
      <w:r>
        <w:rPr>
          <w:b/>
          <w:sz w:val="17"/>
          <w:u w:val="single"/>
        </w:rPr>
        <w:t>Environmental and Asbestos Claims</w:t>
      </w:r>
      <w:r>
        <w:rPr>
          <w:sz w:val="17"/>
        </w:rPr>
        <w:t xml:space="preserve"> </w:t>
      </w:r>
    </w:p>
    <w:p>
      <w:pPr>
        <w:pStyle w:val="TextBody"/>
        <w:spacing w:before="0" w:after="200"/>
        <w:ind w:left="1440" w:right="0" w:firstLine="720"/>
        <w:jc w:val="both"/>
        <w:rPr>
          <w:sz w:val="17"/>
        </w:rPr>
      </w:pPr>
      <w:r>
        <w:rPr>
          <w:sz w:val="17"/>
        </w:rPr>
        <w:t xml:space="preserve">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 </w:t>
      </w:r>
    </w:p>
    <w:p>
      <w:pPr>
        <w:pStyle w:val="TextBody"/>
        <w:spacing w:before="0" w:after="200"/>
        <w:ind w:left="1440" w:right="0" w:firstLine="720"/>
        <w:jc w:val="both"/>
        <w:rPr>
          <w:sz w:val="17"/>
        </w:rPr>
      </w:pPr>
      <w:r>
        <w:rPr>
          <w:sz w:val="17"/>
        </w:rPr>
        <w:t xml:space="preserve">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 </w:t>
      </w:r>
    </w:p>
    <w:p>
      <w:pPr>
        <w:pStyle w:val="TextBody"/>
        <w:spacing w:before="0" w:after="200"/>
        <w:ind w:left="1440" w:right="0" w:hanging="0"/>
        <w:jc w:val="both"/>
        <w:rPr/>
      </w:pPr>
      <w:r>
        <w:rPr/>
        <w:t>            </w:t>
      </w:r>
      <w:r>
        <w:rPr>
          <w:sz w:val="17"/>
        </w:rPr>
        <w:t xml:space="preserve">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2012, we estimate that the total site preparation costs associated with the removal of this contaminated soil will be $17.7 million (AUS$17.1 million) and as of that date we had already incurred a total of $8.6 million (AUS$8.3 million) of these costs.  We do not believe that this has added materially to the overall development cost of the site, as it is anticipated that all of the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work will be done in connection with the excavation and other development activity already contemplated for the property.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center"/>
        <w:rPr>
          <w:sz w:val="17"/>
        </w:rPr>
      </w:pPr>
      <w:r>
        <w:rPr>
          <w:b/>
          <w:sz w:val="17"/>
          <w:u w:val="single"/>
        </w:rPr>
        <w:t>PART II</w:t>
      </w:r>
      <w:r>
        <w:rPr>
          <w:sz w:val="17"/>
        </w:rPr>
        <w:t xml:space="preserve"> </w:t>
      </w:r>
    </w:p>
    <w:p>
      <w:pPr>
        <w:pStyle w:val="TextBody"/>
        <w:spacing w:before="0" w:after="200"/>
        <w:ind w:left="1440" w:right="0" w:hanging="0"/>
        <w:jc w:val="both"/>
        <w:rPr>
          <w:sz w:val="17"/>
        </w:rPr>
      </w:pPr>
      <w:r>
        <w:rPr>
          <w:b/>
          <w:sz w:val="17"/>
          <w:u w:val="single"/>
        </w:rPr>
        <w:t>Item 5 – Market for Registrant’s Common Equity, Related Stockholder Matters and Issuer Purchases of Equity Securities</w:t>
      </w:r>
      <w:r>
        <w:rPr>
          <w:sz w:val="17"/>
        </w:rPr>
        <w:t xml:space="preserve"> </w:t>
      </w:r>
    </w:p>
    <w:p>
      <w:pPr>
        <w:pStyle w:val="TextBody"/>
        <w:spacing w:before="0" w:after="200"/>
        <w:ind w:left="1440" w:right="0" w:hanging="0"/>
        <w:jc w:val="both"/>
        <w:rPr>
          <w:sz w:val="17"/>
        </w:rPr>
      </w:pPr>
      <w:r>
        <w:rPr>
          <w:b/>
          <w:sz w:val="17"/>
          <w:u w:val="single"/>
        </w:rPr>
        <w:t>(a) Market Price of and Dividends on the Registrant’s Common Equity and Related Stockholder Matters</w:t>
      </w:r>
      <w:r>
        <w:rPr>
          <w:sz w:val="17"/>
        </w:rPr>
        <w:t xml:space="preserve"> </w:t>
      </w:r>
    </w:p>
    <w:p>
      <w:pPr>
        <w:pStyle w:val="TextBody"/>
        <w:spacing w:before="0" w:after="200"/>
        <w:ind w:left="1440" w:right="0" w:hanging="0"/>
        <w:jc w:val="both"/>
        <w:rPr>
          <w:sz w:val="17"/>
        </w:rPr>
      </w:pPr>
      <w:r>
        <w:rPr>
          <w:sz w:val="17"/>
          <w:u w:val="single"/>
        </w:rPr>
        <w:t>Market Information</w:t>
      </w:r>
      <w:r>
        <w:rPr>
          <w:sz w:val="17"/>
        </w:rPr>
        <w:t xml:space="preserve"> </w:t>
      </w:r>
    </w:p>
    <w:p>
      <w:pPr>
        <w:pStyle w:val="TextBody"/>
        <w:spacing w:before="0" w:after="200"/>
        <w:ind w:left="1440" w:right="0" w:firstLine="720"/>
        <w:jc w:val="both"/>
        <w:rPr>
          <w:sz w:val="17"/>
        </w:rPr>
      </w:pPr>
      <w:r>
        <w:rPr>
          <w:sz w:val="17"/>
        </w:rPr>
        <w:t xml:space="preserve">Reading International, Inc., a Nevada corporation (“RDI” and collectively with our consolidated subsidiaries and corporate predecessors, the “Company,” “Reading” and “we,” “us,” or “our”), was incorporated in 1999.  Historically, we have been listed on the AMEX and due to the 2008 purchase of the AMEX by the NYSE Alternext US, we were listed on that exchange at December 31, 2008.  During July 2009, we moved our listing from NYSE Alternext to NASDAQ. </w:t>
      </w:r>
    </w:p>
    <w:p>
      <w:pPr>
        <w:pStyle w:val="TextBody"/>
        <w:spacing w:before="0" w:after="200"/>
        <w:ind w:left="1440" w:right="0" w:firstLine="720"/>
        <w:jc w:val="both"/>
        <w:rPr>
          <w:sz w:val="17"/>
        </w:rPr>
      </w:pPr>
      <w:r>
        <w:rPr>
          <w:sz w:val="17"/>
        </w:rPr>
        <w:t xml:space="preserve">The following table sets forth the high and low closing prices of the RDI and RDIB common stock for each of the quarters in 2012 and 2011 as reported by NASDAQ: </w:t>
      </w:r>
    </w:p>
    <w:tbl>
      <w:tblPr>
        <w:tblW w:w="3791" w:type="dxa"/>
        <w:jc w:val="left"/>
        <w:tblInd w:w="1440" w:type="dxa"/>
        <w:tblCellMar>
          <w:top w:w="0" w:type="dxa"/>
          <w:left w:w="0" w:type="dxa"/>
          <w:bottom w:w="0" w:type="dxa"/>
          <w:right w:w="0" w:type="dxa"/>
        </w:tblCellMar>
      </w:tblPr>
      <w:tblGrid>
        <w:gridCol w:w="395"/>
        <w:gridCol w:w="1100"/>
        <w:gridCol w:w="110"/>
        <w:gridCol w:w="433"/>
        <w:gridCol w:w="68"/>
        <w:gridCol w:w="125"/>
        <w:gridCol w:w="382"/>
        <w:gridCol w:w="60"/>
        <w:gridCol w:w="110"/>
        <w:gridCol w:w="426"/>
        <w:gridCol w:w="67"/>
        <w:gridCol w:w="123"/>
        <w:gridCol w:w="392"/>
      </w:tblGrid>
      <w:tr>
        <w:trPr/>
        <w:tc>
          <w:tcPr>
            <w:tcW w:w="395" w:type="dxa"/>
            <w:tcBorders/>
            <w:shd w:fill="auto" w:val="clear"/>
            <w:vAlign w:val="bottom"/>
          </w:tcPr>
          <w:p>
            <w:pPr>
              <w:pStyle w:val="TableContents"/>
              <w:spacing w:before="0" w:after="1"/>
              <w:ind w:left="0" w:right="0" w:hanging="0"/>
              <w:jc w:val="both"/>
              <w:rPr/>
            </w:pPr>
            <w:r>
              <w:rPr/>
              <w:t> </w:t>
            </w:r>
          </w:p>
        </w:tc>
        <w:tc>
          <w:tcPr>
            <w:tcW w:w="11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433" w:type="dxa"/>
            <w:tcBorders/>
            <w:shd w:fill="auto" w:val="clear"/>
            <w:vAlign w:val="bottom"/>
          </w:tcPr>
          <w:p>
            <w:pPr>
              <w:pStyle w:val="TableContents"/>
              <w:spacing w:before="0" w:after="1"/>
              <w:ind w:left="0" w:right="0" w:hanging="0"/>
              <w:jc w:val="both"/>
              <w:rPr/>
            </w:pPr>
            <w:r>
              <w:rPr/>
              <w:t> </w:t>
            </w:r>
          </w:p>
        </w:tc>
        <w:tc>
          <w:tcPr>
            <w:tcW w:w="68" w:type="dxa"/>
            <w:tcBorders/>
            <w:shd w:fill="auto" w:val="clear"/>
            <w:vAlign w:val="bottom"/>
          </w:tcPr>
          <w:p>
            <w:pPr>
              <w:pStyle w:val="TableContents"/>
              <w:spacing w:before="0" w:after="1"/>
              <w:ind w:left="0" w:right="0" w:hanging="0"/>
              <w:jc w:val="both"/>
              <w:rPr/>
            </w:pPr>
            <w:r>
              <w:rPr/>
              <w:t> </w:t>
            </w:r>
          </w:p>
        </w:tc>
        <w:tc>
          <w:tcPr>
            <w:tcW w:w="125" w:type="dxa"/>
            <w:tcBorders/>
            <w:shd w:fill="auto" w:val="clear"/>
            <w:vAlign w:val="bottom"/>
          </w:tcPr>
          <w:p>
            <w:pPr>
              <w:pStyle w:val="TableContents"/>
              <w:spacing w:before="0" w:after="1"/>
              <w:ind w:left="0" w:right="0" w:hanging="0"/>
              <w:jc w:val="both"/>
              <w:rPr/>
            </w:pPr>
            <w:r>
              <w:rPr/>
              <w:t> </w:t>
            </w:r>
          </w:p>
        </w:tc>
        <w:tc>
          <w:tcPr>
            <w:tcW w:w="382"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426" w:type="dxa"/>
            <w:tcBorders/>
            <w:shd w:fill="auto" w:val="clear"/>
            <w:vAlign w:val="bottom"/>
          </w:tcPr>
          <w:p>
            <w:pPr>
              <w:pStyle w:val="TableContents"/>
              <w:spacing w:before="0" w:after="1"/>
              <w:ind w:left="0" w:right="0" w:hanging="0"/>
              <w:jc w:val="both"/>
              <w:rPr/>
            </w:pPr>
            <w:r>
              <w:rPr/>
              <w:t> </w:t>
            </w:r>
          </w:p>
        </w:tc>
        <w:tc>
          <w:tcPr>
            <w:tcW w:w="67" w:type="dxa"/>
            <w:tcBorders/>
            <w:shd w:fill="auto" w:val="clear"/>
            <w:vAlign w:val="bottom"/>
          </w:tcPr>
          <w:p>
            <w:pPr>
              <w:pStyle w:val="TableContents"/>
              <w:spacing w:before="0" w:after="1"/>
              <w:ind w:left="0" w:right="0" w:hanging="0"/>
              <w:jc w:val="both"/>
              <w:rPr/>
            </w:pPr>
            <w:r>
              <w:rPr/>
              <w:t> </w:t>
            </w:r>
          </w:p>
        </w:tc>
        <w:tc>
          <w:tcPr>
            <w:tcW w:w="123" w:type="dxa"/>
            <w:tcBorders/>
            <w:shd w:fill="auto" w:val="clear"/>
            <w:vAlign w:val="bottom"/>
          </w:tcPr>
          <w:p>
            <w:pPr>
              <w:pStyle w:val="TableContents"/>
              <w:spacing w:before="0" w:after="1"/>
              <w:ind w:left="0" w:right="0" w:hanging="0"/>
              <w:jc w:val="both"/>
              <w:rPr/>
            </w:pPr>
            <w:r>
              <w:rPr/>
              <w:t> </w:t>
            </w:r>
          </w:p>
        </w:tc>
        <w:tc>
          <w:tcPr>
            <w:tcW w:w="392" w:type="dxa"/>
            <w:tcBorders/>
            <w:shd w:fill="auto" w:val="clear"/>
            <w:vAlign w:val="bottom"/>
          </w:tcPr>
          <w:p>
            <w:pPr>
              <w:pStyle w:val="TableContents"/>
              <w:spacing w:before="0" w:after="1"/>
              <w:ind w:left="0" w:right="0" w:hanging="0"/>
              <w:jc w:val="both"/>
              <w:rPr/>
            </w:pPr>
            <w:r>
              <w:rPr/>
              <w:t> </w:t>
            </w:r>
          </w:p>
        </w:tc>
      </w:tr>
      <w:tr>
        <w:trPr/>
        <w:tc>
          <w:tcPr>
            <w:tcW w:w="395" w:type="dxa"/>
            <w:tcBorders/>
            <w:shd w:fill="auto" w:val="clear"/>
            <w:vAlign w:val="bottom"/>
          </w:tcPr>
          <w:p>
            <w:pPr>
              <w:pStyle w:val="TableContents"/>
              <w:spacing w:before="0" w:after="1"/>
              <w:ind w:left="0" w:right="0" w:hanging="0"/>
              <w:jc w:val="both"/>
              <w:rPr/>
            </w:pPr>
            <w:r>
              <w:rPr/>
              <w:t> </w:t>
            </w:r>
          </w:p>
        </w:tc>
        <w:tc>
          <w:tcPr>
            <w:tcW w:w="11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433" w:type="dxa"/>
            <w:tcBorders/>
            <w:shd w:fill="auto" w:val="clear"/>
            <w:vAlign w:val="bottom"/>
          </w:tcPr>
          <w:p>
            <w:pPr>
              <w:pStyle w:val="TableContents"/>
              <w:spacing w:before="0" w:after="1"/>
              <w:ind w:left="0" w:right="0" w:hanging="0"/>
              <w:jc w:val="both"/>
              <w:rPr/>
            </w:pPr>
            <w:r>
              <w:rPr/>
              <w:t> </w:t>
            </w:r>
          </w:p>
        </w:tc>
        <w:tc>
          <w:tcPr>
            <w:tcW w:w="68" w:type="dxa"/>
            <w:tcBorders/>
            <w:shd w:fill="auto" w:val="clear"/>
            <w:vAlign w:val="bottom"/>
          </w:tcPr>
          <w:p>
            <w:pPr>
              <w:pStyle w:val="TableContents"/>
              <w:spacing w:before="0" w:after="1"/>
              <w:ind w:left="0" w:right="0" w:hanging="0"/>
              <w:jc w:val="both"/>
              <w:rPr/>
            </w:pPr>
            <w:r>
              <w:rPr/>
              <w:t> </w:t>
            </w:r>
          </w:p>
        </w:tc>
        <w:tc>
          <w:tcPr>
            <w:tcW w:w="125" w:type="dxa"/>
            <w:tcBorders/>
            <w:shd w:fill="auto" w:val="clear"/>
            <w:vAlign w:val="bottom"/>
          </w:tcPr>
          <w:p>
            <w:pPr>
              <w:pStyle w:val="TableContents"/>
              <w:spacing w:before="0" w:after="1"/>
              <w:ind w:left="0" w:right="0" w:hanging="0"/>
              <w:jc w:val="both"/>
              <w:rPr/>
            </w:pPr>
            <w:r>
              <w:rPr/>
              <w:t> </w:t>
            </w:r>
          </w:p>
        </w:tc>
        <w:tc>
          <w:tcPr>
            <w:tcW w:w="382"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426" w:type="dxa"/>
            <w:tcBorders/>
            <w:shd w:fill="auto" w:val="clear"/>
            <w:vAlign w:val="bottom"/>
          </w:tcPr>
          <w:p>
            <w:pPr>
              <w:pStyle w:val="TableContents"/>
              <w:spacing w:before="0" w:after="1"/>
              <w:ind w:left="0" w:right="0" w:hanging="0"/>
              <w:jc w:val="both"/>
              <w:rPr/>
            </w:pPr>
            <w:r>
              <w:rPr/>
              <w:t> </w:t>
            </w:r>
          </w:p>
        </w:tc>
        <w:tc>
          <w:tcPr>
            <w:tcW w:w="67" w:type="dxa"/>
            <w:tcBorders/>
            <w:shd w:fill="auto" w:val="clear"/>
            <w:vAlign w:val="bottom"/>
          </w:tcPr>
          <w:p>
            <w:pPr>
              <w:pStyle w:val="TableContents"/>
              <w:spacing w:before="0" w:after="1"/>
              <w:ind w:left="0" w:right="0" w:hanging="0"/>
              <w:jc w:val="both"/>
              <w:rPr/>
            </w:pPr>
            <w:r>
              <w:rPr/>
              <w:t> </w:t>
            </w:r>
          </w:p>
        </w:tc>
        <w:tc>
          <w:tcPr>
            <w:tcW w:w="123" w:type="dxa"/>
            <w:tcBorders/>
            <w:shd w:fill="auto" w:val="clear"/>
            <w:vAlign w:val="bottom"/>
          </w:tcPr>
          <w:p>
            <w:pPr>
              <w:pStyle w:val="TableContents"/>
              <w:spacing w:before="0" w:after="1"/>
              <w:ind w:left="0" w:right="0" w:hanging="0"/>
              <w:jc w:val="both"/>
              <w:rPr/>
            </w:pPr>
            <w:r>
              <w:rPr/>
              <w:t> </w:t>
            </w:r>
          </w:p>
        </w:tc>
        <w:tc>
          <w:tcPr>
            <w:tcW w:w="392" w:type="dxa"/>
            <w:tcBorders/>
            <w:shd w:fill="auto" w:val="clear"/>
            <w:vAlign w:val="bottom"/>
          </w:tcPr>
          <w:p>
            <w:pPr>
              <w:pStyle w:val="TableContents"/>
              <w:spacing w:before="0" w:after="1"/>
              <w:ind w:left="0" w:right="0" w:hanging="0"/>
              <w:jc w:val="both"/>
              <w:rPr/>
            </w:pPr>
            <w:r>
              <w:rPr/>
              <w:t> </w:t>
            </w:r>
          </w:p>
        </w:tc>
      </w:tr>
      <w:tr>
        <w:trPr/>
        <w:tc>
          <w:tcPr>
            <w:tcW w:w="395" w:type="dxa"/>
            <w:tcBorders/>
            <w:shd w:fill="auto" w:val="clear"/>
            <w:vAlign w:val="bottom"/>
          </w:tcPr>
          <w:p>
            <w:pPr>
              <w:pStyle w:val="TableContents"/>
              <w:spacing w:before="0" w:after="1"/>
              <w:ind w:left="0" w:right="0" w:hanging="0"/>
              <w:jc w:val="both"/>
              <w:rPr/>
            </w:pPr>
            <w:r>
              <w:rPr/>
              <w:t> </w:t>
            </w:r>
          </w:p>
        </w:tc>
        <w:tc>
          <w:tcPr>
            <w:tcW w:w="11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08" w:type="dxa"/>
            <w:gridSpan w:val="4"/>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Class A Stock</w:t>
            </w:r>
          </w:p>
        </w:tc>
        <w:tc>
          <w:tcPr>
            <w:tcW w:w="60" w:type="dxa"/>
            <w:tcBorders/>
            <w:shd w:fill="auto" w:val="clear"/>
            <w:vAlign w:val="bottom"/>
          </w:tcPr>
          <w:p>
            <w:pPr>
              <w:pStyle w:val="TableContents"/>
              <w:spacing w:before="0" w:after="1"/>
              <w:ind w:left="0" w:right="0" w:hanging="0"/>
              <w:jc w:val="center"/>
              <w:rPr/>
            </w:pPr>
            <w:r>
              <w:rPr/>
              <w:t> </w:t>
            </w:r>
          </w:p>
        </w:tc>
        <w:tc>
          <w:tcPr>
            <w:tcW w:w="110" w:type="dxa"/>
            <w:tcBorders/>
            <w:shd w:fill="auto" w:val="clear"/>
            <w:vAlign w:val="bottom"/>
          </w:tcPr>
          <w:p>
            <w:pPr>
              <w:pStyle w:val="TableContents"/>
              <w:spacing w:before="0" w:after="1"/>
              <w:ind w:left="0" w:right="0" w:hanging="0"/>
              <w:jc w:val="center"/>
              <w:rPr/>
            </w:pPr>
            <w:r>
              <w:rPr/>
              <w:t> </w:t>
            </w:r>
          </w:p>
        </w:tc>
        <w:tc>
          <w:tcPr>
            <w:tcW w:w="1008" w:type="dxa"/>
            <w:gridSpan w:val="4"/>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Class B Stock</w:t>
            </w:r>
          </w:p>
        </w:tc>
      </w:tr>
      <w:tr>
        <w:trPr/>
        <w:tc>
          <w:tcPr>
            <w:tcW w:w="3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433"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High</w:t>
            </w:r>
          </w:p>
        </w:tc>
        <w:tc>
          <w:tcPr>
            <w:tcW w:w="68"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12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382"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Low</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426"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High</w:t>
            </w:r>
          </w:p>
        </w:tc>
        <w:tc>
          <w:tcPr>
            <w:tcW w:w="67"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123"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392"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Low</w:t>
            </w:r>
          </w:p>
        </w:tc>
      </w:tr>
      <w:tr>
        <w:trPr/>
        <w:tc>
          <w:tcPr>
            <w:tcW w:w="395"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110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433"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8"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2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382"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426"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7"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23"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392"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r>
      <w:tr>
        <w:trPr/>
        <w:tc>
          <w:tcPr>
            <w:tcW w:w="395" w:type="dxa"/>
            <w:tcBorders/>
            <w:shd w:fill="CCEEFF" w:val="clear"/>
            <w:vAlign w:val="bottom"/>
          </w:tcPr>
          <w:p>
            <w:pPr>
              <w:pStyle w:val="TableContents"/>
              <w:spacing w:before="0" w:after="1"/>
              <w:ind w:left="0" w:right="0" w:hanging="0"/>
              <w:jc w:val="center"/>
              <w:rPr>
                <w:b/>
                <w:sz w:val="17"/>
                <w:u w:val="single"/>
              </w:rPr>
            </w:pPr>
            <w:r>
              <w:rPr>
                <w:b/>
                <w:sz w:val="17"/>
                <w:u w:val="single"/>
              </w:rPr>
              <w:t>2012</w:t>
            </w:r>
          </w:p>
        </w:tc>
        <w:tc>
          <w:tcPr>
            <w:tcW w:w="1100" w:type="dxa"/>
            <w:tcBorders/>
            <w:shd w:fill="CCEEFF" w:val="clear"/>
            <w:vAlign w:val="bottom"/>
          </w:tcPr>
          <w:p>
            <w:pPr>
              <w:pStyle w:val="TableContents"/>
              <w:spacing w:before="0" w:after="1"/>
              <w:ind w:left="0" w:right="0" w:hanging="0"/>
              <w:jc w:val="both"/>
              <w:rPr>
                <w:sz w:val="17"/>
              </w:rPr>
            </w:pPr>
            <w:r>
              <w:rPr>
                <w:sz w:val="17"/>
              </w:rPr>
              <w:t>Fourth Quarter</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33" w:type="dxa"/>
            <w:tcBorders/>
            <w:shd w:fill="CCEEFF" w:val="clear"/>
            <w:vAlign w:val="bottom"/>
          </w:tcPr>
          <w:p>
            <w:pPr>
              <w:pStyle w:val="TableContents"/>
              <w:spacing w:before="0" w:after="1"/>
              <w:ind w:left="0" w:right="0" w:hanging="0"/>
              <w:jc w:val="center"/>
              <w:rPr>
                <w:sz w:val="17"/>
              </w:rPr>
            </w:pPr>
            <w:r>
              <w:rPr>
                <w:sz w:val="17"/>
              </w:rPr>
              <w:t>6.23</w:t>
            </w:r>
          </w:p>
        </w:tc>
        <w:tc>
          <w:tcPr>
            <w:tcW w:w="68" w:type="dxa"/>
            <w:tcBorders/>
            <w:shd w:fill="CCEEFF" w:val="clear"/>
            <w:vAlign w:val="bottom"/>
          </w:tcPr>
          <w:p>
            <w:pPr>
              <w:pStyle w:val="TableContents"/>
              <w:spacing w:before="0" w:after="1"/>
              <w:ind w:left="0" w:right="0" w:hanging="0"/>
              <w:jc w:val="both"/>
              <w:rPr/>
            </w:pPr>
            <w:r>
              <w:rPr/>
              <w:t> </w:t>
            </w:r>
          </w:p>
        </w:tc>
        <w:tc>
          <w:tcPr>
            <w:tcW w:w="125" w:type="dxa"/>
            <w:tcBorders/>
            <w:shd w:fill="CCEEFF" w:val="clear"/>
            <w:vAlign w:val="bottom"/>
          </w:tcPr>
          <w:p>
            <w:pPr>
              <w:pStyle w:val="TableContents"/>
              <w:spacing w:before="0" w:after="1"/>
              <w:ind w:left="0" w:right="0" w:hanging="0"/>
              <w:jc w:val="right"/>
              <w:rPr>
                <w:sz w:val="17"/>
              </w:rPr>
            </w:pPr>
            <w:r>
              <w:rPr>
                <w:sz w:val="17"/>
              </w:rPr>
              <w:t>$</w:t>
            </w:r>
          </w:p>
        </w:tc>
        <w:tc>
          <w:tcPr>
            <w:tcW w:w="382" w:type="dxa"/>
            <w:tcBorders/>
            <w:shd w:fill="CCEEFF" w:val="clear"/>
            <w:vAlign w:val="bottom"/>
          </w:tcPr>
          <w:p>
            <w:pPr>
              <w:pStyle w:val="TableContents"/>
              <w:spacing w:before="0" w:after="1"/>
              <w:ind w:left="0" w:right="0" w:hanging="0"/>
              <w:jc w:val="center"/>
              <w:rPr>
                <w:sz w:val="17"/>
              </w:rPr>
            </w:pPr>
            <w:r>
              <w:rPr>
                <w:sz w:val="17"/>
              </w:rPr>
              <w:t>5.48</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26" w:type="dxa"/>
            <w:tcBorders/>
            <w:shd w:fill="CCEEFF" w:val="clear"/>
            <w:vAlign w:val="bottom"/>
          </w:tcPr>
          <w:p>
            <w:pPr>
              <w:pStyle w:val="TableContents"/>
              <w:spacing w:before="0" w:after="1"/>
              <w:ind w:left="0" w:right="0" w:hanging="0"/>
              <w:jc w:val="center"/>
              <w:rPr>
                <w:sz w:val="17"/>
              </w:rPr>
            </w:pPr>
            <w:r>
              <w:rPr>
                <w:sz w:val="17"/>
              </w:rPr>
              <w:t>7.40</w:t>
            </w:r>
          </w:p>
        </w:tc>
        <w:tc>
          <w:tcPr>
            <w:tcW w:w="67" w:type="dxa"/>
            <w:tcBorders/>
            <w:shd w:fill="CCEEFF" w:val="clear"/>
            <w:vAlign w:val="bottom"/>
          </w:tcPr>
          <w:p>
            <w:pPr>
              <w:pStyle w:val="TableContents"/>
              <w:spacing w:before="0" w:after="1"/>
              <w:ind w:left="0" w:right="0" w:hanging="0"/>
              <w:jc w:val="both"/>
              <w:rPr/>
            </w:pPr>
            <w:r>
              <w:rPr/>
              <w:t> </w:t>
            </w:r>
          </w:p>
        </w:tc>
        <w:tc>
          <w:tcPr>
            <w:tcW w:w="123" w:type="dxa"/>
            <w:tcBorders/>
            <w:shd w:fill="CCEEFF" w:val="clear"/>
            <w:vAlign w:val="bottom"/>
          </w:tcPr>
          <w:p>
            <w:pPr>
              <w:pStyle w:val="TableContents"/>
              <w:spacing w:before="0" w:after="1"/>
              <w:ind w:left="0" w:right="0" w:hanging="0"/>
              <w:jc w:val="right"/>
              <w:rPr>
                <w:sz w:val="17"/>
              </w:rPr>
            </w:pPr>
            <w:r>
              <w:rPr>
                <w:sz w:val="17"/>
              </w:rPr>
              <w:t>$</w:t>
            </w:r>
          </w:p>
        </w:tc>
        <w:tc>
          <w:tcPr>
            <w:tcW w:w="392" w:type="dxa"/>
            <w:tcBorders/>
            <w:shd w:fill="CCEEFF" w:val="clear"/>
            <w:vAlign w:val="bottom"/>
          </w:tcPr>
          <w:p>
            <w:pPr>
              <w:pStyle w:val="TableContents"/>
              <w:spacing w:before="0" w:after="1"/>
              <w:ind w:left="0" w:right="0" w:hanging="0"/>
              <w:jc w:val="center"/>
              <w:rPr>
                <w:sz w:val="17"/>
              </w:rPr>
            </w:pPr>
            <w:r>
              <w:rPr>
                <w:sz w:val="17"/>
              </w:rPr>
              <w:t>5.64</w:t>
            </w:r>
          </w:p>
        </w:tc>
      </w:tr>
      <w:tr>
        <w:trPr/>
        <w:tc>
          <w:tcPr>
            <w:tcW w:w="395" w:type="dxa"/>
            <w:tcBorders/>
            <w:shd w:fill="FFFFFF" w:val="clear"/>
            <w:vAlign w:val="bottom"/>
          </w:tcPr>
          <w:p>
            <w:pPr>
              <w:pStyle w:val="TableContents"/>
              <w:spacing w:before="0" w:after="1"/>
              <w:ind w:left="0" w:right="0" w:hanging="0"/>
              <w:jc w:val="center"/>
              <w:rPr/>
            </w:pPr>
            <w:r>
              <w:rPr/>
              <w:t> </w:t>
            </w:r>
          </w:p>
        </w:tc>
        <w:tc>
          <w:tcPr>
            <w:tcW w:w="1100" w:type="dxa"/>
            <w:tcBorders/>
            <w:shd w:fill="FFFFFF" w:val="clear"/>
            <w:vAlign w:val="bottom"/>
          </w:tcPr>
          <w:p>
            <w:pPr>
              <w:pStyle w:val="TableContents"/>
              <w:spacing w:before="0" w:after="1"/>
              <w:ind w:left="0" w:right="0" w:hanging="0"/>
              <w:jc w:val="both"/>
              <w:rPr>
                <w:sz w:val="17"/>
              </w:rPr>
            </w:pPr>
            <w:r>
              <w:rPr>
                <w:sz w:val="17"/>
              </w:rPr>
              <w:t>Third Quarter</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33" w:type="dxa"/>
            <w:tcBorders/>
            <w:shd w:fill="FFFFFF" w:val="clear"/>
            <w:vAlign w:val="bottom"/>
          </w:tcPr>
          <w:p>
            <w:pPr>
              <w:pStyle w:val="TableContents"/>
              <w:spacing w:before="0" w:after="1"/>
              <w:ind w:left="0" w:right="0" w:hanging="0"/>
              <w:jc w:val="center"/>
              <w:rPr>
                <w:sz w:val="17"/>
              </w:rPr>
            </w:pPr>
            <w:r>
              <w:rPr>
                <w:sz w:val="17"/>
              </w:rPr>
              <w:t>6.58</w:t>
            </w:r>
          </w:p>
        </w:tc>
        <w:tc>
          <w:tcPr>
            <w:tcW w:w="68" w:type="dxa"/>
            <w:tcBorders/>
            <w:shd w:fill="FFFFFF" w:val="clear"/>
            <w:vAlign w:val="bottom"/>
          </w:tcPr>
          <w:p>
            <w:pPr>
              <w:pStyle w:val="TableContents"/>
              <w:spacing w:before="0" w:after="1"/>
              <w:ind w:left="0" w:right="0" w:hanging="0"/>
              <w:jc w:val="both"/>
              <w:rPr/>
            </w:pPr>
            <w:r>
              <w:rPr/>
              <w:t> </w:t>
            </w:r>
          </w:p>
        </w:tc>
        <w:tc>
          <w:tcPr>
            <w:tcW w:w="125" w:type="dxa"/>
            <w:tcBorders/>
            <w:shd w:fill="FFFFFF" w:val="clear"/>
            <w:vAlign w:val="bottom"/>
          </w:tcPr>
          <w:p>
            <w:pPr>
              <w:pStyle w:val="TableContents"/>
              <w:spacing w:before="0" w:after="1"/>
              <w:ind w:left="0" w:right="0" w:hanging="0"/>
              <w:jc w:val="right"/>
              <w:rPr>
                <w:sz w:val="17"/>
              </w:rPr>
            </w:pPr>
            <w:r>
              <w:rPr>
                <w:sz w:val="17"/>
              </w:rPr>
              <w:t>$</w:t>
            </w:r>
          </w:p>
        </w:tc>
        <w:tc>
          <w:tcPr>
            <w:tcW w:w="382" w:type="dxa"/>
            <w:tcBorders/>
            <w:shd w:fill="FFFFFF" w:val="clear"/>
            <w:vAlign w:val="bottom"/>
          </w:tcPr>
          <w:p>
            <w:pPr>
              <w:pStyle w:val="TableContents"/>
              <w:spacing w:before="0" w:after="1"/>
              <w:ind w:left="0" w:right="0" w:hanging="0"/>
              <w:jc w:val="center"/>
              <w:rPr>
                <w:sz w:val="17"/>
              </w:rPr>
            </w:pPr>
            <w:r>
              <w:rPr>
                <w:sz w:val="17"/>
              </w:rPr>
              <w:t>4.73</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26" w:type="dxa"/>
            <w:tcBorders/>
            <w:shd w:fill="FFFFFF" w:val="clear"/>
            <w:vAlign w:val="bottom"/>
          </w:tcPr>
          <w:p>
            <w:pPr>
              <w:pStyle w:val="TableContents"/>
              <w:spacing w:before="0" w:after="1"/>
              <w:ind w:left="0" w:right="0" w:hanging="0"/>
              <w:jc w:val="center"/>
              <w:rPr>
                <w:sz w:val="17"/>
              </w:rPr>
            </w:pPr>
            <w:r>
              <w:rPr>
                <w:sz w:val="17"/>
              </w:rPr>
              <w:t>7.95</w:t>
            </w:r>
          </w:p>
        </w:tc>
        <w:tc>
          <w:tcPr>
            <w:tcW w:w="67" w:type="dxa"/>
            <w:tcBorders/>
            <w:shd w:fill="FFFFFF" w:val="clear"/>
            <w:vAlign w:val="bottom"/>
          </w:tcPr>
          <w:p>
            <w:pPr>
              <w:pStyle w:val="TableContents"/>
              <w:spacing w:before="0" w:after="1"/>
              <w:ind w:left="0" w:right="0" w:hanging="0"/>
              <w:jc w:val="both"/>
              <w:rPr/>
            </w:pPr>
            <w:r>
              <w:rPr/>
              <w:t> </w:t>
            </w:r>
          </w:p>
        </w:tc>
        <w:tc>
          <w:tcPr>
            <w:tcW w:w="123" w:type="dxa"/>
            <w:tcBorders/>
            <w:shd w:fill="FFFFFF" w:val="clear"/>
            <w:vAlign w:val="bottom"/>
          </w:tcPr>
          <w:p>
            <w:pPr>
              <w:pStyle w:val="TableContents"/>
              <w:spacing w:before="0" w:after="1"/>
              <w:ind w:left="0" w:right="0" w:hanging="0"/>
              <w:jc w:val="right"/>
              <w:rPr>
                <w:sz w:val="17"/>
              </w:rPr>
            </w:pPr>
            <w:r>
              <w:rPr>
                <w:sz w:val="17"/>
              </w:rPr>
              <w:t>$</w:t>
            </w:r>
          </w:p>
        </w:tc>
        <w:tc>
          <w:tcPr>
            <w:tcW w:w="392" w:type="dxa"/>
            <w:tcBorders/>
            <w:shd w:fill="FFFFFF" w:val="clear"/>
            <w:vAlign w:val="bottom"/>
          </w:tcPr>
          <w:p>
            <w:pPr>
              <w:pStyle w:val="TableContents"/>
              <w:spacing w:before="0" w:after="1"/>
              <w:ind w:left="0" w:right="0" w:hanging="0"/>
              <w:jc w:val="center"/>
              <w:rPr>
                <w:sz w:val="17"/>
              </w:rPr>
            </w:pPr>
            <w:r>
              <w:rPr>
                <w:sz w:val="17"/>
              </w:rPr>
              <w:t>5.00</w:t>
            </w:r>
          </w:p>
        </w:tc>
      </w:tr>
      <w:tr>
        <w:trPr/>
        <w:tc>
          <w:tcPr>
            <w:tcW w:w="395" w:type="dxa"/>
            <w:tcBorders/>
            <w:shd w:fill="CCEEFF" w:val="clear"/>
            <w:vAlign w:val="bottom"/>
          </w:tcPr>
          <w:p>
            <w:pPr>
              <w:pStyle w:val="TableContents"/>
              <w:spacing w:before="0" w:after="1"/>
              <w:ind w:left="0" w:right="0" w:hanging="0"/>
              <w:jc w:val="center"/>
              <w:rPr/>
            </w:pPr>
            <w:r>
              <w:rPr/>
              <w:t> </w:t>
            </w:r>
          </w:p>
        </w:tc>
        <w:tc>
          <w:tcPr>
            <w:tcW w:w="1100" w:type="dxa"/>
            <w:tcBorders/>
            <w:shd w:fill="CCEEFF" w:val="clear"/>
            <w:vAlign w:val="bottom"/>
          </w:tcPr>
          <w:p>
            <w:pPr>
              <w:pStyle w:val="TableContents"/>
              <w:spacing w:before="0" w:after="1"/>
              <w:ind w:left="0" w:right="0" w:hanging="0"/>
              <w:jc w:val="both"/>
              <w:rPr>
                <w:sz w:val="17"/>
              </w:rPr>
            </w:pPr>
            <w:r>
              <w:rPr>
                <w:sz w:val="17"/>
              </w:rPr>
              <w:t>Second Quarter</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33" w:type="dxa"/>
            <w:tcBorders/>
            <w:shd w:fill="CCEEFF" w:val="clear"/>
            <w:vAlign w:val="bottom"/>
          </w:tcPr>
          <w:p>
            <w:pPr>
              <w:pStyle w:val="TableContents"/>
              <w:spacing w:before="0" w:after="1"/>
              <w:ind w:left="0" w:right="0" w:hanging="0"/>
              <w:jc w:val="center"/>
              <w:rPr>
                <w:sz w:val="17"/>
              </w:rPr>
            </w:pPr>
            <w:r>
              <w:rPr>
                <w:sz w:val="17"/>
              </w:rPr>
              <w:t>5.88</w:t>
            </w:r>
          </w:p>
        </w:tc>
        <w:tc>
          <w:tcPr>
            <w:tcW w:w="68" w:type="dxa"/>
            <w:tcBorders/>
            <w:shd w:fill="CCEEFF" w:val="clear"/>
            <w:vAlign w:val="bottom"/>
          </w:tcPr>
          <w:p>
            <w:pPr>
              <w:pStyle w:val="TableContents"/>
              <w:spacing w:before="0" w:after="1"/>
              <w:ind w:left="0" w:right="0" w:hanging="0"/>
              <w:jc w:val="both"/>
              <w:rPr/>
            </w:pPr>
            <w:r>
              <w:rPr/>
              <w:t> </w:t>
            </w:r>
          </w:p>
        </w:tc>
        <w:tc>
          <w:tcPr>
            <w:tcW w:w="125" w:type="dxa"/>
            <w:tcBorders/>
            <w:shd w:fill="CCEEFF" w:val="clear"/>
            <w:vAlign w:val="bottom"/>
          </w:tcPr>
          <w:p>
            <w:pPr>
              <w:pStyle w:val="TableContents"/>
              <w:spacing w:before="0" w:after="1"/>
              <w:ind w:left="0" w:right="0" w:hanging="0"/>
              <w:jc w:val="right"/>
              <w:rPr>
                <w:sz w:val="17"/>
              </w:rPr>
            </w:pPr>
            <w:r>
              <w:rPr>
                <w:sz w:val="17"/>
              </w:rPr>
              <w:t>$</w:t>
            </w:r>
          </w:p>
        </w:tc>
        <w:tc>
          <w:tcPr>
            <w:tcW w:w="382" w:type="dxa"/>
            <w:tcBorders/>
            <w:shd w:fill="CCEEFF" w:val="clear"/>
            <w:vAlign w:val="bottom"/>
          </w:tcPr>
          <w:p>
            <w:pPr>
              <w:pStyle w:val="TableContents"/>
              <w:spacing w:before="0" w:after="1"/>
              <w:ind w:left="0" w:right="0" w:hanging="0"/>
              <w:jc w:val="center"/>
              <w:rPr>
                <w:sz w:val="17"/>
              </w:rPr>
            </w:pPr>
            <w:r>
              <w:rPr>
                <w:sz w:val="17"/>
              </w:rPr>
              <w:t>4.62</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26" w:type="dxa"/>
            <w:tcBorders/>
            <w:shd w:fill="CCEEFF" w:val="clear"/>
            <w:vAlign w:val="bottom"/>
          </w:tcPr>
          <w:p>
            <w:pPr>
              <w:pStyle w:val="TableContents"/>
              <w:spacing w:before="0" w:after="1"/>
              <w:ind w:left="0" w:right="0" w:hanging="0"/>
              <w:jc w:val="center"/>
              <w:rPr>
                <w:sz w:val="17"/>
              </w:rPr>
            </w:pPr>
            <w:r>
              <w:rPr>
                <w:sz w:val="17"/>
              </w:rPr>
              <w:t>6.75</w:t>
            </w:r>
          </w:p>
        </w:tc>
        <w:tc>
          <w:tcPr>
            <w:tcW w:w="67" w:type="dxa"/>
            <w:tcBorders/>
            <w:shd w:fill="CCEEFF" w:val="clear"/>
            <w:vAlign w:val="bottom"/>
          </w:tcPr>
          <w:p>
            <w:pPr>
              <w:pStyle w:val="TableContents"/>
              <w:spacing w:before="0" w:after="1"/>
              <w:ind w:left="0" w:right="0" w:hanging="0"/>
              <w:jc w:val="both"/>
              <w:rPr/>
            </w:pPr>
            <w:r>
              <w:rPr/>
              <w:t> </w:t>
            </w:r>
          </w:p>
        </w:tc>
        <w:tc>
          <w:tcPr>
            <w:tcW w:w="123" w:type="dxa"/>
            <w:tcBorders/>
            <w:shd w:fill="CCEEFF" w:val="clear"/>
            <w:vAlign w:val="bottom"/>
          </w:tcPr>
          <w:p>
            <w:pPr>
              <w:pStyle w:val="TableContents"/>
              <w:spacing w:before="0" w:after="1"/>
              <w:ind w:left="0" w:right="0" w:hanging="0"/>
              <w:jc w:val="right"/>
              <w:rPr>
                <w:sz w:val="17"/>
              </w:rPr>
            </w:pPr>
            <w:r>
              <w:rPr>
                <w:sz w:val="17"/>
              </w:rPr>
              <w:t>$</w:t>
            </w:r>
          </w:p>
        </w:tc>
        <w:tc>
          <w:tcPr>
            <w:tcW w:w="392" w:type="dxa"/>
            <w:tcBorders/>
            <w:shd w:fill="CCEEFF" w:val="clear"/>
            <w:vAlign w:val="bottom"/>
          </w:tcPr>
          <w:p>
            <w:pPr>
              <w:pStyle w:val="TableContents"/>
              <w:spacing w:before="0" w:after="1"/>
              <w:ind w:left="0" w:right="0" w:hanging="0"/>
              <w:jc w:val="center"/>
              <w:rPr>
                <w:sz w:val="17"/>
              </w:rPr>
            </w:pPr>
            <w:r>
              <w:rPr>
                <w:sz w:val="17"/>
              </w:rPr>
              <w:t>4.53</w:t>
            </w:r>
          </w:p>
        </w:tc>
      </w:tr>
      <w:tr>
        <w:trPr/>
        <w:tc>
          <w:tcPr>
            <w:tcW w:w="395" w:type="dxa"/>
            <w:tcBorders/>
            <w:shd w:fill="FFFFFF" w:val="clear"/>
            <w:vAlign w:val="bottom"/>
          </w:tcPr>
          <w:p>
            <w:pPr>
              <w:pStyle w:val="TableContents"/>
              <w:spacing w:before="0" w:after="1"/>
              <w:ind w:left="0" w:right="0" w:hanging="0"/>
              <w:jc w:val="center"/>
              <w:rPr/>
            </w:pPr>
            <w:r>
              <w:rPr/>
              <w:t> </w:t>
            </w:r>
          </w:p>
        </w:tc>
        <w:tc>
          <w:tcPr>
            <w:tcW w:w="1100" w:type="dxa"/>
            <w:tcBorders/>
            <w:shd w:fill="FFFFFF" w:val="clear"/>
            <w:vAlign w:val="bottom"/>
          </w:tcPr>
          <w:p>
            <w:pPr>
              <w:pStyle w:val="TableContents"/>
              <w:spacing w:before="0" w:after="1"/>
              <w:ind w:left="0" w:right="0" w:hanging="0"/>
              <w:jc w:val="both"/>
              <w:rPr>
                <w:sz w:val="17"/>
              </w:rPr>
            </w:pPr>
            <w:r>
              <w:rPr>
                <w:sz w:val="17"/>
              </w:rPr>
              <w:t>First Quarter</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33" w:type="dxa"/>
            <w:tcBorders/>
            <w:shd w:fill="FFFFFF" w:val="clear"/>
            <w:vAlign w:val="bottom"/>
          </w:tcPr>
          <w:p>
            <w:pPr>
              <w:pStyle w:val="TableContents"/>
              <w:spacing w:before="0" w:after="1"/>
              <w:ind w:left="0" w:right="0" w:hanging="0"/>
              <w:jc w:val="center"/>
              <w:rPr>
                <w:sz w:val="17"/>
              </w:rPr>
            </w:pPr>
            <w:r>
              <w:rPr>
                <w:sz w:val="17"/>
              </w:rPr>
              <w:t>4.56</w:t>
            </w:r>
          </w:p>
        </w:tc>
        <w:tc>
          <w:tcPr>
            <w:tcW w:w="68" w:type="dxa"/>
            <w:tcBorders/>
            <w:shd w:fill="FFFFFF" w:val="clear"/>
            <w:vAlign w:val="bottom"/>
          </w:tcPr>
          <w:p>
            <w:pPr>
              <w:pStyle w:val="TableContents"/>
              <w:spacing w:before="0" w:after="1"/>
              <w:ind w:left="0" w:right="0" w:hanging="0"/>
              <w:jc w:val="both"/>
              <w:rPr/>
            </w:pPr>
            <w:r>
              <w:rPr/>
              <w:t> </w:t>
            </w:r>
          </w:p>
        </w:tc>
        <w:tc>
          <w:tcPr>
            <w:tcW w:w="125" w:type="dxa"/>
            <w:tcBorders/>
            <w:shd w:fill="FFFFFF" w:val="clear"/>
            <w:vAlign w:val="bottom"/>
          </w:tcPr>
          <w:p>
            <w:pPr>
              <w:pStyle w:val="TableContents"/>
              <w:spacing w:before="0" w:after="1"/>
              <w:ind w:left="0" w:right="0" w:hanging="0"/>
              <w:jc w:val="right"/>
              <w:rPr>
                <w:sz w:val="17"/>
              </w:rPr>
            </w:pPr>
            <w:r>
              <w:rPr>
                <w:sz w:val="17"/>
              </w:rPr>
              <w:t>$</w:t>
            </w:r>
          </w:p>
        </w:tc>
        <w:tc>
          <w:tcPr>
            <w:tcW w:w="382" w:type="dxa"/>
            <w:tcBorders/>
            <w:shd w:fill="FFFFFF" w:val="clear"/>
            <w:vAlign w:val="bottom"/>
          </w:tcPr>
          <w:p>
            <w:pPr>
              <w:pStyle w:val="TableContents"/>
              <w:spacing w:before="0" w:after="1"/>
              <w:ind w:left="0" w:right="0" w:hanging="0"/>
              <w:jc w:val="center"/>
              <w:rPr>
                <w:sz w:val="17"/>
              </w:rPr>
            </w:pPr>
            <w:r>
              <w:rPr>
                <w:sz w:val="17"/>
              </w:rPr>
              <w:t>4.12</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26" w:type="dxa"/>
            <w:tcBorders/>
            <w:shd w:fill="FFFFFF" w:val="clear"/>
            <w:vAlign w:val="bottom"/>
          </w:tcPr>
          <w:p>
            <w:pPr>
              <w:pStyle w:val="TableContents"/>
              <w:spacing w:before="0" w:after="1"/>
              <w:ind w:left="0" w:right="0" w:hanging="0"/>
              <w:jc w:val="center"/>
              <w:rPr>
                <w:sz w:val="17"/>
              </w:rPr>
            </w:pPr>
            <w:r>
              <w:rPr>
                <w:sz w:val="17"/>
              </w:rPr>
              <w:t>7.00</w:t>
            </w:r>
          </w:p>
        </w:tc>
        <w:tc>
          <w:tcPr>
            <w:tcW w:w="67" w:type="dxa"/>
            <w:tcBorders/>
            <w:shd w:fill="FFFFFF" w:val="clear"/>
            <w:vAlign w:val="bottom"/>
          </w:tcPr>
          <w:p>
            <w:pPr>
              <w:pStyle w:val="TableContents"/>
              <w:spacing w:before="0" w:after="1"/>
              <w:ind w:left="0" w:right="0" w:hanging="0"/>
              <w:jc w:val="both"/>
              <w:rPr/>
            </w:pPr>
            <w:r>
              <w:rPr/>
              <w:t> </w:t>
            </w:r>
          </w:p>
        </w:tc>
        <w:tc>
          <w:tcPr>
            <w:tcW w:w="123" w:type="dxa"/>
            <w:tcBorders/>
            <w:shd w:fill="FFFFFF" w:val="clear"/>
            <w:vAlign w:val="bottom"/>
          </w:tcPr>
          <w:p>
            <w:pPr>
              <w:pStyle w:val="TableContents"/>
              <w:spacing w:before="0" w:after="1"/>
              <w:ind w:left="0" w:right="0" w:hanging="0"/>
              <w:jc w:val="right"/>
              <w:rPr>
                <w:sz w:val="17"/>
              </w:rPr>
            </w:pPr>
            <w:r>
              <w:rPr>
                <w:sz w:val="17"/>
              </w:rPr>
              <w:t>$</w:t>
            </w:r>
          </w:p>
        </w:tc>
        <w:tc>
          <w:tcPr>
            <w:tcW w:w="392" w:type="dxa"/>
            <w:tcBorders/>
            <w:shd w:fill="FFFFFF" w:val="clear"/>
            <w:vAlign w:val="bottom"/>
          </w:tcPr>
          <w:p>
            <w:pPr>
              <w:pStyle w:val="TableContents"/>
              <w:spacing w:before="0" w:after="1"/>
              <w:ind w:left="0" w:right="0" w:hanging="0"/>
              <w:jc w:val="center"/>
              <w:rPr>
                <w:sz w:val="17"/>
              </w:rPr>
            </w:pPr>
            <w:r>
              <w:rPr>
                <w:sz w:val="17"/>
              </w:rPr>
              <w:t>4.26</w:t>
            </w:r>
          </w:p>
        </w:tc>
      </w:tr>
      <w:tr>
        <w:trPr/>
        <w:tc>
          <w:tcPr>
            <w:tcW w:w="395" w:type="dxa"/>
            <w:tcBorders/>
            <w:shd w:fill="CCEEFF" w:val="clear"/>
            <w:vAlign w:val="bottom"/>
          </w:tcPr>
          <w:p>
            <w:pPr>
              <w:pStyle w:val="TableContents"/>
              <w:spacing w:before="0" w:after="1"/>
              <w:ind w:left="0" w:right="0" w:hanging="0"/>
              <w:jc w:val="center"/>
              <w:rPr/>
            </w:pPr>
            <w:r>
              <w:rPr/>
              <w:t> </w:t>
            </w:r>
          </w:p>
        </w:tc>
        <w:tc>
          <w:tcPr>
            <w:tcW w:w="110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433" w:type="dxa"/>
            <w:tcBorders/>
            <w:shd w:fill="CCEEFF" w:val="clear"/>
            <w:vAlign w:val="bottom"/>
          </w:tcPr>
          <w:p>
            <w:pPr>
              <w:pStyle w:val="TableContents"/>
              <w:spacing w:before="0" w:after="1"/>
              <w:ind w:left="0" w:right="0" w:hanging="0"/>
              <w:jc w:val="center"/>
              <w:rPr/>
            </w:pPr>
            <w:r>
              <w:rPr/>
              <w:t> </w:t>
            </w:r>
          </w:p>
        </w:tc>
        <w:tc>
          <w:tcPr>
            <w:tcW w:w="68" w:type="dxa"/>
            <w:tcBorders/>
            <w:shd w:fill="CCEEFF" w:val="clear"/>
            <w:vAlign w:val="bottom"/>
          </w:tcPr>
          <w:p>
            <w:pPr>
              <w:pStyle w:val="TableContents"/>
              <w:spacing w:before="0" w:after="1"/>
              <w:ind w:left="0" w:right="0" w:hanging="0"/>
              <w:jc w:val="both"/>
              <w:rPr/>
            </w:pPr>
            <w:r>
              <w:rPr/>
              <w:t> </w:t>
            </w:r>
          </w:p>
        </w:tc>
        <w:tc>
          <w:tcPr>
            <w:tcW w:w="125" w:type="dxa"/>
            <w:tcBorders/>
            <w:shd w:fill="CCEEFF" w:val="clear"/>
            <w:vAlign w:val="bottom"/>
          </w:tcPr>
          <w:p>
            <w:pPr>
              <w:pStyle w:val="TableContents"/>
              <w:spacing w:before="0" w:after="1"/>
              <w:ind w:left="0" w:right="0" w:hanging="0"/>
              <w:jc w:val="right"/>
              <w:rPr/>
            </w:pPr>
            <w:r>
              <w:rPr/>
              <w:t> </w:t>
            </w:r>
          </w:p>
        </w:tc>
        <w:tc>
          <w:tcPr>
            <w:tcW w:w="382" w:type="dxa"/>
            <w:tcBorders/>
            <w:shd w:fill="CCEEFF" w:val="clear"/>
            <w:vAlign w:val="bottom"/>
          </w:tcPr>
          <w:p>
            <w:pPr>
              <w:pStyle w:val="TableContents"/>
              <w:spacing w:before="0" w:after="1"/>
              <w:ind w:left="0" w:right="0" w:hanging="0"/>
              <w:jc w:val="center"/>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426" w:type="dxa"/>
            <w:tcBorders/>
            <w:shd w:fill="CCEEFF" w:val="clear"/>
            <w:vAlign w:val="bottom"/>
          </w:tcPr>
          <w:p>
            <w:pPr>
              <w:pStyle w:val="TableContents"/>
              <w:spacing w:before="0" w:after="1"/>
              <w:ind w:left="0" w:right="0" w:hanging="0"/>
              <w:jc w:val="center"/>
              <w:rPr/>
            </w:pPr>
            <w:r>
              <w:rPr/>
              <w:t> </w:t>
            </w:r>
          </w:p>
        </w:tc>
        <w:tc>
          <w:tcPr>
            <w:tcW w:w="67" w:type="dxa"/>
            <w:tcBorders/>
            <w:shd w:fill="CCEEFF" w:val="clear"/>
            <w:vAlign w:val="bottom"/>
          </w:tcPr>
          <w:p>
            <w:pPr>
              <w:pStyle w:val="TableContents"/>
              <w:spacing w:before="0" w:after="1"/>
              <w:ind w:left="0" w:right="0" w:hanging="0"/>
              <w:jc w:val="both"/>
              <w:rPr/>
            </w:pPr>
            <w:r>
              <w:rPr/>
              <w:t> </w:t>
            </w:r>
          </w:p>
        </w:tc>
        <w:tc>
          <w:tcPr>
            <w:tcW w:w="123" w:type="dxa"/>
            <w:tcBorders/>
            <w:shd w:fill="CCEEFF" w:val="clear"/>
            <w:vAlign w:val="bottom"/>
          </w:tcPr>
          <w:p>
            <w:pPr>
              <w:pStyle w:val="TableContents"/>
              <w:spacing w:before="0" w:after="1"/>
              <w:ind w:left="0" w:right="0" w:hanging="0"/>
              <w:jc w:val="right"/>
              <w:rPr/>
            </w:pPr>
            <w:r>
              <w:rPr/>
              <w:t> </w:t>
            </w:r>
          </w:p>
        </w:tc>
        <w:tc>
          <w:tcPr>
            <w:tcW w:w="392" w:type="dxa"/>
            <w:tcBorders/>
            <w:shd w:fill="CCEEFF" w:val="clear"/>
            <w:vAlign w:val="bottom"/>
          </w:tcPr>
          <w:p>
            <w:pPr>
              <w:pStyle w:val="TableContents"/>
              <w:spacing w:before="0" w:after="1"/>
              <w:ind w:left="0" w:right="0" w:hanging="0"/>
              <w:jc w:val="center"/>
              <w:rPr/>
            </w:pPr>
            <w:r>
              <w:rPr/>
              <w:t> </w:t>
            </w:r>
          </w:p>
        </w:tc>
      </w:tr>
      <w:tr>
        <w:trPr/>
        <w:tc>
          <w:tcPr>
            <w:tcW w:w="395" w:type="dxa"/>
            <w:tcBorders/>
            <w:shd w:fill="FFFFFF" w:val="clear"/>
            <w:vAlign w:val="bottom"/>
          </w:tcPr>
          <w:p>
            <w:pPr>
              <w:pStyle w:val="TableContents"/>
              <w:spacing w:before="0" w:after="1"/>
              <w:ind w:left="0" w:right="0" w:hanging="0"/>
              <w:jc w:val="center"/>
              <w:rPr>
                <w:b/>
                <w:sz w:val="17"/>
                <w:u w:val="single"/>
              </w:rPr>
            </w:pPr>
            <w:r>
              <w:rPr>
                <w:b/>
                <w:sz w:val="17"/>
                <w:u w:val="single"/>
              </w:rPr>
              <w:t>2011</w:t>
            </w:r>
          </w:p>
        </w:tc>
        <w:tc>
          <w:tcPr>
            <w:tcW w:w="1100" w:type="dxa"/>
            <w:tcBorders/>
            <w:shd w:fill="FFFFFF" w:val="clear"/>
            <w:vAlign w:val="bottom"/>
          </w:tcPr>
          <w:p>
            <w:pPr>
              <w:pStyle w:val="TableContents"/>
              <w:spacing w:before="0" w:after="1"/>
              <w:ind w:left="0" w:right="0" w:hanging="0"/>
              <w:jc w:val="both"/>
              <w:rPr>
                <w:sz w:val="17"/>
              </w:rPr>
            </w:pPr>
            <w:r>
              <w:rPr>
                <w:sz w:val="17"/>
              </w:rPr>
              <w:t>Fourth Quarter</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33" w:type="dxa"/>
            <w:tcBorders/>
            <w:shd w:fill="FFFFFF" w:val="clear"/>
            <w:vAlign w:val="bottom"/>
          </w:tcPr>
          <w:p>
            <w:pPr>
              <w:pStyle w:val="TableContents"/>
              <w:spacing w:before="0" w:after="1"/>
              <w:ind w:left="0" w:right="0" w:hanging="0"/>
              <w:jc w:val="center"/>
              <w:rPr>
                <w:sz w:val="17"/>
              </w:rPr>
            </w:pPr>
            <w:r>
              <w:rPr>
                <w:sz w:val="17"/>
              </w:rPr>
              <w:t>4.30</w:t>
            </w:r>
          </w:p>
        </w:tc>
        <w:tc>
          <w:tcPr>
            <w:tcW w:w="68" w:type="dxa"/>
            <w:tcBorders/>
            <w:shd w:fill="FFFFFF" w:val="clear"/>
            <w:vAlign w:val="bottom"/>
          </w:tcPr>
          <w:p>
            <w:pPr>
              <w:pStyle w:val="TableContents"/>
              <w:spacing w:before="0" w:after="1"/>
              <w:ind w:left="0" w:right="0" w:hanging="0"/>
              <w:jc w:val="both"/>
              <w:rPr/>
            </w:pPr>
            <w:r>
              <w:rPr/>
              <w:t> </w:t>
            </w:r>
          </w:p>
        </w:tc>
        <w:tc>
          <w:tcPr>
            <w:tcW w:w="125" w:type="dxa"/>
            <w:tcBorders/>
            <w:shd w:fill="FFFFFF" w:val="clear"/>
            <w:vAlign w:val="bottom"/>
          </w:tcPr>
          <w:p>
            <w:pPr>
              <w:pStyle w:val="TableContents"/>
              <w:spacing w:before="0" w:after="1"/>
              <w:ind w:left="0" w:right="0" w:hanging="0"/>
              <w:jc w:val="right"/>
              <w:rPr>
                <w:sz w:val="17"/>
              </w:rPr>
            </w:pPr>
            <w:r>
              <w:rPr>
                <w:sz w:val="17"/>
              </w:rPr>
              <w:t>$</w:t>
            </w:r>
          </w:p>
        </w:tc>
        <w:tc>
          <w:tcPr>
            <w:tcW w:w="382" w:type="dxa"/>
            <w:tcBorders/>
            <w:shd w:fill="FFFFFF" w:val="clear"/>
            <w:vAlign w:val="bottom"/>
          </w:tcPr>
          <w:p>
            <w:pPr>
              <w:pStyle w:val="TableContents"/>
              <w:spacing w:before="0" w:after="1"/>
              <w:ind w:left="0" w:right="0" w:hanging="0"/>
              <w:jc w:val="center"/>
              <w:rPr>
                <w:sz w:val="17"/>
              </w:rPr>
            </w:pPr>
            <w:r>
              <w:rPr>
                <w:sz w:val="17"/>
              </w:rPr>
              <w:t>3.95</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26" w:type="dxa"/>
            <w:tcBorders/>
            <w:shd w:fill="FFFFFF" w:val="clear"/>
            <w:vAlign w:val="bottom"/>
          </w:tcPr>
          <w:p>
            <w:pPr>
              <w:pStyle w:val="TableContents"/>
              <w:spacing w:before="0" w:after="1"/>
              <w:ind w:left="0" w:right="0" w:hanging="0"/>
              <w:jc w:val="center"/>
              <w:rPr>
                <w:sz w:val="17"/>
              </w:rPr>
            </w:pPr>
            <w:r>
              <w:rPr>
                <w:sz w:val="17"/>
              </w:rPr>
              <w:t>7.01</w:t>
            </w:r>
          </w:p>
        </w:tc>
        <w:tc>
          <w:tcPr>
            <w:tcW w:w="67" w:type="dxa"/>
            <w:tcBorders/>
            <w:shd w:fill="FFFFFF" w:val="clear"/>
            <w:vAlign w:val="bottom"/>
          </w:tcPr>
          <w:p>
            <w:pPr>
              <w:pStyle w:val="TableContents"/>
              <w:spacing w:before="0" w:after="1"/>
              <w:ind w:left="0" w:right="0" w:hanging="0"/>
              <w:jc w:val="both"/>
              <w:rPr/>
            </w:pPr>
            <w:r>
              <w:rPr/>
              <w:t> </w:t>
            </w:r>
          </w:p>
        </w:tc>
        <w:tc>
          <w:tcPr>
            <w:tcW w:w="123" w:type="dxa"/>
            <w:tcBorders/>
            <w:shd w:fill="FFFFFF" w:val="clear"/>
            <w:vAlign w:val="bottom"/>
          </w:tcPr>
          <w:p>
            <w:pPr>
              <w:pStyle w:val="TableContents"/>
              <w:spacing w:before="0" w:after="1"/>
              <w:ind w:left="0" w:right="0" w:hanging="0"/>
              <w:jc w:val="right"/>
              <w:rPr>
                <w:sz w:val="17"/>
              </w:rPr>
            </w:pPr>
            <w:r>
              <w:rPr>
                <w:sz w:val="17"/>
              </w:rPr>
              <w:t>$</w:t>
            </w:r>
          </w:p>
        </w:tc>
        <w:tc>
          <w:tcPr>
            <w:tcW w:w="392" w:type="dxa"/>
            <w:tcBorders/>
            <w:shd w:fill="FFFFFF" w:val="clear"/>
            <w:vAlign w:val="bottom"/>
          </w:tcPr>
          <w:p>
            <w:pPr>
              <w:pStyle w:val="TableContents"/>
              <w:spacing w:before="0" w:after="1"/>
              <w:ind w:left="0" w:right="0" w:hanging="0"/>
              <w:jc w:val="center"/>
              <w:rPr>
                <w:sz w:val="17"/>
              </w:rPr>
            </w:pPr>
            <w:r>
              <w:rPr>
                <w:sz w:val="17"/>
              </w:rPr>
              <w:t>4.26</w:t>
            </w:r>
          </w:p>
        </w:tc>
      </w:tr>
      <w:tr>
        <w:trPr/>
        <w:tc>
          <w:tcPr>
            <w:tcW w:w="395" w:type="dxa"/>
            <w:tcBorders/>
            <w:shd w:fill="CCEEFF" w:val="clear"/>
            <w:vAlign w:val="bottom"/>
          </w:tcPr>
          <w:p>
            <w:pPr>
              <w:pStyle w:val="TableContents"/>
              <w:spacing w:before="0" w:after="1"/>
              <w:ind w:left="0" w:right="0" w:hanging="0"/>
              <w:jc w:val="center"/>
              <w:rPr/>
            </w:pPr>
            <w:r>
              <w:rPr/>
              <w:t> </w:t>
            </w:r>
          </w:p>
        </w:tc>
        <w:tc>
          <w:tcPr>
            <w:tcW w:w="1100" w:type="dxa"/>
            <w:tcBorders/>
            <w:shd w:fill="CCEEFF" w:val="clear"/>
            <w:vAlign w:val="bottom"/>
          </w:tcPr>
          <w:p>
            <w:pPr>
              <w:pStyle w:val="TableContents"/>
              <w:spacing w:before="0" w:after="1"/>
              <w:ind w:left="0" w:right="0" w:hanging="0"/>
              <w:jc w:val="both"/>
              <w:rPr>
                <w:sz w:val="17"/>
              </w:rPr>
            </w:pPr>
            <w:r>
              <w:rPr>
                <w:sz w:val="17"/>
              </w:rPr>
              <w:t>Third Quarter</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33" w:type="dxa"/>
            <w:tcBorders/>
            <w:shd w:fill="CCEEFF" w:val="clear"/>
            <w:vAlign w:val="bottom"/>
          </w:tcPr>
          <w:p>
            <w:pPr>
              <w:pStyle w:val="TableContents"/>
              <w:spacing w:before="0" w:after="1"/>
              <w:ind w:left="0" w:right="0" w:hanging="0"/>
              <w:jc w:val="center"/>
              <w:rPr>
                <w:sz w:val="17"/>
              </w:rPr>
            </w:pPr>
            <w:r>
              <w:rPr>
                <w:sz w:val="17"/>
              </w:rPr>
              <w:t>4.49</w:t>
            </w:r>
          </w:p>
        </w:tc>
        <w:tc>
          <w:tcPr>
            <w:tcW w:w="68" w:type="dxa"/>
            <w:tcBorders/>
            <w:shd w:fill="CCEEFF" w:val="clear"/>
            <w:vAlign w:val="bottom"/>
          </w:tcPr>
          <w:p>
            <w:pPr>
              <w:pStyle w:val="TableContents"/>
              <w:spacing w:before="0" w:after="1"/>
              <w:ind w:left="0" w:right="0" w:hanging="0"/>
              <w:jc w:val="both"/>
              <w:rPr/>
            </w:pPr>
            <w:r>
              <w:rPr/>
              <w:t> </w:t>
            </w:r>
          </w:p>
        </w:tc>
        <w:tc>
          <w:tcPr>
            <w:tcW w:w="125" w:type="dxa"/>
            <w:tcBorders/>
            <w:shd w:fill="CCEEFF" w:val="clear"/>
            <w:vAlign w:val="bottom"/>
          </w:tcPr>
          <w:p>
            <w:pPr>
              <w:pStyle w:val="TableContents"/>
              <w:spacing w:before="0" w:after="1"/>
              <w:ind w:left="0" w:right="0" w:hanging="0"/>
              <w:jc w:val="right"/>
              <w:rPr>
                <w:sz w:val="17"/>
              </w:rPr>
            </w:pPr>
            <w:r>
              <w:rPr>
                <w:sz w:val="17"/>
              </w:rPr>
              <w:t>$</w:t>
            </w:r>
          </w:p>
        </w:tc>
        <w:tc>
          <w:tcPr>
            <w:tcW w:w="382" w:type="dxa"/>
            <w:tcBorders/>
            <w:shd w:fill="CCEEFF" w:val="clear"/>
            <w:vAlign w:val="bottom"/>
          </w:tcPr>
          <w:p>
            <w:pPr>
              <w:pStyle w:val="TableContents"/>
              <w:spacing w:before="0" w:after="1"/>
              <w:ind w:left="0" w:right="0" w:hanging="0"/>
              <w:jc w:val="center"/>
              <w:rPr>
                <w:sz w:val="17"/>
              </w:rPr>
            </w:pPr>
            <w:r>
              <w:rPr>
                <w:sz w:val="17"/>
              </w:rPr>
              <w:t>3.88</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26" w:type="dxa"/>
            <w:tcBorders/>
            <w:shd w:fill="CCEEFF" w:val="clear"/>
            <w:vAlign w:val="bottom"/>
          </w:tcPr>
          <w:p>
            <w:pPr>
              <w:pStyle w:val="TableContents"/>
              <w:spacing w:before="0" w:after="1"/>
              <w:ind w:left="0" w:right="0" w:hanging="0"/>
              <w:jc w:val="center"/>
              <w:rPr>
                <w:sz w:val="17"/>
              </w:rPr>
            </w:pPr>
            <w:r>
              <w:rPr>
                <w:sz w:val="17"/>
              </w:rPr>
              <w:t>7.00</w:t>
            </w:r>
          </w:p>
        </w:tc>
        <w:tc>
          <w:tcPr>
            <w:tcW w:w="67" w:type="dxa"/>
            <w:tcBorders/>
            <w:shd w:fill="CCEEFF" w:val="clear"/>
            <w:vAlign w:val="bottom"/>
          </w:tcPr>
          <w:p>
            <w:pPr>
              <w:pStyle w:val="TableContents"/>
              <w:spacing w:before="0" w:after="1"/>
              <w:ind w:left="0" w:right="0" w:hanging="0"/>
              <w:jc w:val="both"/>
              <w:rPr/>
            </w:pPr>
            <w:r>
              <w:rPr/>
              <w:t> </w:t>
            </w:r>
          </w:p>
        </w:tc>
        <w:tc>
          <w:tcPr>
            <w:tcW w:w="123" w:type="dxa"/>
            <w:tcBorders/>
            <w:shd w:fill="CCEEFF" w:val="clear"/>
            <w:vAlign w:val="bottom"/>
          </w:tcPr>
          <w:p>
            <w:pPr>
              <w:pStyle w:val="TableContents"/>
              <w:spacing w:before="0" w:after="1"/>
              <w:ind w:left="0" w:right="0" w:hanging="0"/>
              <w:jc w:val="right"/>
              <w:rPr>
                <w:sz w:val="17"/>
              </w:rPr>
            </w:pPr>
            <w:r>
              <w:rPr>
                <w:sz w:val="17"/>
              </w:rPr>
              <w:t>$</w:t>
            </w:r>
          </w:p>
        </w:tc>
        <w:tc>
          <w:tcPr>
            <w:tcW w:w="392" w:type="dxa"/>
            <w:tcBorders/>
            <w:shd w:fill="CCEEFF" w:val="clear"/>
            <w:vAlign w:val="bottom"/>
          </w:tcPr>
          <w:p>
            <w:pPr>
              <w:pStyle w:val="TableContents"/>
              <w:spacing w:before="0" w:after="1"/>
              <w:ind w:left="0" w:right="0" w:hanging="0"/>
              <w:jc w:val="center"/>
              <w:rPr>
                <w:sz w:val="17"/>
              </w:rPr>
            </w:pPr>
            <w:r>
              <w:rPr>
                <w:sz w:val="17"/>
              </w:rPr>
              <w:t>6.00</w:t>
            </w:r>
          </w:p>
        </w:tc>
      </w:tr>
      <w:tr>
        <w:trPr/>
        <w:tc>
          <w:tcPr>
            <w:tcW w:w="395" w:type="dxa"/>
            <w:tcBorders/>
            <w:shd w:fill="FFFFFF" w:val="clear"/>
            <w:vAlign w:val="bottom"/>
          </w:tcPr>
          <w:p>
            <w:pPr>
              <w:pStyle w:val="TableContents"/>
              <w:spacing w:before="0" w:after="1"/>
              <w:ind w:left="0" w:right="0" w:hanging="0"/>
              <w:jc w:val="center"/>
              <w:rPr/>
            </w:pPr>
            <w:r>
              <w:rPr/>
              <w:t> </w:t>
            </w:r>
          </w:p>
        </w:tc>
        <w:tc>
          <w:tcPr>
            <w:tcW w:w="1100" w:type="dxa"/>
            <w:tcBorders/>
            <w:shd w:fill="FFFFFF" w:val="clear"/>
            <w:vAlign w:val="bottom"/>
          </w:tcPr>
          <w:p>
            <w:pPr>
              <w:pStyle w:val="TableContents"/>
              <w:spacing w:before="0" w:after="1"/>
              <w:ind w:left="0" w:right="0" w:hanging="0"/>
              <w:jc w:val="both"/>
              <w:rPr>
                <w:sz w:val="17"/>
              </w:rPr>
            </w:pPr>
            <w:r>
              <w:rPr>
                <w:sz w:val="17"/>
              </w:rPr>
              <w:t>Second Quarter</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33" w:type="dxa"/>
            <w:tcBorders/>
            <w:shd w:fill="FFFFFF" w:val="clear"/>
            <w:vAlign w:val="bottom"/>
          </w:tcPr>
          <w:p>
            <w:pPr>
              <w:pStyle w:val="TableContents"/>
              <w:spacing w:before="0" w:after="1"/>
              <w:ind w:left="0" w:right="0" w:hanging="0"/>
              <w:jc w:val="center"/>
              <w:rPr>
                <w:sz w:val="17"/>
              </w:rPr>
            </w:pPr>
            <w:r>
              <w:rPr>
                <w:sz w:val="17"/>
              </w:rPr>
              <w:t>5.02</w:t>
            </w:r>
          </w:p>
        </w:tc>
        <w:tc>
          <w:tcPr>
            <w:tcW w:w="68" w:type="dxa"/>
            <w:tcBorders/>
            <w:shd w:fill="FFFFFF" w:val="clear"/>
            <w:vAlign w:val="bottom"/>
          </w:tcPr>
          <w:p>
            <w:pPr>
              <w:pStyle w:val="TableContents"/>
              <w:spacing w:before="0" w:after="1"/>
              <w:ind w:left="0" w:right="0" w:hanging="0"/>
              <w:jc w:val="both"/>
              <w:rPr/>
            </w:pPr>
            <w:r>
              <w:rPr/>
              <w:t> </w:t>
            </w:r>
          </w:p>
        </w:tc>
        <w:tc>
          <w:tcPr>
            <w:tcW w:w="125" w:type="dxa"/>
            <w:tcBorders/>
            <w:shd w:fill="FFFFFF" w:val="clear"/>
            <w:vAlign w:val="bottom"/>
          </w:tcPr>
          <w:p>
            <w:pPr>
              <w:pStyle w:val="TableContents"/>
              <w:spacing w:before="0" w:after="1"/>
              <w:ind w:left="0" w:right="0" w:hanging="0"/>
              <w:jc w:val="right"/>
              <w:rPr>
                <w:sz w:val="17"/>
              </w:rPr>
            </w:pPr>
            <w:r>
              <w:rPr>
                <w:sz w:val="17"/>
              </w:rPr>
              <w:t>$</w:t>
            </w:r>
          </w:p>
        </w:tc>
        <w:tc>
          <w:tcPr>
            <w:tcW w:w="382" w:type="dxa"/>
            <w:tcBorders/>
            <w:shd w:fill="FFFFFF" w:val="clear"/>
            <w:vAlign w:val="bottom"/>
          </w:tcPr>
          <w:p>
            <w:pPr>
              <w:pStyle w:val="TableContents"/>
              <w:spacing w:before="0" w:after="1"/>
              <w:ind w:left="0" w:right="0" w:hanging="0"/>
              <w:jc w:val="center"/>
              <w:rPr>
                <w:sz w:val="17"/>
              </w:rPr>
            </w:pPr>
            <w:r>
              <w:rPr>
                <w:sz w:val="17"/>
              </w:rPr>
              <w:t>4.53</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426" w:type="dxa"/>
            <w:tcBorders/>
            <w:shd w:fill="FFFFFF" w:val="clear"/>
            <w:vAlign w:val="bottom"/>
          </w:tcPr>
          <w:p>
            <w:pPr>
              <w:pStyle w:val="TableContents"/>
              <w:spacing w:before="0" w:after="1"/>
              <w:ind w:left="0" w:right="0" w:hanging="0"/>
              <w:jc w:val="center"/>
              <w:rPr>
                <w:sz w:val="17"/>
              </w:rPr>
            </w:pPr>
            <w:r>
              <w:rPr>
                <w:sz w:val="17"/>
              </w:rPr>
              <w:t>7.00</w:t>
            </w:r>
          </w:p>
        </w:tc>
        <w:tc>
          <w:tcPr>
            <w:tcW w:w="67" w:type="dxa"/>
            <w:tcBorders/>
            <w:shd w:fill="FFFFFF" w:val="clear"/>
            <w:vAlign w:val="bottom"/>
          </w:tcPr>
          <w:p>
            <w:pPr>
              <w:pStyle w:val="TableContents"/>
              <w:spacing w:before="0" w:after="1"/>
              <w:ind w:left="0" w:right="0" w:hanging="0"/>
              <w:jc w:val="both"/>
              <w:rPr/>
            </w:pPr>
            <w:r>
              <w:rPr/>
              <w:t> </w:t>
            </w:r>
          </w:p>
        </w:tc>
        <w:tc>
          <w:tcPr>
            <w:tcW w:w="123" w:type="dxa"/>
            <w:tcBorders/>
            <w:shd w:fill="FFFFFF" w:val="clear"/>
            <w:vAlign w:val="bottom"/>
          </w:tcPr>
          <w:p>
            <w:pPr>
              <w:pStyle w:val="TableContents"/>
              <w:spacing w:before="0" w:after="1"/>
              <w:ind w:left="0" w:right="0" w:hanging="0"/>
              <w:jc w:val="right"/>
              <w:rPr>
                <w:sz w:val="17"/>
              </w:rPr>
            </w:pPr>
            <w:r>
              <w:rPr>
                <w:sz w:val="17"/>
              </w:rPr>
              <w:t>$</w:t>
            </w:r>
          </w:p>
        </w:tc>
        <w:tc>
          <w:tcPr>
            <w:tcW w:w="392" w:type="dxa"/>
            <w:tcBorders/>
            <w:shd w:fill="FFFFFF" w:val="clear"/>
            <w:vAlign w:val="bottom"/>
          </w:tcPr>
          <w:p>
            <w:pPr>
              <w:pStyle w:val="TableContents"/>
              <w:spacing w:before="0" w:after="1"/>
              <w:ind w:left="0" w:right="0" w:hanging="0"/>
              <w:jc w:val="center"/>
              <w:rPr>
                <w:sz w:val="17"/>
              </w:rPr>
            </w:pPr>
            <w:r>
              <w:rPr>
                <w:sz w:val="17"/>
              </w:rPr>
              <w:t>5.25</w:t>
            </w:r>
          </w:p>
        </w:tc>
      </w:tr>
      <w:tr>
        <w:trPr/>
        <w:tc>
          <w:tcPr>
            <w:tcW w:w="395" w:type="dxa"/>
            <w:tcBorders/>
            <w:shd w:fill="CCEEFF" w:val="clear"/>
            <w:vAlign w:val="bottom"/>
          </w:tcPr>
          <w:p>
            <w:pPr>
              <w:pStyle w:val="TableContents"/>
              <w:spacing w:before="0" w:after="1"/>
              <w:ind w:left="0" w:right="0" w:hanging="0"/>
              <w:jc w:val="center"/>
              <w:rPr/>
            </w:pPr>
            <w:r>
              <w:rPr/>
              <w:t> </w:t>
            </w:r>
          </w:p>
        </w:tc>
        <w:tc>
          <w:tcPr>
            <w:tcW w:w="1100" w:type="dxa"/>
            <w:tcBorders/>
            <w:shd w:fill="CCEEFF" w:val="clear"/>
            <w:vAlign w:val="bottom"/>
          </w:tcPr>
          <w:p>
            <w:pPr>
              <w:pStyle w:val="TableContents"/>
              <w:spacing w:before="0" w:after="1"/>
              <w:ind w:left="0" w:right="0" w:hanging="0"/>
              <w:jc w:val="both"/>
              <w:rPr>
                <w:sz w:val="17"/>
              </w:rPr>
            </w:pPr>
            <w:r>
              <w:rPr>
                <w:sz w:val="17"/>
              </w:rPr>
              <w:t>First Quarter</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33" w:type="dxa"/>
            <w:tcBorders/>
            <w:shd w:fill="CCEEFF" w:val="clear"/>
            <w:vAlign w:val="bottom"/>
          </w:tcPr>
          <w:p>
            <w:pPr>
              <w:pStyle w:val="TableContents"/>
              <w:spacing w:before="0" w:after="1"/>
              <w:ind w:left="0" w:right="0" w:hanging="0"/>
              <w:jc w:val="center"/>
              <w:rPr>
                <w:sz w:val="17"/>
              </w:rPr>
            </w:pPr>
            <w:r>
              <w:rPr>
                <w:sz w:val="17"/>
              </w:rPr>
              <w:t>5.16</w:t>
            </w:r>
          </w:p>
        </w:tc>
        <w:tc>
          <w:tcPr>
            <w:tcW w:w="68" w:type="dxa"/>
            <w:tcBorders/>
            <w:shd w:fill="CCEEFF" w:val="clear"/>
            <w:vAlign w:val="bottom"/>
          </w:tcPr>
          <w:p>
            <w:pPr>
              <w:pStyle w:val="TableContents"/>
              <w:spacing w:before="0" w:after="1"/>
              <w:ind w:left="0" w:right="0" w:hanging="0"/>
              <w:jc w:val="both"/>
              <w:rPr/>
            </w:pPr>
            <w:r>
              <w:rPr/>
              <w:t> </w:t>
            </w:r>
          </w:p>
        </w:tc>
        <w:tc>
          <w:tcPr>
            <w:tcW w:w="125" w:type="dxa"/>
            <w:tcBorders/>
            <w:shd w:fill="CCEEFF" w:val="clear"/>
            <w:vAlign w:val="bottom"/>
          </w:tcPr>
          <w:p>
            <w:pPr>
              <w:pStyle w:val="TableContents"/>
              <w:spacing w:before="0" w:after="1"/>
              <w:ind w:left="0" w:right="0" w:hanging="0"/>
              <w:jc w:val="right"/>
              <w:rPr>
                <w:sz w:val="17"/>
              </w:rPr>
            </w:pPr>
            <w:r>
              <w:rPr>
                <w:sz w:val="17"/>
              </w:rPr>
              <w:t>$</w:t>
            </w:r>
          </w:p>
        </w:tc>
        <w:tc>
          <w:tcPr>
            <w:tcW w:w="382" w:type="dxa"/>
            <w:tcBorders/>
            <w:shd w:fill="CCEEFF" w:val="clear"/>
            <w:vAlign w:val="bottom"/>
          </w:tcPr>
          <w:p>
            <w:pPr>
              <w:pStyle w:val="TableContents"/>
              <w:spacing w:before="0" w:after="1"/>
              <w:ind w:left="0" w:right="0" w:hanging="0"/>
              <w:jc w:val="center"/>
              <w:rPr>
                <w:sz w:val="17"/>
              </w:rPr>
            </w:pPr>
            <w:r>
              <w:rPr>
                <w:sz w:val="17"/>
              </w:rPr>
              <w:t>4.86</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426" w:type="dxa"/>
            <w:tcBorders/>
            <w:shd w:fill="CCEEFF" w:val="clear"/>
            <w:vAlign w:val="bottom"/>
          </w:tcPr>
          <w:p>
            <w:pPr>
              <w:pStyle w:val="TableContents"/>
              <w:spacing w:before="0" w:after="1"/>
              <w:ind w:left="0" w:right="0" w:hanging="0"/>
              <w:jc w:val="center"/>
              <w:rPr>
                <w:sz w:val="17"/>
              </w:rPr>
            </w:pPr>
            <w:r>
              <w:rPr>
                <w:sz w:val="17"/>
              </w:rPr>
              <w:t>9.00</w:t>
            </w:r>
          </w:p>
        </w:tc>
        <w:tc>
          <w:tcPr>
            <w:tcW w:w="67" w:type="dxa"/>
            <w:tcBorders/>
            <w:shd w:fill="CCEEFF" w:val="clear"/>
            <w:vAlign w:val="bottom"/>
          </w:tcPr>
          <w:p>
            <w:pPr>
              <w:pStyle w:val="TableContents"/>
              <w:spacing w:before="0" w:after="1"/>
              <w:ind w:left="0" w:right="0" w:hanging="0"/>
              <w:jc w:val="both"/>
              <w:rPr/>
            </w:pPr>
            <w:r>
              <w:rPr/>
              <w:t> </w:t>
            </w:r>
          </w:p>
        </w:tc>
        <w:tc>
          <w:tcPr>
            <w:tcW w:w="123" w:type="dxa"/>
            <w:tcBorders/>
            <w:shd w:fill="CCEEFF" w:val="clear"/>
            <w:vAlign w:val="bottom"/>
          </w:tcPr>
          <w:p>
            <w:pPr>
              <w:pStyle w:val="TableContents"/>
              <w:spacing w:before="0" w:after="1"/>
              <w:ind w:left="0" w:right="0" w:hanging="0"/>
              <w:jc w:val="right"/>
              <w:rPr>
                <w:sz w:val="17"/>
              </w:rPr>
            </w:pPr>
            <w:r>
              <w:rPr>
                <w:sz w:val="17"/>
              </w:rPr>
              <w:t>$</w:t>
            </w:r>
          </w:p>
        </w:tc>
        <w:tc>
          <w:tcPr>
            <w:tcW w:w="392" w:type="dxa"/>
            <w:tcBorders/>
            <w:shd w:fill="CCEEFF" w:val="clear"/>
            <w:vAlign w:val="bottom"/>
          </w:tcPr>
          <w:p>
            <w:pPr>
              <w:pStyle w:val="TableContents"/>
              <w:spacing w:before="0" w:after="1"/>
              <w:ind w:left="0" w:right="0" w:hanging="0"/>
              <w:jc w:val="center"/>
              <w:rPr>
                <w:sz w:val="17"/>
              </w:rPr>
            </w:pPr>
            <w:r>
              <w:rPr>
                <w:sz w:val="17"/>
              </w:rPr>
              <w:t>6.04</w:t>
            </w:r>
          </w:p>
        </w:tc>
      </w:tr>
    </w:tbl>
    <w:p>
      <w:pPr>
        <w:pStyle w:val="TextBody"/>
        <w:spacing w:before="0" w:after="200"/>
        <w:ind w:left="1440" w:right="0" w:firstLine="720"/>
        <w:jc w:val="both"/>
        <w:rPr>
          <w:sz w:val="17"/>
        </w:rPr>
      </w:pPr>
      <w:r>
        <w:rPr>
          <w:sz w:val="17"/>
        </w:rPr>
        <w:t xml:space="preserve">The following table summarizes the securities authorized for issuance under our equity compensation plans: </w:t>
      </w:r>
    </w:p>
    <w:tbl>
      <w:tblPr>
        <w:tblW w:w="8765" w:type="dxa"/>
        <w:jc w:val="left"/>
        <w:tblInd w:w="1440" w:type="dxa"/>
        <w:tblCellMar>
          <w:top w:w="0" w:type="dxa"/>
          <w:left w:w="0" w:type="dxa"/>
          <w:bottom w:w="0" w:type="dxa"/>
          <w:right w:w="0" w:type="dxa"/>
        </w:tblCellMar>
      </w:tblPr>
      <w:tblGrid>
        <w:gridCol w:w="1657"/>
        <w:gridCol w:w="60"/>
        <w:gridCol w:w="2187"/>
        <w:gridCol w:w="110"/>
        <w:gridCol w:w="2300"/>
        <w:gridCol w:w="60"/>
        <w:gridCol w:w="2391"/>
      </w:tblGrid>
      <w:tr>
        <w:trPr/>
        <w:tc>
          <w:tcPr>
            <w:tcW w:w="1657"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2187"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30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2391" w:type="dxa"/>
            <w:tcBorders/>
            <w:shd w:fill="auto" w:val="clear"/>
            <w:vAlign w:val="bottom"/>
          </w:tcPr>
          <w:p>
            <w:pPr>
              <w:pStyle w:val="TableContents"/>
              <w:spacing w:before="0" w:after="1"/>
              <w:ind w:left="0" w:right="0" w:hanging="0"/>
              <w:jc w:val="both"/>
              <w:rPr/>
            </w:pPr>
            <w:r>
              <w:rPr/>
              <w:t> </w:t>
            </w:r>
          </w:p>
        </w:tc>
      </w:tr>
      <w:tr>
        <w:trPr/>
        <w:tc>
          <w:tcPr>
            <w:tcW w:w="1657"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2187"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30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2391" w:type="dxa"/>
            <w:tcBorders/>
            <w:shd w:fill="auto" w:val="clear"/>
            <w:vAlign w:val="bottom"/>
          </w:tcPr>
          <w:p>
            <w:pPr>
              <w:pStyle w:val="TableContents"/>
              <w:spacing w:before="0" w:after="1"/>
              <w:ind w:left="0" w:right="0" w:hanging="0"/>
              <w:jc w:val="both"/>
              <w:rPr/>
            </w:pPr>
            <w:r>
              <w:rPr/>
              <w:t> </w:t>
            </w:r>
          </w:p>
        </w:tc>
      </w:tr>
      <w:tr>
        <w:trPr/>
        <w:tc>
          <w:tcPr>
            <w:tcW w:w="1657"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Plan category</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2187"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Number of securities to be issued upon exercise of outstanding options, warrants, and rights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23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Weighted-average exercise price of outstanding options, warrants, and rights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2391"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 xml:space="preserve">Number of securities remaining available for future issuance under equity compensation plans </w:t>
            </w:r>
          </w:p>
        </w:tc>
      </w:tr>
      <w:tr>
        <w:trPr/>
        <w:tc>
          <w:tcPr>
            <w:tcW w:w="1657"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Equity compensation plans approved by security holders</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2187" w:type="dxa"/>
            <w:tcBorders>
              <w:top w:val="single" w:sz="8" w:space="0" w:color="000000"/>
            </w:tcBorders>
            <w:shd w:fill="auto" w:val="clear"/>
            <w:tcMar>
              <w:top w:w="28" w:type="dxa"/>
            </w:tcMar>
            <w:vAlign w:val="bottom"/>
          </w:tcPr>
          <w:p>
            <w:pPr>
              <w:pStyle w:val="TableContents"/>
              <w:spacing w:before="0" w:after="283"/>
              <w:rPr/>
            </w:pPr>
            <w:r>
              <w:rPr/>
              <w:t xml:space="preserve">857,450 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2300" w:type="dxa"/>
            <w:tcBorders>
              <w:top w:val="single" w:sz="8" w:space="0" w:color="000000"/>
            </w:tcBorders>
            <w:shd w:fill="auto" w:val="clear"/>
            <w:tcMar>
              <w:top w:w="28" w:type="dxa"/>
            </w:tcMar>
            <w:vAlign w:val="bottom"/>
          </w:tcPr>
          <w:p>
            <w:pPr>
              <w:pStyle w:val="TableContents"/>
              <w:spacing w:before="0" w:after="283"/>
              <w:rPr/>
            </w:pPr>
            <w:r>
              <w:rPr/>
              <w:t xml:space="preserve">7.03 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2391" w:type="dxa"/>
            <w:tcBorders>
              <w:top w:val="single" w:sz="8" w:space="0" w:color="000000"/>
            </w:tcBorders>
            <w:shd w:fill="auto" w:val="clear"/>
            <w:tcMar>
              <w:top w:w="28" w:type="dxa"/>
            </w:tcMar>
            <w:vAlign w:val="bottom"/>
          </w:tcPr>
          <w:p>
            <w:pPr>
              <w:pStyle w:val="TableContents"/>
              <w:spacing w:before="0" w:after="283"/>
              <w:rPr/>
            </w:pPr>
            <w:r>
              <w:rPr/>
              <w:t xml:space="preserve">1,829,436  </w:t>
            </w:r>
          </w:p>
        </w:tc>
      </w:tr>
      <w:tr>
        <w:trPr/>
        <w:tc>
          <w:tcPr>
            <w:tcW w:w="1657"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sz w:val="17"/>
              </w:rPr>
            </w:pPr>
            <w:r>
              <w:rPr>
                <w:sz w:val="17"/>
              </w:rPr>
              <w:t>Total</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2187"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857,450 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230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7.03 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2391"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1,829,436 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Performance Graph</w:t>
      </w:r>
      <w:r>
        <w:rPr>
          <w:sz w:val="17"/>
        </w:rPr>
        <w:t xml:space="preserve"> </w:t>
      </w:r>
    </w:p>
    <w:p>
      <w:pPr>
        <w:pStyle w:val="TextBody"/>
        <w:spacing w:before="0" w:after="200"/>
        <w:ind w:left="1440" w:right="0" w:hanging="0"/>
        <w:jc w:val="both"/>
        <w:rPr/>
      </w:pPr>
      <w:r>
        <w:rPr/>
        <w:t>            </w:t>
      </w:r>
      <w:r>
        <w:rPr>
          <w:sz w:val="17"/>
        </w:rPr>
        <w:t xml:space="preserve">The following line graph compares the cumulative total stockholder return on Reading International, Inc.’s common stock for the years ended December 31, 2008, 2009, 2010, 2011, and 2012 against the cumulative total return as calculated by the NASDAQ composite, the motion picture theater operator group, and the real estate operator group.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center"/>
        <w:rPr/>
      </w:pPr>
      <w:r>
        <w:rPr/>
        <w:drawing>
          <wp:inline distT="0" distB="0" distL="0" distR="0">
            <wp:extent cx="5069205" cy="42106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69205" cy="4210685"/>
                    </a:xfrm>
                    <a:prstGeom prst="rect">
                      <a:avLst/>
                    </a:prstGeom>
                  </pic:spPr>
                </pic:pic>
              </a:graphicData>
            </a:graphic>
          </wp:inline>
        </w:drawing>
      </w:r>
      <w:r>
        <w:rPr/>
        <w:t xml:space="preserve"> </w:t>
      </w:r>
    </w:p>
    <w:p>
      <w:pPr>
        <w:pStyle w:val="TextBody"/>
        <w:spacing w:before="0" w:after="200"/>
        <w:ind w:left="1440" w:right="0" w:hanging="0"/>
        <w:jc w:val="both"/>
        <w:rPr>
          <w:sz w:val="17"/>
        </w:rPr>
      </w:pPr>
      <w:r>
        <w:rPr>
          <w:sz w:val="17"/>
          <w:u w:val="single"/>
        </w:rPr>
        <w:t>Holders of Record</w:t>
      </w:r>
      <w:r>
        <w:rPr>
          <w:sz w:val="17"/>
        </w:rPr>
        <w:t xml:space="preserve"> </w:t>
      </w:r>
    </w:p>
    <w:p>
      <w:pPr>
        <w:pStyle w:val="TextBody"/>
        <w:spacing w:before="0" w:after="200"/>
        <w:ind w:left="1440" w:right="0" w:firstLine="720"/>
        <w:jc w:val="both"/>
        <w:rPr>
          <w:sz w:val="17"/>
        </w:rPr>
      </w:pPr>
      <w:r>
        <w:rPr>
          <w:sz w:val="17"/>
        </w:rPr>
        <w:t xml:space="preserve">The number of holders of record of our Class A Stock and Class B Stock in 2012 was approximately 3,500 and 300, respectively.  On March 18, 2013, the closing price per share of our Class A Stock was $5.64 and the closing price per share of our Class B Stock was $5.65. </w:t>
      </w:r>
    </w:p>
    <w:p>
      <w:pPr>
        <w:pStyle w:val="TextBody"/>
        <w:spacing w:before="0" w:after="200"/>
        <w:ind w:left="1440" w:right="0" w:hanging="0"/>
        <w:jc w:val="both"/>
        <w:rPr>
          <w:sz w:val="17"/>
        </w:rPr>
      </w:pPr>
      <w:r>
        <w:rPr>
          <w:sz w:val="17"/>
          <w:u w:val="single"/>
        </w:rPr>
        <w:t>Dividends on Common Stock</w:t>
      </w:r>
      <w:r>
        <w:rPr>
          <w:sz w:val="17"/>
        </w:rPr>
        <w:t xml:space="preserve"> </w:t>
      </w:r>
    </w:p>
    <w:p>
      <w:pPr>
        <w:pStyle w:val="TextBody"/>
        <w:spacing w:before="0" w:after="200"/>
        <w:ind w:left="1440" w:right="0" w:firstLine="720"/>
        <w:jc w:val="both"/>
        <w:rPr>
          <w:sz w:val="17"/>
        </w:rPr>
      </w:pPr>
      <w:r>
        <w:rPr>
          <w:sz w:val="17"/>
        </w:rPr>
        <w:t xml:space="preserve">We have never declared a cash dividend on our common stock and we have no current plans to declare a dividend; however, we review this matter on an ongoing basis. </w:t>
      </w:r>
    </w:p>
    <w:p>
      <w:pPr>
        <w:pStyle w:val="TextBody"/>
        <w:spacing w:before="0" w:after="200"/>
        <w:ind w:left="1440" w:right="0" w:hanging="0"/>
        <w:jc w:val="both"/>
        <w:rPr>
          <w:sz w:val="17"/>
        </w:rPr>
      </w:pPr>
      <w:r>
        <w:rPr>
          <w:b/>
          <w:sz w:val="17"/>
          <w:u w:val="single"/>
        </w:rPr>
        <w:t>(b) Recent Sales of Unregistered Securities; Use of Proceeds from Registered Securities</w:t>
      </w:r>
      <w:r>
        <w:rPr>
          <w:sz w:val="17"/>
        </w:rPr>
        <w:t xml:space="preserve"> </w:t>
      </w:r>
    </w:p>
    <w:p>
      <w:pPr>
        <w:pStyle w:val="TextBody"/>
        <w:spacing w:before="0" w:after="200"/>
        <w:ind w:left="1440" w:right="0" w:firstLine="720"/>
        <w:jc w:val="both"/>
        <w:rPr>
          <w:sz w:val="17"/>
        </w:rPr>
      </w:pPr>
      <w:r>
        <w:rPr>
          <w:sz w:val="17"/>
        </w:rPr>
        <w:t xml:space="preserve">None. </w:t>
      </w:r>
    </w:p>
    <w:p>
      <w:pPr>
        <w:pStyle w:val="TextBody"/>
        <w:spacing w:before="0" w:after="200"/>
        <w:ind w:left="1440" w:right="0" w:hanging="0"/>
        <w:jc w:val="both"/>
        <w:rPr>
          <w:sz w:val="17"/>
        </w:rPr>
      </w:pPr>
      <w:r>
        <w:rPr>
          <w:b/>
          <w:sz w:val="17"/>
          <w:u w:val="single"/>
        </w:rPr>
        <w:t>(c) Purchases of Equity Securities by the Issuer and Affiliated Purchasers</w:t>
      </w:r>
      <w:r>
        <w:rPr>
          <w:sz w:val="17"/>
        </w:rPr>
        <w:t xml:space="preserve"> </w:t>
      </w:r>
    </w:p>
    <w:p>
      <w:pPr>
        <w:pStyle w:val="TextBody"/>
        <w:spacing w:before="0" w:after="200"/>
        <w:ind w:left="1440" w:right="0" w:firstLine="720"/>
        <w:jc w:val="both"/>
        <w:rPr>
          <w:sz w:val="17"/>
        </w:rPr>
      </w:pPr>
      <w:r>
        <w:rPr>
          <w:sz w:val="17"/>
        </w:rPr>
        <w:t xml:space="preserve">During 2011, we purchased 172,300 of Class A Nonvoting shares on the open market for $747,000.  Additionally, during the first quarter of 2010, we purchased 62,375 shares for a total cost of $251,000.  No shares were purchased during 2012.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29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b/>
          <w:sz w:val="17"/>
          <w:u w:val="single"/>
        </w:rPr>
        <w:t>Item 6 – Selected Financial Data</w:t>
      </w:r>
      <w:r>
        <w:rPr>
          <w:sz w:val="17"/>
        </w:rPr>
        <w:t xml:space="preserve"> </w:t>
      </w:r>
    </w:p>
    <w:p>
      <w:pPr>
        <w:pStyle w:val="TextBody"/>
        <w:spacing w:before="0" w:after="200"/>
        <w:ind w:left="1440" w:right="0" w:firstLine="720"/>
        <w:jc w:val="both"/>
        <w:rPr>
          <w:sz w:val="17"/>
        </w:rPr>
      </w:pPr>
      <w:r>
        <w:rPr>
          <w:sz w:val="17"/>
        </w:rPr>
        <w:t xml:space="preserve">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2012 (the “2012 Annual Report”), and the related notes to the consolidated financial statements (dollars in thousands, except per share amounts). </w:t>
      </w:r>
    </w:p>
    <w:tbl>
      <w:tblPr>
        <w:tblW w:w="8765" w:type="dxa"/>
        <w:jc w:val="left"/>
        <w:tblInd w:w="1440" w:type="dxa"/>
        <w:tblCellMar>
          <w:top w:w="0" w:type="dxa"/>
          <w:left w:w="0" w:type="dxa"/>
          <w:bottom w:w="0" w:type="dxa"/>
          <w:right w:w="0" w:type="dxa"/>
        </w:tblCellMar>
      </w:tblPr>
      <w:tblGrid>
        <w:gridCol w:w="4275"/>
        <w:gridCol w:w="95"/>
        <w:gridCol w:w="800"/>
        <w:gridCol w:w="95"/>
        <w:gridCol w:w="800"/>
        <w:gridCol w:w="95"/>
        <w:gridCol w:w="800"/>
        <w:gridCol w:w="95"/>
        <w:gridCol w:w="800"/>
        <w:gridCol w:w="95"/>
        <w:gridCol w:w="815"/>
      </w:tblGrid>
      <w:tr>
        <w:trPr/>
        <w:tc>
          <w:tcPr>
            <w:tcW w:w="4275" w:type="dxa"/>
            <w:tcBorders/>
            <w:shd w:fill="auto" w:val="clear"/>
          </w:tcPr>
          <w:p>
            <w:pPr>
              <w:pStyle w:val="TableContents"/>
              <w:spacing w:before="0" w:after="1"/>
              <w:ind w:left="0" w:right="0" w:hanging="0"/>
              <w:jc w:val="both"/>
              <w:rPr/>
            </w:pPr>
            <w:r>
              <w:rPr/>
              <w:t> </w:t>
            </w:r>
          </w:p>
        </w:tc>
        <w:tc>
          <w:tcPr>
            <w:tcW w:w="95" w:type="dxa"/>
            <w:tcBorders/>
            <w:shd w:fill="auto" w:val="clear"/>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4275" w:type="dxa"/>
            <w:tcBorders/>
            <w:shd w:fill="auto" w:val="clear"/>
          </w:tcPr>
          <w:p>
            <w:pPr>
              <w:pStyle w:val="TableContents"/>
              <w:spacing w:before="0" w:after="1"/>
              <w:ind w:left="0" w:right="0" w:hanging="0"/>
              <w:jc w:val="both"/>
              <w:rPr/>
            </w:pPr>
            <w:r>
              <w:rPr/>
              <w:t> </w:t>
            </w:r>
          </w:p>
        </w:tc>
        <w:tc>
          <w:tcPr>
            <w:tcW w:w="95" w:type="dxa"/>
            <w:tcBorders/>
            <w:shd w:fill="auto" w:val="clear"/>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4275" w:type="dxa"/>
            <w:tcBorders/>
            <w:shd w:fill="auto" w:val="clear"/>
          </w:tcPr>
          <w:p>
            <w:pPr>
              <w:pStyle w:val="TableContents"/>
              <w:spacing w:before="0" w:after="1"/>
              <w:ind w:left="0" w:right="0" w:hanging="0"/>
              <w:jc w:val="both"/>
              <w:rPr/>
            </w:pPr>
            <w:r>
              <w:rPr/>
              <w:t> </w:t>
            </w:r>
          </w:p>
        </w:tc>
        <w:tc>
          <w:tcPr>
            <w:tcW w:w="95" w:type="dxa"/>
            <w:tcBorders/>
            <w:shd w:fill="auto" w:val="clear"/>
          </w:tcPr>
          <w:p>
            <w:pPr>
              <w:pStyle w:val="TableContents"/>
              <w:spacing w:before="0" w:after="1"/>
              <w:ind w:left="0" w:right="0" w:hanging="0"/>
              <w:jc w:val="both"/>
              <w:rPr/>
            </w:pPr>
            <w:r>
              <w:rPr/>
              <w:t> </w:t>
            </w:r>
          </w:p>
        </w:tc>
        <w:tc>
          <w:tcPr>
            <w:tcW w:w="4395" w:type="dxa"/>
            <w:gridSpan w:val="9"/>
            <w:tcBorders/>
            <w:shd w:fill="auto" w:val="clear"/>
            <w:vAlign w:val="bottom"/>
          </w:tcPr>
          <w:p>
            <w:pPr>
              <w:pStyle w:val="TableContents"/>
              <w:spacing w:before="0" w:after="1"/>
              <w:ind w:left="0" w:right="0" w:hanging="0"/>
              <w:jc w:val="center"/>
              <w:rPr>
                <w:b/>
                <w:sz w:val="15"/>
                <w:u w:val="single"/>
              </w:rPr>
            </w:pPr>
            <w:r>
              <w:rPr>
                <w:b/>
                <w:sz w:val="15"/>
                <w:u w:val="single"/>
              </w:rPr>
              <w:t>At or for the Year Ended December 31,</w:t>
            </w:r>
          </w:p>
        </w:tc>
      </w:tr>
      <w:tr>
        <w:trPr/>
        <w:tc>
          <w:tcPr>
            <w:tcW w:w="427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5"/>
              </w:rPr>
            </w:pPr>
            <w:r>
              <w:rPr>
                <w:rFonts w:ascii="Times New Roman Bold" w:hAnsi="Times New Roman Bold"/>
                <w:b/>
                <w:sz w:val="15"/>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5"/>
              </w:rPr>
            </w:pPr>
            <w:r>
              <w:rPr>
                <w:rFonts w:ascii="Times New Roman Bold" w:hAnsi="Times New Roman Bold"/>
                <w:b/>
                <w:sz w:val="15"/>
              </w:rPr>
              <w:t>2011</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5"/>
              </w:rPr>
            </w:pPr>
            <w:r>
              <w:rPr>
                <w:rFonts w:ascii="Times New Roman Bold" w:hAnsi="Times New Roman Bold"/>
                <w:b/>
                <w:sz w:val="15"/>
              </w:rPr>
              <w:t>2010</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5"/>
              </w:rPr>
            </w:pPr>
            <w:r>
              <w:rPr>
                <w:rFonts w:ascii="Times New Roman Bold" w:hAnsi="Times New Roman Bold"/>
                <w:b/>
                <w:sz w:val="15"/>
              </w:rPr>
              <w:t>2009</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5"/>
              </w:rPr>
            </w:pPr>
            <w:r>
              <w:rPr>
                <w:rFonts w:ascii="Times New Roman Bold" w:hAnsi="Times New Roman Bold"/>
                <w:b/>
                <w:sz w:val="15"/>
              </w:rPr>
              <w:t>2008</w:t>
            </w:r>
          </w:p>
        </w:tc>
      </w:tr>
      <w:tr>
        <w:trPr/>
        <w:tc>
          <w:tcPr>
            <w:tcW w:w="4275"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Revenue</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254,430 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244,979 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229,322 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216,740 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1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197,055  </w:t>
            </w:r>
          </w:p>
        </w:tc>
      </w:tr>
      <w:tr>
        <w:trPr/>
        <w:tc>
          <w:tcPr>
            <w:tcW w:w="4275" w:type="dxa"/>
            <w:tcBorders/>
            <w:shd w:fill="FFFFFF" w:val="clear"/>
            <w:vAlign w:val="bottom"/>
          </w:tcPr>
          <w:p>
            <w:pPr>
              <w:pStyle w:val="TableContents"/>
              <w:spacing w:before="0" w:after="1"/>
              <w:ind w:left="0" w:right="0" w:hanging="0"/>
              <w:jc w:val="both"/>
              <w:rPr>
                <w:sz w:val="15"/>
              </w:rPr>
            </w:pPr>
            <w:r>
              <w:rPr>
                <w:sz w:val="15"/>
              </w:rPr>
              <w:t>Operating income (loss)</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19,127 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18,178 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13,069 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13,910 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(2,134) </w:t>
            </w:r>
          </w:p>
        </w:tc>
      </w:tr>
      <w:tr>
        <w:trPr/>
        <w:tc>
          <w:tcPr>
            <w:tcW w:w="4275" w:type="dxa"/>
            <w:tcBorders/>
            <w:shd w:fill="CCEEFF" w:val="clear"/>
            <w:vAlign w:val="bottom"/>
          </w:tcPr>
          <w:p>
            <w:pPr>
              <w:pStyle w:val="TableContents"/>
              <w:spacing w:before="0" w:after="1"/>
              <w:ind w:left="0" w:right="0" w:hanging="0"/>
              <w:jc w:val="both"/>
              <w:rPr>
                <w:sz w:val="15"/>
              </w:rPr>
            </w:pPr>
            <w:r>
              <w:rPr>
                <w:sz w:val="15"/>
              </w:rPr>
              <w:t>Income (loss) from discontinued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(405)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1,888 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97 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12 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(154) </w:t>
            </w:r>
          </w:p>
        </w:tc>
      </w:tr>
      <w:tr>
        <w:trPr/>
        <w:tc>
          <w:tcPr>
            <w:tcW w:w="4275" w:type="dxa"/>
            <w:tcBorders/>
            <w:shd w:fill="FFFFFF" w:val="clear"/>
            <w:vAlign w:val="bottom"/>
          </w:tcPr>
          <w:p>
            <w:pPr>
              <w:pStyle w:val="TableContents"/>
              <w:spacing w:before="0" w:after="1"/>
              <w:ind w:left="0" w:right="0" w:hanging="0"/>
              <w:jc w:val="both"/>
              <w:rPr>
                <w:sz w:val="15"/>
              </w:rPr>
            </w:pPr>
            <w:r>
              <w:rPr>
                <w:sz w:val="15"/>
              </w:rPr>
              <w:t>Net income (loss)</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(1,406)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10,896 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(12,034)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6,482 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(16,189) </w:t>
            </w:r>
          </w:p>
        </w:tc>
      </w:tr>
      <w:tr>
        <w:trPr/>
        <w:tc>
          <w:tcPr>
            <w:tcW w:w="4275" w:type="dxa"/>
            <w:tcBorders/>
            <w:shd w:fill="CCEEFF" w:val="clear"/>
            <w:vAlign w:val="bottom"/>
          </w:tcPr>
          <w:p>
            <w:pPr>
              <w:pStyle w:val="TableContents"/>
              <w:spacing w:before="0" w:after="1"/>
              <w:ind w:left="0" w:right="0" w:hanging="0"/>
              <w:jc w:val="both"/>
              <w:rPr>
                <w:sz w:val="15"/>
              </w:rPr>
            </w:pPr>
            <w:r>
              <w:rPr>
                <w:sz w:val="15"/>
              </w:rPr>
              <w:t>Net income (loss) attributable to Reading International, Inc. shareholders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(914)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9,956 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(12,650)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6,094 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(16,809) </w:t>
            </w:r>
          </w:p>
        </w:tc>
      </w:tr>
      <w:tr>
        <w:trPr/>
        <w:tc>
          <w:tcPr>
            <w:tcW w:w="4275"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4275" w:type="dxa"/>
            <w:tcBorders/>
            <w:shd w:fill="CCEEFF" w:val="clear"/>
            <w:vAlign w:val="bottom"/>
          </w:tcPr>
          <w:p>
            <w:pPr>
              <w:pStyle w:val="TableContents"/>
              <w:spacing w:before="0" w:after="1"/>
              <w:ind w:left="0" w:right="0" w:hanging="0"/>
              <w:jc w:val="both"/>
              <w:rPr>
                <w:sz w:val="15"/>
              </w:rPr>
            </w:pPr>
            <w:r>
              <w:rPr>
                <w:sz w:val="15"/>
              </w:rPr>
              <w:t>Basic earnings (loss) per share – continuing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(0.02)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0.36 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(0.56)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0.27 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(0.74) </w:t>
            </w:r>
          </w:p>
        </w:tc>
      </w:tr>
      <w:tr>
        <w:trPr/>
        <w:tc>
          <w:tcPr>
            <w:tcW w:w="4275" w:type="dxa"/>
            <w:tcBorders/>
            <w:shd w:fill="FFFFFF" w:val="clear"/>
            <w:vAlign w:val="bottom"/>
          </w:tcPr>
          <w:p>
            <w:pPr>
              <w:pStyle w:val="TableContents"/>
              <w:spacing w:before="0" w:after="1"/>
              <w:ind w:left="0" w:right="0" w:hanging="0"/>
              <w:jc w:val="both"/>
              <w:rPr>
                <w:sz w:val="15"/>
              </w:rPr>
            </w:pPr>
            <w:r>
              <w:rPr>
                <w:sz w:val="15"/>
              </w:rPr>
              <w:t>Basic earnings (loss) per share – discontinued operations</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(0.02)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0.08 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(0.01) </w:t>
            </w:r>
          </w:p>
        </w:tc>
      </w:tr>
      <w:tr>
        <w:trPr/>
        <w:tc>
          <w:tcPr>
            <w:tcW w:w="4275" w:type="dxa"/>
            <w:tcBorders/>
            <w:shd w:fill="CCEEFF" w:val="clear"/>
            <w:vAlign w:val="bottom"/>
          </w:tcPr>
          <w:p>
            <w:pPr>
              <w:pStyle w:val="TableContents"/>
              <w:spacing w:before="0" w:after="1"/>
              <w:ind w:left="0" w:right="0" w:hanging="0"/>
              <w:jc w:val="both"/>
              <w:rPr>
                <w:sz w:val="15"/>
              </w:rPr>
            </w:pPr>
            <w:r>
              <w:rPr>
                <w:sz w:val="15"/>
              </w:rPr>
              <w:t>Basic earnings (loss) per share</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0.44 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(0.56)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0.27 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(0.75) </w:t>
            </w:r>
          </w:p>
        </w:tc>
      </w:tr>
      <w:tr>
        <w:trPr/>
        <w:tc>
          <w:tcPr>
            <w:tcW w:w="4275" w:type="dxa"/>
            <w:tcBorders/>
            <w:shd w:fill="FFFFFF" w:val="clear"/>
            <w:vAlign w:val="bottom"/>
          </w:tcPr>
          <w:p>
            <w:pPr>
              <w:pStyle w:val="TableContents"/>
              <w:spacing w:before="0" w:after="1"/>
              <w:ind w:left="0" w:right="0" w:hanging="0"/>
              <w:jc w:val="both"/>
              <w:rPr>
                <w:sz w:val="15"/>
              </w:rPr>
            </w:pPr>
            <w:r>
              <w:rPr>
                <w:sz w:val="15"/>
              </w:rPr>
              <w:t>Diluted earnings (loss) per share – continuing operations</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(0.02)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0.35 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(0.56)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0.27 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(0.75) </w:t>
            </w:r>
          </w:p>
        </w:tc>
      </w:tr>
      <w:tr>
        <w:trPr/>
        <w:tc>
          <w:tcPr>
            <w:tcW w:w="4275" w:type="dxa"/>
            <w:tcBorders/>
            <w:shd w:fill="CCEEFF" w:val="clear"/>
            <w:vAlign w:val="bottom"/>
          </w:tcPr>
          <w:p>
            <w:pPr>
              <w:pStyle w:val="TableContents"/>
              <w:spacing w:before="0" w:after="1"/>
              <w:ind w:left="0" w:right="0" w:hanging="0"/>
              <w:jc w:val="both"/>
              <w:rPr>
                <w:sz w:val="15"/>
              </w:rPr>
            </w:pPr>
            <w:r>
              <w:rPr>
                <w:sz w:val="15"/>
              </w:rPr>
              <w:t>Diluted earnings (loss) per share – discontinued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(0.02)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0.08 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1"/>
              <w:ind w:left="0" w:right="0" w:hanging="0"/>
              <w:jc w:val="right"/>
              <w:rPr>
                <w:sz w:val="15"/>
              </w:rPr>
            </w:pPr>
            <w:r>
              <w:rPr>
                <w:sz w:val="15"/>
              </w:rPr>
              <w:t>--</w:t>
            </w:r>
          </w:p>
        </w:tc>
      </w:tr>
      <w:tr>
        <w:trPr/>
        <w:tc>
          <w:tcPr>
            <w:tcW w:w="4275" w:type="dxa"/>
            <w:tcBorders/>
            <w:shd w:fill="FFFFFF" w:val="clear"/>
            <w:vAlign w:val="bottom"/>
          </w:tcPr>
          <w:p>
            <w:pPr>
              <w:pStyle w:val="TableContents"/>
              <w:spacing w:before="0" w:after="1"/>
              <w:ind w:left="0" w:right="0" w:hanging="0"/>
              <w:jc w:val="both"/>
              <w:rPr>
                <w:sz w:val="15"/>
              </w:rPr>
            </w:pPr>
            <w:r>
              <w:rPr>
                <w:sz w:val="15"/>
              </w:rPr>
              <w:t>Diluted earnings (loss) per share</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(0.04)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0.43 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(0.56)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0.27 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(0.75) </w:t>
            </w:r>
          </w:p>
        </w:tc>
      </w:tr>
      <w:tr>
        <w:trPr/>
        <w:tc>
          <w:tcPr>
            <w:tcW w:w="4275"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right"/>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right"/>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right"/>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right"/>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1"/>
              <w:ind w:left="0" w:right="0" w:hanging="0"/>
              <w:jc w:val="right"/>
              <w:rPr/>
            </w:pPr>
            <w:r>
              <w:rPr/>
              <w:t> </w:t>
            </w:r>
          </w:p>
        </w:tc>
      </w:tr>
      <w:tr>
        <w:trPr/>
        <w:tc>
          <w:tcPr>
            <w:tcW w:w="4275" w:type="dxa"/>
            <w:tcBorders/>
            <w:shd w:fill="FFFFFF" w:val="clear"/>
            <w:vAlign w:val="bottom"/>
          </w:tcPr>
          <w:p>
            <w:pPr>
              <w:pStyle w:val="TableContents"/>
              <w:spacing w:before="0" w:after="1"/>
              <w:ind w:left="0" w:right="0" w:hanging="0"/>
              <w:jc w:val="both"/>
              <w:rPr>
                <w:sz w:val="15"/>
              </w:rPr>
            </w:pPr>
            <w:r>
              <w:rPr>
                <w:sz w:val="15"/>
              </w:rPr>
              <w:t>Other Information:</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4275" w:type="dxa"/>
            <w:tcBorders/>
            <w:shd w:fill="CCEEFF" w:val="clear"/>
            <w:vAlign w:val="bottom"/>
          </w:tcPr>
          <w:p>
            <w:pPr>
              <w:pStyle w:val="TableContents"/>
              <w:spacing w:before="0" w:after="1"/>
              <w:ind w:left="0" w:right="0" w:hanging="0"/>
              <w:jc w:val="both"/>
              <w:rPr>
                <w:sz w:val="15"/>
              </w:rPr>
            </w:pPr>
            <w:r>
              <w:rPr>
                <w:sz w:val="15"/>
              </w:rPr>
              <w:t>Shares outstanding</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23,083,265  </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22,806,838  </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22,804,313  </w:t>
            </w:r>
          </w:p>
        </w:tc>
        <w:tc>
          <w:tcPr>
            <w:tcW w:w="95" w:type="dxa"/>
            <w:tcBorders/>
            <w:shd w:fill="CCEEFF" w:val="clear"/>
            <w:vAlign w:val="bottom"/>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22,588,403  </w:t>
            </w:r>
          </w:p>
        </w:tc>
        <w:tc>
          <w:tcPr>
            <w:tcW w:w="95" w:type="dxa"/>
            <w:tcBorders/>
            <w:shd w:fill="CCEEFF" w:val="clear"/>
          </w:tcPr>
          <w:p>
            <w:pPr>
              <w:pStyle w:val="TableContents"/>
              <w:spacing w:before="0" w:after="1"/>
              <w:ind w:left="0" w:right="0" w:hanging="0"/>
              <w:jc w:val="both"/>
              <w:rPr/>
            </w:pPr>
            <w:r>
              <w:rPr/>
              <w:t> </w:t>
            </w:r>
          </w:p>
        </w:tc>
        <w:tc>
          <w:tcPr>
            <w:tcW w:w="815" w:type="dxa"/>
            <w:tcBorders/>
            <w:shd w:fill="CCEEFF" w:val="clear"/>
            <w:vAlign w:val="bottom"/>
          </w:tcPr>
          <w:p>
            <w:pPr>
              <w:pStyle w:val="TableContents"/>
              <w:spacing w:before="0" w:after="283"/>
              <w:jc w:val="right"/>
              <w:rPr>
                <w:sz w:val="15"/>
              </w:rPr>
            </w:pPr>
            <w:r>
              <w:rPr>
                <w:sz w:val="15"/>
              </w:rPr>
              <w:t xml:space="preserve">22,482,605  </w:t>
            </w:r>
          </w:p>
        </w:tc>
      </w:tr>
      <w:tr>
        <w:trPr/>
        <w:tc>
          <w:tcPr>
            <w:tcW w:w="4275" w:type="dxa"/>
            <w:tcBorders/>
            <w:shd w:fill="FFFFFF" w:val="clear"/>
            <w:vAlign w:val="bottom"/>
          </w:tcPr>
          <w:p>
            <w:pPr>
              <w:pStyle w:val="TableContents"/>
              <w:spacing w:before="0" w:after="1"/>
              <w:ind w:left="0" w:right="0" w:hanging="0"/>
              <w:jc w:val="both"/>
              <w:rPr>
                <w:sz w:val="15"/>
              </w:rPr>
            </w:pPr>
            <w:r>
              <w:rPr>
                <w:sz w:val="15"/>
              </w:rPr>
              <w:t>Weighted average number of shares outstanding–basic</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283"/>
              <w:jc w:val="right"/>
              <w:rPr>
                <w:sz w:val="15"/>
              </w:rPr>
            </w:pPr>
            <w:r>
              <w:rPr>
                <w:sz w:val="15"/>
              </w:rPr>
              <w:t xml:space="preserve">23,028,596 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283"/>
              <w:jc w:val="right"/>
              <w:rPr>
                <w:sz w:val="15"/>
              </w:rPr>
            </w:pPr>
            <w:r>
              <w:rPr>
                <w:sz w:val="15"/>
              </w:rPr>
              <w:t xml:space="preserve">22,764,666 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283"/>
              <w:jc w:val="right"/>
              <w:rPr>
                <w:sz w:val="15"/>
              </w:rPr>
            </w:pPr>
            <w:r>
              <w:rPr>
                <w:sz w:val="15"/>
              </w:rPr>
              <w:t xml:space="preserve">22,781,392 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283"/>
              <w:jc w:val="right"/>
              <w:rPr>
                <w:sz w:val="15"/>
              </w:rPr>
            </w:pPr>
            <w:r>
              <w:rPr>
                <w:sz w:val="15"/>
              </w:rPr>
              <w:t xml:space="preserve">22,580,942  </w:t>
            </w:r>
          </w:p>
        </w:tc>
        <w:tc>
          <w:tcPr>
            <w:tcW w:w="95" w:type="dxa"/>
            <w:tcBorders/>
            <w:shd w:fill="FFFFFF" w:val="clear"/>
          </w:tcPr>
          <w:p>
            <w:pPr>
              <w:pStyle w:val="TableContents"/>
              <w:spacing w:before="0" w:after="1"/>
              <w:ind w:left="0" w:right="0" w:hanging="0"/>
              <w:jc w:val="both"/>
              <w:rPr/>
            </w:pPr>
            <w:r>
              <w:rPr/>
              <w:t> </w:t>
            </w:r>
          </w:p>
        </w:tc>
        <w:tc>
          <w:tcPr>
            <w:tcW w:w="815" w:type="dxa"/>
            <w:tcBorders/>
            <w:shd w:fill="FFFFFF" w:val="clear"/>
            <w:vAlign w:val="bottom"/>
          </w:tcPr>
          <w:p>
            <w:pPr>
              <w:pStyle w:val="TableContents"/>
              <w:spacing w:before="0" w:after="283"/>
              <w:jc w:val="right"/>
              <w:rPr>
                <w:sz w:val="15"/>
              </w:rPr>
            </w:pPr>
            <w:r>
              <w:rPr>
                <w:sz w:val="15"/>
              </w:rPr>
              <w:t xml:space="preserve">22,477,471  </w:t>
            </w:r>
          </w:p>
        </w:tc>
      </w:tr>
      <w:tr>
        <w:trPr/>
        <w:tc>
          <w:tcPr>
            <w:tcW w:w="4275" w:type="dxa"/>
            <w:tcBorders/>
            <w:shd w:fill="CCEEFF" w:val="clear"/>
            <w:vAlign w:val="bottom"/>
          </w:tcPr>
          <w:p>
            <w:pPr>
              <w:pStyle w:val="TableContents"/>
              <w:spacing w:before="0" w:after="1"/>
              <w:ind w:left="0" w:right="0" w:hanging="0"/>
              <w:jc w:val="both"/>
              <w:rPr>
                <w:sz w:val="15"/>
              </w:rPr>
            </w:pPr>
            <w:r>
              <w:rPr>
                <w:sz w:val="15"/>
              </w:rPr>
              <w:t>Weighted average number of shares outstanding–diluted</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23,028,596  </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22,993,135  </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22,781,392  </w:t>
            </w:r>
          </w:p>
        </w:tc>
        <w:tc>
          <w:tcPr>
            <w:tcW w:w="95" w:type="dxa"/>
            <w:tcBorders/>
            <w:shd w:fill="CCEEFF" w:val="clear"/>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283"/>
              <w:jc w:val="right"/>
              <w:rPr>
                <w:sz w:val="15"/>
              </w:rPr>
            </w:pPr>
            <w:r>
              <w:rPr>
                <w:sz w:val="15"/>
              </w:rPr>
              <w:t xml:space="preserve">22,767,735  </w:t>
            </w:r>
          </w:p>
        </w:tc>
        <w:tc>
          <w:tcPr>
            <w:tcW w:w="95" w:type="dxa"/>
            <w:tcBorders/>
            <w:shd w:fill="CCEEFF" w:val="clear"/>
          </w:tcPr>
          <w:p>
            <w:pPr>
              <w:pStyle w:val="TableContents"/>
              <w:spacing w:before="0" w:after="1"/>
              <w:ind w:left="0" w:right="0" w:hanging="0"/>
              <w:jc w:val="both"/>
              <w:rPr/>
            </w:pPr>
            <w:r>
              <w:rPr/>
              <w:t> </w:t>
            </w:r>
          </w:p>
        </w:tc>
        <w:tc>
          <w:tcPr>
            <w:tcW w:w="815" w:type="dxa"/>
            <w:tcBorders/>
            <w:shd w:fill="CCEEFF" w:val="clear"/>
            <w:vAlign w:val="bottom"/>
          </w:tcPr>
          <w:p>
            <w:pPr>
              <w:pStyle w:val="TableContents"/>
              <w:spacing w:before="0" w:after="283"/>
              <w:jc w:val="right"/>
              <w:rPr>
                <w:sz w:val="15"/>
              </w:rPr>
            </w:pPr>
            <w:r>
              <w:rPr>
                <w:sz w:val="15"/>
              </w:rPr>
              <w:t xml:space="preserve">22,477,471  </w:t>
            </w:r>
          </w:p>
        </w:tc>
      </w:tr>
      <w:tr>
        <w:trPr/>
        <w:tc>
          <w:tcPr>
            <w:tcW w:w="4275" w:type="dxa"/>
            <w:tcBorders/>
            <w:shd w:fill="FFFFFF" w:val="clear"/>
            <w:vAlign w:val="bottom"/>
          </w:tcPr>
          <w:p>
            <w:pPr>
              <w:pStyle w:val="TableContents"/>
              <w:spacing w:before="0" w:after="1"/>
              <w:ind w:left="0" w:right="0" w:hanging="0"/>
              <w:jc w:val="both"/>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tcPr>
          <w:p>
            <w:pPr>
              <w:pStyle w:val="TableContents"/>
              <w:spacing w:before="0" w:after="1"/>
              <w:ind w:left="0" w:right="0" w:hanging="0"/>
              <w:jc w:val="both"/>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4275" w:type="dxa"/>
            <w:tcBorders/>
            <w:shd w:fill="CCEEFF" w:val="clear"/>
            <w:vAlign w:val="bottom"/>
          </w:tcPr>
          <w:p>
            <w:pPr>
              <w:pStyle w:val="TableContents"/>
              <w:spacing w:before="0" w:after="1"/>
              <w:ind w:left="0" w:right="0" w:hanging="0"/>
              <w:jc w:val="both"/>
              <w:rPr>
                <w:sz w:val="15"/>
              </w:rPr>
            </w:pPr>
            <w:r>
              <w:rPr>
                <w:sz w:val="15"/>
              </w:rPr>
              <w:t>Total assets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428,588 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430,764 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430,349 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406,417 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371,870  </w:t>
            </w:r>
          </w:p>
        </w:tc>
      </w:tr>
      <w:tr>
        <w:trPr/>
        <w:tc>
          <w:tcPr>
            <w:tcW w:w="4275" w:type="dxa"/>
            <w:tcBorders/>
            <w:shd w:fill="FFFFFF" w:val="clear"/>
            <w:vAlign w:val="bottom"/>
          </w:tcPr>
          <w:p>
            <w:pPr>
              <w:pStyle w:val="TableContents"/>
              <w:spacing w:before="0" w:after="1"/>
              <w:ind w:left="0" w:right="0" w:hanging="0"/>
              <w:jc w:val="both"/>
              <w:rPr>
                <w:sz w:val="15"/>
              </w:rPr>
            </w:pPr>
            <w:r>
              <w:rPr>
                <w:sz w:val="15"/>
              </w:rPr>
              <w:t>Total debt</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196,597 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209,614 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228,821 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226,993 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239,162  </w:t>
            </w:r>
          </w:p>
        </w:tc>
      </w:tr>
      <w:tr>
        <w:trPr/>
        <w:tc>
          <w:tcPr>
            <w:tcW w:w="4275" w:type="dxa"/>
            <w:tcBorders/>
            <w:shd w:fill="CCEEFF" w:val="clear"/>
            <w:vAlign w:val="bottom"/>
          </w:tcPr>
          <w:p>
            <w:pPr>
              <w:pStyle w:val="TableContents"/>
              <w:spacing w:before="0" w:after="1"/>
              <w:ind w:left="0" w:right="0" w:hanging="0"/>
              <w:jc w:val="both"/>
              <w:rPr>
                <w:sz w:val="15"/>
              </w:rPr>
            </w:pPr>
            <w:r>
              <w:rPr>
                <w:sz w:val="15"/>
              </w:rPr>
              <w:t>Working capital (deficit)</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(21,415)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(12,844)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(57,634)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(16,229)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12,516  </w:t>
            </w:r>
          </w:p>
        </w:tc>
      </w:tr>
      <w:tr>
        <w:trPr/>
        <w:tc>
          <w:tcPr>
            <w:tcW w:w="4275" w:type="dxa"/>
            <w:tcBorders/>
            <w:shd w:fill="FFFFFF" w:val="clear"/>
            <w:vAlign w:val="bottom"/>
          </w:tcPr>
          <w:p>
            <w:pPr>
              <w:pStyle w:val="TableContents"/>
              <w:spacing w:before="0" w:after="1"/>
              <w:ind w:left="0" w:right="0" w:hanging="0"/>
              <w:jc w:val="both"/>
              <w:rPr>
                <w:sz w:val="15"/>
              </w:rPr>
            </w:pPr>
            <w:r>
              <w:rPr>
                <w:sz w:val="15"/>
              </w:rPr>
              <w:t>Stockholders’ equity</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130,954 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124,987 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112,639 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110,263 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69,447  </w:t>
            </w:r>
          </w:p>
        </w:tc>
      </w:tr>
      <w:tr>
        <w:trPr/>
        <w:tc>
          <w:tcPr>
            <w:tcW w:w="4275" w:type="dxa"/>
            <w:tcBorders/>
            <w:shd w:fill="CCEEFF" w:val="clear"/>
            <w:vAlign w:val="bottom"/>
          </w:tcPr>
          <w:p>
            <w:pPr>
              <w:pStyle w:val="TableContents"/>
              <w:spacing w:before="0" w:after="1"/>
              <w:ind w:left="0" w:right="0" w:hanging="0"/>
              <w:jc w:val="both"/>
              <w:rPr>
                <w:sz w:val="15"/>
              </w:rPr>
            </w:pPr>
            <w:r>
              <w:rPr>
                <w:sz w:val="15"/>
              </w:rPr>
              <w:t>EBIT</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20,416 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18,664 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13,900 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22,618 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1,030  </w:t>
            </w:r>
          </w:p>
        </w:tc>
      </w:tr>
      <w:tr>
        <w:trPr/>
        <w:tc>
          <w:tcPr>
            <w:tcW w:w="4275" w:type="dxa"/>
            <w:tcBorders/>
            <w:shd w:fill="FFFFFF" w:val="clear"/>
            <w:vAlign w:val="bottom"/>
          </w:tcPr>
          <w:p>
            <w:pPr>
              <w:pStyle w:val="TableContents"/>
              <w:spacing w:before="0" w:after="1"/>
              <w:ind w:left="0" w:right="0" w:hanging="0"/>
              <w:jc w:val="both"/>
              <w:rPr>
                <w:sz w:val="15"/>
              </w:rPr>
            </w:pPr>
            <w:r>
              <w:rPr>
                <w:sz w:val="15"/>
              </w:rPr>
              <w:t>Depreciation and amortization</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16,049 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16,595 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15,563 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15,034 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18,556  </w:t>
            </w:r>
          </w:p>
        </w:tc>
      </w:tr>
      <w:tr>
        <w:trPr/>
        <w:tc>
          <w:tcPr>
            <w:tcW w:w="4275" w:type="dxa"/>
            <w:tcBorders/>
            <w:shd w:fill="CCEEFF" w:val="clear"/>
            <w:vAlign w:val="bottom"/>
          </w:tcPr>
          <w:p>
            <w:pPr>
              <w:pStyle w:val="TableContents"/>
              <w:spacing w:before="0" w:after="1"/>
              <w:ind w:left="0" w:right="0" w:hanging="0"/>
              <w:jc w:val="both"/>
              <w:rPr>
                <w:sz w:val="15"/>
              </w:rPr>
            </w:pPr>
            <w:r>
              <w:rPr>
                <w:sz w:val="15"/>
              </w:rPr>
              <w:t>Add:  Adjustments for discontinued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335 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365 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351 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134 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2  </w:t>
            </w:r>
          </w:p>
        </w:tc>
      </w:tr>
      <w:tr>
        <w:trPr/>
        <w:tc>
          <w:tcPr>
            <w:tcW w:w="4275" w:type="dxa"/>
            <w:tcBorders/>
            <w:shd w:fill="FFFFFF" w:val="clear"/>
            <w:vAlign w:val="bottom"/>
          </w:tcPr>
          <w:p>
            <w:pPr>
              <w:pStyle w:val="TableContents"/>
              <w:spacing w:before="0" w:after="1"/>
              <w:ind w:left="0" w:right="0" w:hanging="0"/>
              <w:jc w:val="both"/>
              <w:rPr>
                <w:sz w:val="15"/>
              </w:rPr>
            </w:pPr>
            <w:r>
              <w:rPr>
                <w:sz w:val="15"/>
              </w:rPr>
              <w:t>EBITDA</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36,800 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35,624 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29,814 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37,786 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19,588  </w:t>
            </w:r>
          </w:p>
        </w:tc>
      </w:tr>
      <w:tr>
        <w:trPr/>
        <w:tc>
          <w:tcPr>
            <w:tcW w:w="4275" w:type="dxa"/>
            <w:tcBorders/>
            <w:shd w:fill="CCEEFF" w:val="clear"/>
            <w:vAlign w:val="bottom"/>
          </w:tcPr>
          <w:p>
            <w:pPr>
              <w:pStyle w:val="TableContents"/>
              <w:spacing w:before="0" w:after="1"/>
              <w:ind w:left="0" w:right="0" w:hanging="0"/>
              <w:jc w:val="both"/>
              <w:rPr>
                <w:sz w:val="15"/>
              </w:rPr>
            </w:pPr>
            <w:r>
              <w:rPr>
                <w:sz w:val="15"/>
              </w:rPr>
              <w:t>Debt to EBITDA</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5.34 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5.88 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7.67 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6.01 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12.21  </w:t>
            </w:r>
          </w:p>
        </w:tc>
      </w:tr>
      <w:tr>
        <w:trPr/>
        <w:tc>
          <w:tcPr>
            <w:tcW w:w="4275" w:type="dxa"/>
            <w:tcBorders/>
            <w:shd w:fill="FFFFFF" w:val="clear"/>
            <w:vAlign w:val="bottom"/>
          </w:tcPr>
          <w:p>
            <w:pPr>
              <w:pStyle w:val="TableContents"/>
              <w:spacing w:before="0" w:after="1"/>
              <w:ind w:left="0" w:right="0" w:hanging="0"/>
              <w:jc w:val="both"/>
              <w:rPr>
                <w:sz w:val="15"/>
              </w:rPr>
            </w:pPr>
            <w:r>
              <w:rPr>
                <w:sz w:val="15"/>
              </w:rPr>
              <w:t>Capital expenditure (including acquisitions)</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13,723 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9,376 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19,371 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5,686 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75,167  </w:t>
            </w:r>
          </w:p>
        </w:tc>
      </w:tr>
      <w:tr>
        <w:trPr/>
        <w:tc>
          <w:tcPr>
            <w:tcW w:w="4275" w:type="dxa"/>
            <w:tcBorders/>
            <w:shd w:fill="CCEEFF" w:val="clear"/>
            <w:vAlign w:val="bottom"/>
          </w:tcPr>
          <w:p>
            <w:pPr>
              <w:pStyle w:val="TableContents"/>
              <w:spacing w:before="0" w:after="1"/>
              <w:ind w:left="0" w:right="0" w:hanging="0"/>
              <w:jc w:val="both"/>
              <w:rPr>
                <w:sz w:val="15"/>
              </w:rPr>
            </w:pPr>
            <w:r>
              <w:rPr>
                <w:sz w:val="15"/>
              </w:rPr>
              <w:t>Number of employees at 12/31</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2,412 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2,263 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2,109 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2,207 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283"/>
              <w:jc w:val="right"/>
              <w:rPr>
                <w:sz w:val="15"/>
              </w:rPr>
            </w:pPr>
            <w:r>
              <w:rPr>
                <w:sz w:val="15"/>
              </w:rPr>
              <w:t xml:space="preserve">1,986 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 </w:t>
      </w:r>
    </w:p>
    <w:tbl>
      <w:tblPr>
        <w:tblW w:w="8765" w:type="dxa"/>
        <w:jc w:val="left"/>
        <w:tblInd w:w="1440" w:type="dxa"/>
        <w:tblCellMar>
          <w:top w:w="0" w:type="dxa"/>
          <w:left w:w="0" w:type="dxa"/>
          <w:bottom w:w="0" w:type="dxa"/>
          <w:right w:w="0" w:type="dxa"/>
        </w:tblCellMar>
      </w:tblPr>
      <w:tblGrid>
        <w:gridCol w:w="143"/>
        <w:gridCol w:w="8622"/>
      </w:tblGrid>
      <w:tr>
        <w:trPr/>
        <w:tc>
          <w:tcPr>
            <w:tcW w:w="14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2" w:type="dxa"/>
            <w:tcBorders/>
            <w:shd w:fill="auto" w:val="clear"/>
          </w:tcPr>
          <w:p>
            <w:pPr>
              <w:pStyle w:val="TableContents"/>
              <w:pBdr/>
              <w:spacing w:before="0" w:after="283"/>
              <w:jc w:val="both"/>
              <w:rPr>
                <w:sz w:val="17"/>
              </w:rPr>
            </w:pPr>
            <w:r>
              <w:rPr>
                <w:sz w:val="17"/>
              </w:rPr>
              <w:t>since we operate in multiple tax jurisdictions, we find EBIT removes the impact of the varying tax rates and tax regimes in the jurisdictions in which we operate.</w:t>
            </w:r>
          </w:p>
        </w:tc>
      </w:tr>
    </w:tbl>
    <w:tbl>
      <w:tblPr>
        <w:tblW w:w="8765" w:type="dxa"/>
        <w:jc w:val="left"/>
        <w:tblInd w:w="1440" w:type="dxa"/>
        <w:tblCellMar>
          <w:top w:w="0" w:type="dxa"/>
          <w:left w:w="0" w:type="dxa"/>
          <w:bottom w:w="0" w:type="dxa"/>
          <w:right w:w="0" w:type="dxa"/>
        </w:tblCellMar>
      </w:tblPr>
      <w:tblGrid>
        <w:gridCol w:w="125"/>
        <w:gridCol w:w="8640"/>
      </w:tblGrid>
      <w:tr>
        <w:trPr/>
        <w:tc>
          <w:tcPr>
            <w:tcW w:w="12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0" w:type="dxa"/>
            <w:tcBorders/>
            <w:shd w:fill="auto" w:val="clear"/>
          </w:tcPr>
          <w:p>
            <w:pPr>
              <w:pStyle w:val="TableContents"/>
              <w:pBdr/>
              <w:spacing w:before="0" w:after="283"/>
              <w:jc w:val="both"/>
              <w:rPr>
                <w:sz w:val="17"/>
              </w:rPr>
            </w:pPr>
            <w:r>
              <w:rPr>
                <w:sz w:val="17"/>
              </w:rPr>
              <w:t xml:space="preserve">in addition, we find EBIT useful as a financial measure that removes the impact from our effective tax rate of factors not directly related to our business operations, such as, whether we have acquired operating assets by purchasing those assets directly, or indirectly by purchasing the stock of a company that might hold such operating assets.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765" w:type="dxa"/>
        <w:jc w:val="left"/>
        <w:tblInd w:w="1440" w:type="dxa"/>
        <w:tblCellMar>
          <w:top w:w="0" w:type="dxa"/>
          <w:left w:w="0" w:type="dxa"/>
          <w:bottom w:w="0" w:type="dxa"/>
          <w:right w:w="0" w:type="dxa"/>
        </w:tblCellMar>
      </w:tblPr>
      <w:tblGrid>
        <w:gridCol w:w="124"/>
        <w:gridCol w:w="8641"/>
      </w:tblGrid>
      <w:tr>
        <w:trPr/>
        <w:tc>
          <w:tcPr>
            <w:tcW w:w="12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1" w:type="dxa"/>
            <w:tcBorders/>
            <w:shd w:fill="auto" w:val="clear"/>
          </w:tcPr>
          <w:p>
            <w:pPr>
              <w:pStyle w:val="TableContents"/>
              <w:pBdr/>
              <w:spacing w:before="0" w:after="283"/>
              <w:jc w:val="both"/>
              <w:rPr>
                <w:sz w:val="17"/>
              </w:rPr>
            </w:pPr>
            <w:r>
              <w:rPr>
                <w:sz w:val="17"/>
              </w:rPr>
              <w:t>the use of EBIT as a financial measure also (i) removes the impact of tax timing differences which may vary from time to time and from jurisdiction to jurisdiction, (ii) allows us to compare our performance to that achieved by other companies, and (iii) is useful as a financial measure that removes the impact of our historically significant net loss carry forwards.</w:t>
            </w:r>
          </w:p>
        </w:tc>
      </w:tr>
    </w:tbl>
    <w:tbl>
      <w:tblPr>
        <w:tblW w:w="8765" w:type="dxa"/>
        <w:jc w:val="left"/>
        <w:tblInd w:w="1440" w:type="dxa"/>
        <w:tblCellMar>
          <w:top w:w="0" w:type="dxa"/>
          <w:left w:w="0" w:type="dxa"/>
          <w:bottom w:w="0" w:type="dxa"/>
          <w:right w:w="0" w:type="dxa"/>
        </w:tblCellMar>
      </w:tblPr>
      <w:tblGrid>
        <w:gridCol w:w="146"/>
        <w:gridCol w:w="8619"/>
      </w:tblGrid>
      <w:tr>
        <w:trPr/>
        <w:tc>
          <w:tcPr>
            <w:tcW w:w="14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9" w:type="dxa"/>
            <w:tcBorders/>
            <w:shd w:fill="auto" w:val="clear"/>
          </w:tcPr>
          <w:p>
            <w:pPr>
              <w:pStyle w:val="TableContents"/>
              <w:pBdr/>
              <w:spacing w:before="0" w:after="283"/>
              <w:jc w:val="both"/>
              <w:rPr>
                <w:sz w:val="17"/>
              </w:rPr>
            </w:pPr>
            <w:r>
              <w:rPr>
                <w:sz w:val="17"/>
              </w:rPr>
              <w:t>the elimination of net interest expense helps us to compare our operating performance to those companies that may have more or less debt than we do.</w:t>
            </w:r>
          </w:p>
        </w:tc>
      </w:tr>
    </w:tbl>
    <w:p>
      <w:pPr>
        <w:pStyle w:val="TextBody"/>
        <w:spacing w:before="200" w:after="200"/>
        <w:ind w:left="1440" w:right="0" w:firstLine="720"/>
        <w:jc w:val="both"/>
        <w:rPr>
          <w:sz w:val="17"/>
        </w:rPr>
      </w:pPr>
      <w:r>
        <w:rPr>
          <w:sz w:val="17"/>
        </w:rPr>
        <w:t xml:space="preserve">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 </w:t>
      </w:r>
    </w:p>
    <w:tbl>
      <w:tblPr>
        <w:tblW w:w="8765" w:type="dxa"/>
        <w:jc w:val="left"/>
        <w:tblInd w:w="1440" w:type="dxa"/>
        <w:tblCellMar>
          <w:top w:w="0" w:type="dxa"/>
          <w:left w:w="0" w:type="dxa"/>
          <w:bottom w:w="0" w:type="dxa"/>
          <w:right w:w="0" w:type="dxa"/>
        </w:tblCellMar>
      </w:tblPr>
      <w:tblGrid>
        <w:gridCol w:w="119"/>
        <w:gridCol w:w="8646"/>
      </w:tblGrid>
      <w:tr>
        <w:trPr/>
        <w:tc>
          <w:tcPr>
            <w:tcW w:w="11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6" w:type="dxa"/>
            <w:tcBorders/>
            <w:shd w:fill="auto" w:val="clear"/>
          </w:tcPr>
          <w:p>
            <w:pPr>
              <w:pStyle w:val="TableContents"/>
              <w:pBdr/>
              <w:spacing w:before="0" w:after="283"/>
              <w:jc w:val="both"/>
              <w:rPr>
                <w:sz w:val="17"/>
              </w:rPr>
            </w:pPr>
            <w:r>
              <w:rPr>
                <w:sz w:val="17"/>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tc>
      </w:tr>
    </w:tbl>
    <w:tbl>
      <w:tblPr>
        <w:tblW w:w="8765" w:type="dxa"/>
        <w:jc w:val="left"/>
        <w:tblInd w:w="1440" w:type="dxa"/>
        <w:tblCellMar>
          <w:top w:w="0" w:type="dxa"/>
          <w:left w:w="0" w:type="dxa"/>
          <w:bottom w:w="0" w:type="dxa"/>
          <w:right w:w="0" w:type="dxa"/>
        </w:tblCellMar>
      </w:tblPr>
      <w:tblGrid>
        <w:gridCol w:w="126"/>
        <w:gridCol w:w="8639"/>
      </w:tblGrid>
      <w:tr>
        <w:trPr/>
        <w:tc>
          <w:tcPr>
            <w:tcW w:w="12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9" w:type="dxa"/>
            <w:tcBorders/>
            <w:shd w:fill="auto" w:val="clear"/>
          </w:tcPr>
          <w:p>
            <w:pPr>
              <w:pStyle w:val="TableContents"/>
              <w:pBdr/>
              <w:spacing w:before="0" w:after="283"/>
              <w:jc w:val="both"/>
              <w:rPr>
                <w:sz w:val="17"/>
              </w:rPr>
            </w:pPr>
            <w:r>
              <w:rPr>
                <w:sz w:val="17"/>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tc>
      </w:tr>
    </w:tbl>
    <w:p>
      <w:pPr>
        <w:pStyle w:val="TextBody"/>
        <w:spacing w:before="200" w:after="200"/>
        <w:ind w:left="1440" w:right="0" w:firstLine="720"/>
        <w:jc w:val="both"/>
        <w:rPr>
          <w:sz w:val="17"/>
        </w:rPr>
      </w:pPr>
      <w:r>
        <w:rPr>
          <w:sz w:val="17"/>
        </w:rPr>
        <w:t xml:space="preserve">We expect that investors may use EBITDA to judge our ability to generate cash, as a basis of comparison to other companies engaged in the cinema exhibition and real estate businesses and as a basis to value our company against such other companies. </w:t>
      </w:r>
    </w:p>
    <w:p>
      <w:pPr>
        <w:pStyle w:val="TextBody"/>
        <w:spacing w:before="0" w:after="200"/>
        <w:ind w:left="1440" w:right="0" w:firstLine="720"/>
        <w:jc w:val="both"/>
        <w:rPr>
          <w:sz w:val="17"/>
        </w:rPr>
      </w:pPr>
      <w:r>
        <w:rPr>
          <w:sz w:val="17"/>
        </w:rPr>
        <w:t xml:space="preserve">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 to time as described in more detail in this Annual Report on Form 10-K.  </w:t>
      </w:r>
    </w:p>
    <w:p>
      <w:pPr>
        <w:pStyle w:val="TextBody"/>
        <w:spacing w:before="0" w:after="200"/>
        <w:ind w:left="1440" w:right="0" w:firstLine="720"/>
        <w:jc w:val="both"/>
        <w:rPr>
          <w:sz w:val="17"/>
        </w:rPr>
      </w:pPr>
      <w:r>
        <w:rPr>
          <w:sz w:val="17"/>
        </w:rPr>
        <w:t xml:space="preserve">EBIT and EBITDA also fail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be ultimately less valuable than a company that realizes the same amount of taxable earnings in a low tax jurisdiction.  EBITDA fails to take into account the cost of depreciation and amortization and the fact that assets will eventually wear out and have to be replaced. </w:t>
      </w:r>
    </w:p>
    <w:p>
      <w:pPr>
        <w:pStyle w:val="TextBody"/>
        <w:spacing w:before="0" w:after="200"/>
        <w:ind w:left="1440" w:right="0" w:firstLine="720"/>
        <w:jc w:val="both"/>
        <w:rPr>
          <w:sz w:val="17"/>
        </w:rPr>
      </w:pPr>
      <w:r>
        <w:rPr>
          <w:sz w:val="17"/>
        </w:rPr>
        <w:t xml:space="preserve">EBITDA, as calculated by us, may not be comparable to similarly titled measures reported by other companies.  A reconciliation of net income (loss) to EBIT and EBITDA is presented below (dollars in thousands): </w:t>
      </w:r>
    </w:p>
    <w:tbl>
      <w:tblPr>
        <w:tblW w:w="7690" w:type="dxa"/>
        <w:jc w:val="left"/>
        <w:tblInd w:w="1440" w:type="dxa"/>
        <w:tblCellMar>
          <w:top w:w="0" w:type="dxa"/>
          <w:left w:w="0" w:type="dxa"/>
          <w:bottom w:w="0" w:type="dxa"/>
          <w:right w:w="0" w:type="dxa"/>
        </w:tblCellMar>
      </w:tblPr>
      <w:tblGrid>
        <w:gridCol w:w="4415"/>
        <w:gridCol w:w="95"/>
        <w:gridCol w:w="530"/>
        <w:gridCol w:w="95"/>
        <w:gridCol w:w="575"/>
        <w:gridCol w:w="95"/>
        <w:gridCol w:w="575"/>
        <w:gridCol w:w="95"/>
        <w:gridCol w:w="530"/>
        <w:gridCol w:w="95"/>
        <w:gridCol w:w="590"/>
      </w:tblGrid>
      <w:tr>
        <w:trPr/>
        <w:tc>
          <w:tcPr>
            <w:tcW w:w="441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441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right"/>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right"/>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right"/>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right"/>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right"/>
              <w:rPr/>
            </w:pPr>
            <w:r>
              <w:rPr/>
              <w:t> </w:t>
            </w:r>
          </w:p>
        </w:tc>
      </w:tr>
      <w:tr>
        <w:trPr/>
        <w:tc>
          <w:tcPr>
            <w:tcW w:w="441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2012</w:t>
            </w:r>
          </w:p>
        </w:tc>
        <w:tc>
          <w:tcPr>
            <w:tcW w:w="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2011</w:t>
            </w:r>
          </w:p>
        </w:tc>
        <w:tc>
          <w:tcPr>
            <w:tcW w:w="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2010</w:t>
            </w:r>
          </w:p>
        </w:tc>
        <w:tc>
          <w:tcPr>
            <w:tcW w:w="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2009</w:t>
            </w:r>
          </w:p>
        </w:tc>
        <w:tc>
          <w:tcPr>
            <w:tcW w:w="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5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2008</w:t>
            </w:r>
          </w:p>
        </w:tc>
      </w:tr>
      <w:tr>
        <w:trPr/>
        <w:tc>
          <w:tcPr>
            <w:tcW w:w="4415"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Net income (loss) attributable to Reading International, Inc. shareholders</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(914)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9,956 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(12,650)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6,094 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(16,809) </w:t>
            </w:r>
          </w:p>
        </w:tc>
      </w:tr>
      <w:tr>
        <w:trPr/>
        <w:tc>
          <w:tcPr>
            <w:tcW w:w="4415" w:type="dxa"/>
            <w:tcBorders/>
            <w:shd w:fill="FFFFFF" w:val="clear"/>
            <w:vAlign w:val="bottom"/>
          </w:tcPr>
          <w:p>
            <w:pPr>
              <w:pStyle w:val="TableContents"/>
              <w:spacing w:before="0" w:after="1"/>
              <w:ind w:left="0" w:right="0" w:hanging="0"/>
              <w:jc w:val="both"/>
              <w:rPr>
                <w:sz w:val="15"/>
              </w:rPr>
            </w:pPr>
            <w:r>
              <w:rPr>
                <w:sz w:val="15"/>
              </w:rPr>
              <w:t>Add: Interest expense, net</w:t>
            </w:r>
          </w:p>
        </w:tc>
        <w:tc>
          <w:tcPr>
            <w:tcW w:w="95" w:type="dxa"/>
            <w:tcBorders/>
            <w:shd w:fill="FFFFFF" w:val="clear"/>
          </w:tcPr>
          <w:p>
            <w:pPr>
              <w:pStyle w:val="TableContents"/>
              <w:spacing w:before="0" w:after="1"/>
              <w:ind w:left="0" w:right="0" w:hanging="0"/>
              <w:jc w:val="both"/>
              <w:rPr/>
            </w:pPr>
            <w:r>
              <w:rPr/>
              <w:t> </w:t>
            </w:r>
          </w:p>
        </w:tc>
        <w:tc>
          <w:tcPr>
            <w:tcW w:w="530" w:type="dxa"/>
            <w:tcBorders/>
            <w:shd w:fill="FFFFFF" w:val="clear"/>
            <w:vAlign w:val="bottom"/>
          </w:tcPr>
          <w:p>
            <w:pPr>
              <w:pStyle w:val="TableContents"/>
              <w:spacing w:before="0" w:after="283"/>
              <w:jc w:val="right"/>
              <w:rPr>
                <w:sz w:val="15"/>
              </w:rPr>
            </w:pPr>
            <w:r>
              <w:rPr>
                <w:sz w:val="15"/>
              </w:rPr>
              <w:t xml:space="preserve">16,426  </w:t>
            </w:r>
          </w:p>
        </w:tc>
        <w:tc>
          <w:tcPr>
            <w:tcW w:w="95" w:type="dxa"/>
            <w:tcBorders/>
            <w:shd w:fill="FFFFFF" w:val="clear"/>
          </w:tcPr>
          <w:p>
            <w:pPr>
              <w:pStyle w:val="TableContents"/>
              <w:spacing w:before="0" w:after="1"/>
              <w:ind w:left="0" w:right="0" w:hanging="0"/>
              <w:jc w:val="both"/>
              <w:rPr/>
            </w:pPr>
            <w:r>
              <w:rPr/>
              <w:t> </w:t>
            </w:r>
          </w:p>
        </w:tc>
        <w:tc>
          <w:tcPr>
            <w:tcW w:w="575" w:type="dxa"/>
            <w:tcBorders/>
            <w:shd w:fill="FFFFFF" w:val="clear"/>
            <w:vAlign w:val="bottom"/>
          </w:tcPr>
          <w:p>
            <w:pPr>
              <w:pStyle w:val="TableContents"/>
              <w:spacing w:before="0" w:after="283"/>
              <w:jc w:val="right"/>
              <w:rPr>
                <w:sz w:val="15"/>
              </w:rPr>
            </w:pPr>
            <w:r>
              <w:rPr>
                <w:sz w:val="15"/>
              </w:rPr>
              <w:t xml:space="preserve">21,038  </w:t>
            </w:r>
          </w:p>
        </w:tc>
        <w:tc>
          <w:tcPr>
            <w:tcW w:w="95" w:type="dxa"/>
            <w:tcBorders/>
            <w:shd w:fill="FFFFFF" w:val="clear"/>
          </w:tcPr>
          <w:p>
            <w:pPr>
              <w:pStyle w:val="TableContents"/>
              <w:spacing w:before="0" w:after="1"/>
              <w:ind w:left="0" w:right="0" w:hanging="0"/>
              <w:jc w:val="both"/>
              <w:rPr/>
            </w:pPr>
            <w:r>
              <w:rPr/>
              <w:t> </w:t>
            </w:r>
          </w:p>
        </w:tc>
        <w:tc>
          <w:tcPr>
            <w:tcW w:w="575" w:type="dxa"/>
            <w:tcBorders/>
            <w:shd w:fill="FFFFFF" w:val="clear"/>
            <w:vAlign w:val="bottom"/>
          </w:tcPr>
          <w:p>
            <w:pPr>
              <w:pStyle w:val="TableContents"/>
              <w:spacing w:before="0" w:after="283"/>
              <w:jc w:val="right"/>
              <w:rPr>
                <w:sz w:val="15"/>
              </w:rPr>
            </w:pPr>
            <w:r>
              <w:rPr>
                <w:sz w:val="15"/>
              </w:rPr>
              <w:t xml:space="preserve">12,286  </w:t>
            </w:r>
          </w:p>
        </w:tc>
        <w:tc>
          <w:tcPr>
            <w:tcW w:w="95" w:type="dxa"/>
            <w:tcBorders/>
            <w:shd w:fill="FFFFFF" w:val="clear"/>
          </w:tcPr>
          <w:p>
            <w:pPr>
              <w:pStyle w:val="TableContents"/>
              <w:spacing w:before="0" w:after="1"/>
              <w:ind w:left="0" w:right="0" w:hanging="0"/>
              <w:jc w:val="both"/>
              <w:rPr/>
            </w:pPr>
            <w:r>
              <w:rPr/>
              <w:t> </w:t>
            </w:r>
          </w:p>
        </w:tc>
        <w:tc>
          <w:tcPr>
            <w:tcW w:w="530" w:type="dxa"/>
            <w:tcBorders/>
            <w:shd w:fill="FFFFFF" w:val="clear"/>
            <w:vAlign w:val="bottom"/>
          </w:tcPr>
          <w:p>
            <w:pPr>
              <w:pStyle w:val="TableContents"/>
              <w:spacing w:before="0" w:after="283"/>
              <w:jc w:val="right"/>
              <w:rPr>
                <w:sz w:val="15"/>
              </w:rPr>
            </w:pPr>
            <w:r>
              <w:rPr>
                <w:sz w:val="15"/>
              </w:rPr>
              <w:t xml:space="preserve">14,572  </w:t>
            </w:r>
          </w:p>
        </w:tc>
        <w:tc>
          <w:tcPr>
            <w:tcW w:w="95" w:type="dxa"/>
            <w:tcBorders/>
            <w:shd w:fill="FFFFFF" w:val="clear"/>
          </w:tcPr>
          <w:p>
            <w:pPr>
              <w:pStyle w:val="TableContents"/>
              <w:spacing w:before="0" w:after="1"/>
              <w:ind w:left="0" w:right="0" w:hanging="0"/>
              <w:jc w:val="both"/>
              <w:rPr/>
            </w:pPr>
            <w:r>
              <w:rPr/>
              <w:t> </w:t>
            </w:r>
          </w:p>
        </w:tc>
        <w:tc>
          <w:tcPr>
            <w:tcW w:w="590" w:type="dxa"/>
            <w:tcBorders/>
            <w:shd w:fill="FFFFFF" w:val="clear"/>
            <w:vAlign w:val="bottom"/>
          </w:tcPr>
          <w:p>
            <w:pPr>
              <w:pStyle w:val="TableContents"/>
              <w:spacing w:before="0" w:after="283"/>
              <w:jc w:val="right"/>
              <w:rPr>
                <w:sz w:val="15"/>
              </w:rPr>
            </w:pPr>
            <w:r>
              <w:rPr>
                <w:sz w:val="15"/>
              </w:rPr>
              <w:t xml:space="preserve">15,740  </w:t>
            </w:r>
          </w:p>
        </w:tc>
      </w:tr>
      <w:tr>
        <w:trPr/>
        <w:tc>
          <w:tcPr>
            <w:tcW w:w="441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Add: Income tax (benefit) expense</w:t>
            </w:r>
          </w:p>
        </w:tc>
        <w:tc>
          <w:tcPr>
            <w:tcW w:w="95" w:type="dxa"/>
            <w:tcBorders>
              <w:bottom w:val="single" w:sz="8" w:space="0" w:color="000000"/>
            </w:tcBorders>
            <w:shd w:fill="CCEEFF" w:val="clear"/>
            <w:tcMar>
              <w:bottom w:w="28" w:type="dxa"/>
            </w:tcMar>
          </w:tcPr>
          <w:p>
            <w:pPr>
              <w:pStyle w:val="TableContents"/>
              <w:spacing w:before="0" w:after="1"/>
              <w:ind w:left="0" w:right="0" w:hanging="0"/>
              <w:jc w:val="both"/>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4,904  </w:t>
            </w:r>
          </w:p>
        </w:tc>
        <w:tc>
          <w:tcPr>
            <w:tcW w:w="95" w:type="dxa"/>
            <w:tcBorders>
              <w:bottom w:val="single" w:sz="8" w:space="0" w:color="000000"/>
            </w:tcBorders>
            <w:shd w:fill="CCEEFF" w:val="clear"/>
            <w:tcMar>
              <w:bottom w:w="28" w:type="dxa"/>
            </w:tcMar>
          </w:tcPr>
          <w:p>
            <w:pPr>
              <w:pStyle w:val="TableContents"/>
              <w:spacing w:before="0" w:after="1"/>
              <w:ind w:left="0" w:right="0" w:hanging="0"/>
              <w:jc w:val="both"/>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(12,330) </w:t>
            </w:r>
          </w:p>
        </w:tc>
        <w:tc>
          <w:tcPr>
            <w:tcW w:w="95" w:type="dxa"/>
            <w:tcBorders>
              <w:bottom w:val="single" w:sz="8" w:space="0" w:color="000000"/>
            </w:tcBorders>
            <w:shd w:fill="CCEEFF" w:val="clear"/>
            <w:tcMar>
              <w:bottom w:w="28" w:type="dxa"/>
            </w:tcMar>
          </w:tcPr>
          <w:p>
            <w:pPr>
              <w:pStyle w:val="TableContents"/>
              <w:spacing w:before="0" w:after="1"/>
              <w:ind w:left="0" w:right="0" w:hanging="0"/>
              <w:jc w:val="both"/>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14,264  </w:t>
            </w:r>
          </w:p>
        </w:tc>
        <w:tc>
          <w:tcPr>
            <w:tcW w:w="95" w:type="dxa"/>
            <w:tcBorders>
              <w:bottom w:val="single" w:sz="8" w:space="0" w:color="000000"/>
            </w:tcBorders>
            <w:shd w:fill="CCEEFF" w:val="clear"/>
            <w:tcMar>
              <w:bottom w:w="28" w:type="dxa"/>
            </w:tcMar>
          </w:tcPr>
          <w:p>
            <w:pPr>
              <w:pStyle w:val="TableContents"/>
              <w:spacing w:before="0" w:after="1"/>
              <w:ind w:left="0" w:right="0" w:hanging="0"/>
              <w:jc w:val="both"/>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1,952  </w:t>
            </w:r>
          </w:p>
        </w:tc>
        <w:tc>
          <w:tcPr>
            <w:tcW w:w="95" w:type="dxa"/>
            <w:tcBorders>
              <w:bottom w:val="single" w:sz="8" w:space="0" w:color="000000"/>
            </w:tcBorders>
            <w:shd w:fill="CCEEFF" w:val="clear"/>
            <w:tcMar>
              <w:bottom w:w="28" w:type="dxa"/>
            </w:tcMar>
          </w:tcPr>
          <w:p>
            <w:pPr>
              <w:pStyle w:val="TableContents"/>
              <w:spacing w:before="0" w:after="1"/>
              <w:ind w:left="0" w:right="0" w:hanging="0"/>
              <w:jc w:val="both"/>
              <w:rPr/>
            </w:pPr>
            <w:r>
              <w:rPr/>
              <w:t> </w:t>
            </w:r>
          </w:p>
        </w:tc>
        <w:tc>
          <w:tcPr>
            <w:tcW w:w="59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2,099  </w:t>
            </w:r>
          </w:p>
        </w:tc>
      </w:tr>
      <w:tr>
        <w:trPr/>
        <w:tc>
          <w:tcPr>
            <w:tcW w:w="4415" w:type="dxa"/>
            <w:tcBorders>
              <w:top w:val="single" w:sz="8" w:space="0" w:color="000000"/>
            </w:tcBorders>
            <w:shd w:fill="FFFFFF" w:val="clear"/>
            <w:tcMar>
              <w:top w:w="28" w:type="dxa"/>
            </w:tcMar>
            <w:vAlign w:val="bottom"/>
          </w:tcPr>
          <w:p>
            <w:pPr>
              <w:pStyle w:val="TableContents"/>
              <w:spacing w:before="0" w:after="1"/>
              <w:ind w:left="0" w:right="0" w:hanging="0"/>
              <w:jc w:val="both"/>
              <w:rPr>
                <w:sz w:val="15"/>
              </w:rPr>
            </w:pPr>
            <w:r>
              <w:rPr>
                <w:sz w:val="15"/>
              </w:rPr>
              <w:t>EBIT</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20,416 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18,664 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13,900 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22,618 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1,030  </w:t>
            </w:r>
          </w:p>
        </w:tc>
      </w:tr>
      <w:tr>
        <w:trPr/>
        <w:tc>
          <w:tcPr>
            <w:tcW w:w="4415" w:type="dxa"/>
            <w:tcBorders/>
            <w:shd w:fill="CCEEFF" w:val="clear"/>
            <w:vAlign w:val="bottom"/>
          </w:tcPr>
          <w:p>
            <w:pPr>
              <w:pStyle w:val="TableContents"/>
              <w:spacing w:before="0" w:after="1"/>
              <w:ind w:left="0" w:right="0" w:hanging="0"/>
              <w:jc w:val="both"/>
              <w:rPr>
                <w:sz w:val="15"/>
              </w:rPr>
            </w:pPr>
            <w:r>
              <w:rPr>
                <w:sz w:val="15"/>
              </w:rPr>
              <w:t>Add: Depreciation and amortization</w:t>
            </w:r>
          </w:p>
        </w:tc>
        <w:tc>
          <w:tcPr>
            <w:tcW w:w="95" w:type="dxa"/>
            <w:tcBorders/>
            <w:shd w:fill="CCEEFF" w:val="clear"/>
          </w:tcPr>
          <w:p>
            <w:pPr>
              <w:pStyle w:val="TableContents"/>
              <w:spacing w:before="0" w:after="1"/>
              <w:ind w:left="240" w:right="0" w:hanging="0"/>
              <w:jc w:val="both"/>
              <w:rPr/>
            </w:pPr>
            <w:r>
              <w:rPr/>
              <w:t> </w:t>
            </w:r>
          </w:p>
        </w:tc>
        <w:tc>
          <w:tcPr>
            <w:tcW w:w="530" w:type="dxa"/>
            <w:tcBorders/>
            <w:shd w:fill="CCEEFF" w:val="clear"/>
            <w:vAlign w:val="bottom"/>
          </w:tcPr>
          <w:p>
            <w:pPr>
              <w:pStyle w:val="TableContents"/>
              <w:spacing w:before="0" w:after="283"/>
              <w:jc w:val="right"/>
              <w:rPr>
                <w:sz w:val="15"/>
              </w:rPr>
            </w:pPr>
            <w:r>
              <w:rPr>
                <w:sz w:val="15"/>
              </w:rPr>
              <w:t xml:space="preserve">16,049  </w:t>
            </w:r>
          </w:p>
        </w:tc>
        <w:tc>
          <w:tcPr>
            <w:tcW w:w="95" w:type="dxa"/>
            <w:tcBorders/>
            <w:shd w:fill="CCEEFF" w:val="clear"/>
          </w:tcPr>
          <w:p>
            <w:pPr>
              <w:pStyle w:val="TableContents"/>
              <w:spacing w:before="0" w:after="1"/>
              <w:ind w:left="240" w:right="0" w:hanging="0"/>
              <w:jc w:val="both"/>
              <w:rPr/>
            </w:pPr>
            <w:r>
              <w:rPr/>
              <w:t> </w:t>
            </w:r>
          </w:p>
        </w:tc>
        <w:tc>
          <w:tcPr>
            <w:tcW w:w="575" w:type="dxa"/>
            <w:tcBorders/>
            <w:shd w:fill="CCEEFF" w:val="clear"/>
            <w:vAlign w:val="bottom"/>
          </w:tcPr>
          <w:p>
            <w:pPr>
              <w:pStyle w:val="TableContents"/>
              <w:spacing w:before="0" w:after="283"/>
              <w:jc w:val="right"/>
              <w:rPr>
                <w:sz w:val="15"/>
              </w:rPr>
            </w:pPr>
            <w:r>
              <w:rPr>
                <w:sz w:val="15"/>
              </w:rPr>
              <w:t xml:space="preserve">16,595  </w:t>
            </w:r>
          </w:p>
        </w:tc>
        <w:tc>
          <w:tcPr>
            <w:tcW w:w="95" w:type="dxa"/>
            <w:tcBorders/>
            <w:shd w:fill="CCEEFF" w:val="clear"/>
          </w:tcPr>
          <w:p>
            <w:pPr>
              <w:pStyle w:val="TableContents"/>
              <w:spacing w:before="0" w:after="1"/>
              <w:ind w:left="240" w:right="0" w:hanging="0"/>
              <w:jc w:val="both"/>
              <w:rPr/>
            </w:pPr>
            <w:r>
              <w:rPr/>
              <w:t> </w:t>
            </w:r>
          </w:p>
        </w:tc>
        <w:tc>
          <w:tcPr>
            <w:tcW w:w="575" w:type="dxa"/>
            <w:tcBorders/>
            <w:shd w:fill="CCEEFF" w:val="clear"/>
            <w:vAlign w:val="bottom"/>
          </w:tcPr>
          <w:p>
            <w:pPr>
              <w:pStyle w:val="TableContents"/>
              <w:spacing w:before="0" w:after="283"/>
              <w:jc w:val="right"/>
              <w:rPr>
                <w:sz w:val="15"/>
              </w:rPr>
            </w:pPr>
            <w:r>
              <w:rPr>
                <w:sz w:val="15"/>
              </w:rPr>
              <w:t xml:space="preserve">15,563  </w:t>
            </w:r>
          </w:p>
        </w:tc>
        <w:tc>
          <w:tcPr>
            <w:tcW w:w="95" w:type="dxa"/>
            <w:tcBorders/>
            <w:shd w:fill="CCEEFF" w:val="clear"/>
          </w:tcPr>
          <w:p>
            <w:pPr>
              <w:pStyle w:val="TableContents"/>
              <w:spacing w:before="0" w:after="1"/>
              <w:ind w:left="240" w:right="0" w:hanging="0"/>
              <w:jc w:val="both"/>
              <w:rPr/>
            </w:pPr>
            <w:r>
              <w:rPr/>
              <w:t> </w:t>
            </w:r>
          </w:p>
        </w:tc>
        <w:tc>
          <w:tcPr>
            <w:tcW w:w="530" w:type="dxa"/>
            <w:tcBorders/>
            <w:shd w:fill="CCEEFF" w:val="clear"/>
            <w:vAlign w:val="bottom"/>
          </w:tcPr>
          <w:p>
            <w:pPr>
              <w:pStyle w:val="TableContents"/>
              <w:spacing w:before="0" w:after="283"/>
              <w:jc w:val="right"/>
              <w:rPr>
                <w:sz w:val="15"/>
              </w:rPr>
            </w:pPr>
            <w:r>
              <w:rPr>
                <w:sz w:val="15"/>
              </w:rPr>
              <w:t xml:space="preserve">15,034  </w:t>
            </w:r>
          </w:p>
        </w:tc>
        <w:tc>
          <w:tcPr>
            <w:tcW w:w="95" w:type="dxa"/>
            <w:tcBorders/>
            <w:shd w:fill="CCEEFF" w:val="clear"/>
          </w:tcPr>
          <w:p>
            <w:pPr>
              <w:pStyle w:val="TableContents"/>
              <w:spacing w:before="0" w:after="1"/>
              <w:ind w:left="240" w:right="0" w:hanging="0"/>
              <w:jc w:val="both"/>
              <w:rPr/>
            </w:pPr>
            <w:r>
              <w:rPr/>
              <w:t> </w:t>
            </w:r>
          </w:p>
        </w:tc>
        <w:tc>
          <w:tcPr>
            <w:tcW w:w="590" w:type="dxa"/>
            <w:tcBorders/>
            <w:shd w:fill="CCEEFF" w:val="clear"/>
            <w:vAlign w:val="bottom"/>
          </w:tcPr>
          <w:p>
            <w:pPr>
              <w:pStyle w:val="TableContents"/>
              <w:spacing w:before="0" w:after="283"/>
              <w:jc w:val="right"/>
              <w:rPr>
                <w:sz w:val="15"/>
              </w:rPr>
            </w:pPr>
            <w:r>
              <w:rPr>
                <w:sz w:val="15"/>
              </w:rPr>
              <w:t xml:space="preserve">18,556  </w:t>
            </w:r>
          </w:p>
        </w:tc>
      </w:tr>
      <w:tr>
        <w:trPr/>
        <w:tc>
          <w:tcPr>
            <w:tcW w:w="441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Adjustments for discontinued operations</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3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335 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365 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351 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3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134 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9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2  </w:t>
            </w:r>
          </w:p>
        </w:tc>
      </w:tr>
      <w:tr>
        <w:trPr/>
        <w:tc>
          <w:tcPr>
            <w:tcW w:w="44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EBITDA</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36,800 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35,624 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29,814 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37,786 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19,588 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b/>
          <w:sz w:val="17"/>
          <w:u w:val="single"/>
        </w:rPr>
        <w:t>Item 7 – Management’s Discussions and Analysis of Financial Condition and Results of Operations</w:t>
      </w:r>
      <w:r>
        <w:rPr>
          <w:sz w:val="17"/>
        </w:rPr>
        <w:t xml:space="preserve"> </w:t>
      </w:r>
    </w:p>
    <w:p>
      <w:pPr>
        <w:pStyle w:val="TextBody"/>
        <w:spacing w:before="0" w:after="200"/>
        <w:ind w:left="1440" w:right="0" w:firstLine="720"/>
        <w:jc w:val="both"/>
        <w:rPr>
          <w:sz w:val="17"/>
        </w:rPr>
      </w:pPr>
      <w:r>
        <w:rPr>
          <w:sz w:val="17"/>
        </w:rPr>
        <w:t xml:space="preserve">The following review should be read in conjunction with the consolidated financial statements and related notes included in this 2012 Annual Report.  Historical results and percentage relationships do not necessarily indicate operating results for any future periods. </w:t>
      </w:r>
    </w:p>
    <w:p>
      <w:pPr>
        <w:pStyle w:val="TextBody"/>
        <w:spacing w:before="0" w:after="200"/>
        <w:ind w:left="1440" w:right="0" w:hanging="0"/>
        <w:jc w:val="both"/>
        <w:rPr>
          <w:sz w:val="17"/>
        </w:rPr>
      </w:pPr>
      <w:r>
        <w:rPr>
          <w:b/>
          <w:sz w:val="17"/>
          <w:u w:val="single"/>
        </w:rPr>
        <w:t>Overview</w:t>
      </w:r>
      <w:r>
        <w:rPr>
          <w:sz w:val="17"/>
        </w:rPr>
        <w:t xml:space="preserve"> </w:t>
      </w:r>
    </w:p>
    <w:p>
      <w:pPr>
        <w:pStyle w:val="TextBody"/>
        <w:spacing w:before="0" w:after="200"/>
        <w:ind w:left="1440" w:right="0" w:firstLine="720"/>
        <w:jc w:val="both"/>
        <w:rPr>
          <w:sz w:val="17"/>
        </w:rPr>
      </w:pPr>
      <w:r>
        <w:rPr>
          <w:sz w:val="17"/>
        </w:rPr>
        <w:t xml:space="preserve">We are an internationally diversified company principally focused on the development, ownership, and operation of entertainment and real property assets in the United States, Australia, and New Zealand.  Currently, we operate in two business segments: </w:t>
      </w:r>
    </w:p>
    <w:tbl>
      <w:tblPr>
        <w:tblW w:w="4270" w:type="dxa"/>
        <w:jc w:val="left"/>
        <w:tblInd w:w="1440" w:type="dxa"/>
        <w:tblCellMar>
          <w:top w:w="0" w:type="dxa"/>
          <w:left w:w="0" w:type="dxa"/>
          <w:bottom w:w="0" w:type="dxa"/>
          <w:right w:w="0" w:type="dxa"/>
        </w:tblCellMar>
      </w:tblPr>
      <w:tblGrid>
        <w:gridCol w:w="155"/>
        <w:gridCol w:w="41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115" w:type="dxa"/>
            <w:tcBorders/>
            <w:shd w:fill="auto" w:val="clear"/>
          </w:tcPr>
          <w:p>
            <w:pPr>
              <w:pStyle w:val="TableContents"/>
              <w:pBdr/>
              <w:spacing w:before="0" w:after="283"/>
              <w:jc w:val="both"/>
              <w:rPr>
                <w:sz w:val="17"/>
              </w:rPr>
            </w:pPr>
            <w:r>
              <w:rPr>
                <w:sz w:val="17"/>
              </w:rPr>
              <w:t>Cinema Exhibition, through our 56 multiplex theaters, and</w:t>
            </w:r>
          </w:p>
        </w:tc>
      </w:tr>
    </w:tbl>
    <w:tbl>
      <w:tblPr>
        <w:tblW w:w="7615" w:type="dxa"/>
        <w:jc w:val="left"/>
        <w:tblInd w:w="1440" w:type="dxa"/>
        <w:tblCellMar>
          <w:top w:w="0" w:type="dxa"/>
          <w:left w:w="0" w:type="dxa"/>
          <w:bottom w:w="0" w:type="dxa"/>
          <w:right w:w="0" w:type="dxa"/>
        </w:tblCellMar>
      </w:tblPr>
      <w:tblGrid>
        <w:gridCol w:w="155"/>
        <w:gridCol w:w="74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460" w:type="dxa"/>
            <w:tcBorders/>
            <w:shd w:fill="auto" w:val="clear"/>
          </w:tcPr>
          <w:p>
            <w:pPr>
              <w:pStyle w:val="TableContents"/>
              <w:pBdr/>
              <w:spacing w:before="0" w:after="283"/>
              <w:jc w:val="both"/>
              <w:rPr>
                <w:sz w:val="17"/>
              </w:rPr>
            </w:pPr>
            <w:r>
              <w:rPr>
                <w:sz w:val="17"/>
              </w:rPr>
              <w:t xml:space="preserve">Real Estate, including investment, development, and the rental of retail, commercial and live theater assets. </w:t>
            </w:r>
          </w:p>
        </w:tc>
      </w:tr>
    </w:tbl>
    <w:p>
      <w:pPr>
        <w:pStyle w:val="TextBody"/>
        <w:spacing w:before="200" w:after="200"/>
        <w:ind w:left="1440" w:right="0" w:hanging="0"/>
        <w:jc w:val="both"/>
        <w:rPr>
          <w:sz w:val="17"/>
        </w:rPr>
      </w:pPr>
      <w:r>
        <w:rPr>
          <w:sz w:val="17"/>
        </w:rPr>
        <w:t xml:space="preserve">We believe that these two business segments complement one another, as the comparatively consistent cash flows generated by our cinema operations can be used to fund new cinema business opportunities and the front-end cash demands of our real estate investment and development business. </w:t>
      </w:r>
    </w:p>
    <w:p>
      <w:pPr>
        <w:pStyle w:val="TextBody"/>
        <w:spacing w:before="0" w:after="200"/>
        <w:ind w:left="1440" w:right="0" w:firstLine="720"/>
        <w:jc w:val="both"/>
        <w:rPr>
          <w:sz w:val="17"/>
        </w:rPr>
      </w:pPr>
      <w:r>
        <w:rPr>
          <w:sz w:val="17"/>
        </w:rPr>
        <w:t xml:space="preserve">We manage our worldwide cinema exhibition businesses under various different brands: </w:t>
      </w:r>
    </w:p>
    <w:tbl>
      <w:tblPr>
        <w:tblW w:w="7555" w:type="dxa"/>
        <w:jc w:val="left"/>
        <w:tblInd w:w="1440" w:type="dxa"/>
        <w:tblCellMar>
          <w:top w:w="0" w:type="dxa"/>
          <w:left w:w="0" w:type="dxa"/>
          <w:bottom w:w="0" w:type="dxa"/>
          <w:right w:w="0" w:type="dxa"/>
        </w:tblCellMar>
      </w:tblPr>
      <w:tblGrid>
        <w:gridCol w:w="155"/>
        <w:gridCol w:w="740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400" w:type="dxa"/>
            <w:tcBorders/>
            <w:shd w:fill="auto" w:val="clear"/>
          </w:tcPr>
          <w:p>
            <w:pPr>
              <w:pStyle w:val="TableContents"/>
              <w:pBdr/>
              <w:spacing w:before="0" w:after="283"/>
              <w:jc w:val="both"/>
              <w:rPr>
                <w:sz w:val="17"/>
              </w:rPr>
            </w:pPr>
            <w:r>
              <w:rPr>
                <w:sz w:val="17"/>
              </w:rPr>
              <w:t>in the US, under the Reading, Angelika Film Center, Consolidated Amusements, and City Cinemas brands;</w:t>
            </w:r>
          </w:p>
        </w:tc>
      </w:tr>
    </w:tbl>
    <w:tbl>
      <w:tblPr>
        <w:tblW w:w="3145" w:type="dxa"/>
        <w:jc w:val="left"/>
        <w:tblInd w:w="1440" w:type="dxa"/>
        <w:tblCellMar>
          <w:top w:w="0" w:type="dxa"/>
          <w:left w:w="0" w:type="dxa"/>
          <w:bottom w:w="0" w:type="dxa"/>
          <w:right w:w="0" w:type="dxa"/>
        </w:tblCellMar>
      </w:tblPr>
      <w:tblGrid>
        <w:gridCol w:w="155"/>
        <w:gridCol w:w="29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990" w:type="dxa"/>
            <w:tcBorders/>
            <w:shd w:fill="auto" w:val="clear"/>
          </w:tcPr>
          <w:p>
            <w:pPr>
              <w:pStyle w:val="TableContents"/>
              <w:pBdr/>
              <w:spacing w:before="0" w:after="283"/>
              <w:jc w:val="both"/>
              <w:rPr>
                <w:sz w:val="17"/>
              </w:rPr>
            </w:pPr>
            <w:r>
              <w:rPr>
                <w:sz w:val="17"/>
              </w:rPr>
              <w:t>in Australia, under the Reading brand; and</w:t>
            </w:r>
          </w:p>
        </w:tc>
      </w:tr>
    </w:tbl>
    <w:tbl>
      <w:tblPr>
        <w:tblW w:w="4000" w:type="dxa"/>
        <w:jc w:val="left"/>
        <w:tblInd w:w="1440" w:type="dxa"/>
        <w:tblCellMar>
          <w:top w:w="0" w:type="dxa"/>
          <w:left w:w="0" w:type="dxa"/>
          <w:bottom w:w="0" w:type="dxa"/>
          <w:right w:w="0" w:type="dxa"/>
        </w:tblCellMar>
      </w:tblPr>
      <w:tblGrid>
        <w:gridCol w:w="155"/>
        <w:gridCol w:w="384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845" w:type="dxa"/>
            <w:tcBorders/>
            <w:shd w:fill="auto" w:val="clear"/>
          </w:tcPr>
          <w:p>
            <w:pPr>
              <w:pStyle w:val="TableContents"/>
              <w:pBdr/>
              <w:spacing w:before="0" w:after="283"/>
              <w:jc w:val="both"/>
              <w:rPr>
                <w:sz w:val="17"/>
              </w:rPr>
            </w:pPr>
            <w:r>
              <w:rPr>
                <w:sz w:val="17"/>
              </w:rPr>
              <w:t xml:space="preserve">in New Zealand, under the Reading and Rialto brands. </w:t>
            </w:r>
          </w:p>
        </w:tc>
      </w:tr>
    </w:tbl>
    <w:p>
      <w:pPr>
        <w:pStyle w:val="TextBody"/>
        <w:spacing w:before="200" w:after="200"/>
        <w:ind w:left="1440" w:right="0" w:firstLine="720"/>
        <w:jc w:val="both"/>
        <w:rPr>
          <w:sz w:val="17"/>
        </w:rPr>
      </w:pPr>
      <w:r>
        <w:rPr>
          <w:sz w:val="17"/>
        </w:rPr>
        <w:t xml:space="preserve">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Since we believe the cinema exhibition business to be a mature business with most markets either adequately screened or over-screened, we see growth in our cinema business coming principally from the enhancement of our current cinemas, the development in select markets of specialty cinemas, and the opportunistic acquisition of already existing cinemas rather than from the development of new conventional cinemas.  From time to time, we invest in the securities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 </w:t>
      </w:r>
    </w:p>
    <w:p>
      <w:pPr>
        <w:pStyle w:val="TextBody"/>
        <w:spacing w:before="0" w:after="200"/>
        <w:ind w:left="1440" w:right="0" w:firstLine="720"/>
        <w:jc w:val="both"/>
        <w:rPr>
          <w:sz w:val="17"/>
        </w:rPr>
      </w:pPr>
      <w:r>
        <w:rPr>
          <w:sz w:val="17"/>
        </w:rPr>
        <w:t xml:space="preserve">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overseas assets and operations, and between our cash generating cinema operations and our cash consuming real estate investment and development activities.  We believe that by blending the cash generating capabilities of a cinema operation with the investment and development opportunities of our real estate operations, our business strategy is unique among public companies. </w:t>
      </w:r>
    </w:p>
    <w:p>
      <w:pPr>
        <w:pStyle w:val="TextBody"/>
        <w:spacing w:before="0" w:after="200"/>
        <w:ind w:left="1440" w:right="0" w:hanging="0"/>
        <w:jc w:val="both"/>
        <w:rPr>
          <w:sz w:val="17"/>
        </w:rPr>
      </w:pPr>
      <w:r>
        <w:rPr>
          <w:b/>
          <w:sz w:val="17"/>
          <w:u w:val="single"/>
        </w:rPr>
        <w:t>Business Climate</w:t>
      </w:r>
      <w:r>
        <w:rPr>
          <w:sz w:val="17"/>
        </w:rPr>
        <w:t xml:space="preserve"> </w:t>
      </w:r>
    </w:p>
    <w:p>
      <w:pPr>
        <w:pStyle w:val="TextBody"/>
        <w:spacing w:before="0" w:after="200"/>
        <w:ind w:left="1440" w:right="0" w:hanging="0"/>
        <w:jc w:val="both"/>
        <w:rPr>
          <w:sz w:val="17"/>
        </w:rPr>
      </w:pPr>
      <w:r>
        <w:rPr>
          <w:sz w:val="17"/>
          <w:u w:val="single"/>
        </w:rPr>
        <w:t>Cinema Exhibition - General</w:t>
      </w:r>
      <w:r>
        <w:rPr>
          <w:sz w:val="17"/>
        </w:rPr>
        <w:t xml:space="preserve"> </w:t>
      </w:r>
    </w:p>
    <w:p>
      <w:pPr>
        <w:pStyle w:val="TextBody"/>
        <w:spacing w:before="0" w:after="200"/>
        <w:ind w:left="1440" w:right="0" w:hanging="0"/>
        <w:jc w:val="both"/>
        <w:rPr/>
      </w:pPr>
      <w:r>
        <w:rPr/>
        <w:t>            </w:t>
      </w:r>
      <w:r>
        <w:rPr>
          <w:sz w:val="17"/>
        </w:rPr>
        <w:t xml:space="preserve">After years of uncertainty as to the future of digital exhibition and the impact of this technology on cinema exhibition, it became clear in 2012 that the industry must go digital.  We have now substantially completed the conversion of our domestic cinema operations to digital projection.  We are in the process, and anticipate that we will complete this year the conversion of our Australia and New Zealand cinema operations to digital projection.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Over several years, we anticipate that the cost of this conversion will be covered in substantial part by the receipt of Virtual Print Fees paid by film distributors for the use of such digital projection equipment. </w:t>
      </w:r>
    </w:p>
    <w:p>
      <w:pPr>
        <w:pStyle w:val="TextBody"/>
        <w:spacing w:before="0" w:after="200"/>
        <w:ind w:left="1440" w:right="0" w:hanging="0"/>
        <w:jc w:val="both"/>
        <w:rPr/>
      </w:pPr>
      <w:r>
        <w:rPr/>
        <w:t>            </w:t>
      </w:r>
      <w:r>
        <w:rPr>
          <w:sz w:val="17"/>
        </w:rPr>
        <w:t xml:space="preserve">In the case of “in-home” entertainment alternatives, the industry has experienced significant leaps in recent periods in both the quality and affordability of in-home entertainment systems and in the accessibility to entertainment programming through cable, satellite, DVD, and internet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 </w:t>
      </w:r>
    </w:p>
    <w:p>
      <w:pPr>
        <w:pStyle w:val="TextBody"/>
        <w:spacing w:before="0" w:after="200"/>
        <w:ind w:left="1440" w:right="0" w:hanging="0"/>
        <w:jc w:val="both"/>
        <w:rPr>
          <w:sz w:val="17"/>
        </w:rPr>
      </w:pPr>
      <w:r>
        <w:rPr>
          <w:sz w:val="17"/>
          <w:u w:val="single"/>
        </w:rPr>
        <w:t>Cinema Exhibition – Australia / New Zealand</w:t>
      </w:r>
      <w:r>
        <w:rPr>
          <w:sz w:val="17"/>
        </w:rPr>
        <w:t xml:space="preserve"> </w:t>
      </w:r>
    </w:p>
    <w:p>
      <w:pPr>
        <w:pStyle w:val="TextBody"/>
        <w:spacing w:before="0" w:after="200"/>
        <w:ind w:left="1440" w:right="0" w:hanging="0"/>
        <w:jc w:val="both"/>
        <w:rPr/>
      </w:pPr>
      <w:r>
        <w:rPr/>
        <w:t>            </w:t>
      </w:r>
      <w:r>
        <w:rPr>
          <w:sz w:val="17"/>
        </w:rPr>
        <w:t xml:space="preserve">The film exhibition industry in Australia and New Zealand is highly concentrated in that Village, Event, and Hoyts (the “Major Exhibitors”) control approximately 66% of the cinema box office in Australia while Event and Hoyts control approximately 57% of New Zealand’s cinema box office.  The industry is also vertically integrated in that one of the Major Exhibitors, Roadshow Film Distributors (part of Village), also serves as a distributor of film in Australia and New Zealand for Warner Bros. and New Line.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under-shared facility arrangements, and have historically not engaged in head-to-head competition.  </w:t>
      </w:r>
    </w:p>
    <w:p>
      <w:pPr>
        <w:pStyle w:val="TextBody"/>
        <w:spacing w:before="0" w:after="200"/>
        <w:ind w:left="1440" w:right="0" w:hanging="0"/>
        <w:jc w:val="both"/>
        <w:rPr>
          <w:sz w:val="17"/>
        </w:rPr>
      </w:pPr>
      <w:r>
        <w:rPr>
          <w:sz w:val="17"/>
          <w:u w:val="single"/>
        </w:rPr>
        <w:t>Cinema Exhibition – North America</w:t>
      </w:r>
      <w:r>
        <w:rPr>
          <w:sz w:val="17"/>
        </w:rPr>
        <w:t xml:space="preserve"> </w:t>
      </w:r>
    </w:p>
    <w:p>
      <w:pPr>
        <w:pStyle w:val="TextBody"/>
        <w:spacing w:before="0" w:after="200"/>
        <w:ind w:left="1440" w:right="0" w:hanging="0"/>
        <w:jc w:val="both"/>
        <w:rPr/>
      </w:pPr>
      <w:r>
        <w:rPr/>
        <w:t>            </w:t>
      </w:r>
      <w:r>
        <w:rPr>
          <w:sz w:val="17"/>
        </w:rPr>
        <w:t xml:space="preserve">In North America, distributors may find it more commercially appealing to deal with major exhibitors, rather than to deal with independents like us, which tends to compress the supply of screens in a very limited number of markets.  This competitive disadvantage has increased significantly in recent periods with the development of mega circuits like Regal and AMC who are able to offer distributors access to screens on a truly nationwide basis, or, on the other hand, to deny access if their desires with respect to film supply are not satisfied.  </w:t>
      </w:r>
    </w:p>
    <w:p>
      <w:pPr>
        <w:pStyle w:val="TextBody"/>
        <w:spacing w:before="0" w:after="200"/>
        <w:ind w:left="1440" w:right="0" w:hanging="0"/>
        <w:jc w:val="both"/>
        <w:rPr/>
      </w:pPr>
      <w:r>
        <w:rPr/>
        <w:t>            </w:t>
      </w:r>
      <w:r>
        <w:rPr>
          <w:sz w:val="17"/>
        </w:rPr>
        <w:t xml:space="preserve">These consolidations can adversely affect our ability to get film in certain domestic markets where we compete against major exhibitors.  With the restructuring and consolidation undertaken in the industry, and the emergence of increasingly attractive “in-home” entertainment alternatives, strategic cinema acquisitions by our North American operation have and can continue to be a way to combat such a competitive disadvantage.  </w:t>
      </w:r>
    </w:p>
    <w:p>
      <w:pPr>
        <w:pStyle w:val="TextBody"/>
        <w:spacing w:before="0" w:after="200"/>
        <w:ind w:left="1440" w:right="0" w:hanging="0"/>
        <w:jc w:val="both"/>
        <w:rPr>
          <w:sz w:val="17"/>
        </w:rPr>
      </w:pPr>
      <w:r>
        <w:rPr>
          <w:sz w:val="17"/>
          <w:u w:val="single"/>
        </w:rPr>
        <w:t>Real Estate – Australia and New Zealand</w:t>
      </w:r>
      <w:r>
        <w:rPr>
          <w:sz w:val="17"/>
        </w:rPr>
        <w:t xml:space="preserve"> </w:t>
      </w:r>
    </w:p>
    <w:p>
      <w:pPr>
        <w:pStyle w:val="TextBody"/>
        <w:spacing w:before="0" w:after="200"/>
        <w:ind w:left="1440" w:right="0" w:hanging="0"/>
        <w:jc w:val="both"/>
        <w:rPr/>
      </w:pPr>
      <w:r>
        <w:rPr/>
        <w:t>            </w:t>
      </w:r>
      <w:r>
        <w:rPr>
          <w:sz w:val="17"/>
        </w:rPr>
        <w:t xml:space="preserve">Over the past few years, there has been a noted decrease in real estate market activity resulting in decreases to commercial and retail property values in Australia and to a lesser extent in New Zealand.  That being said, both countries have relatively stable economies with varying degrees of economic growth that are mostly influenced by global trends.  Also, we have noted that our Australian and New Zealand developed properties have had consistent growth in rentals and values although project commencements have slowed.  Once developed, we remain confident that our Australian and New Zealand holdings will continue to provide value and cash flows to our operations. </w:t>
      </w:r>
    </w:p>
    <w:p>
      <w:pPr>
        <w:pStyle w:val="TextBody"/>
        <w:spacing w:before="0" w:after="200"/>
        <w:ind w:left="1440" w:right="0" w:hanging="0"/>
        <w:jc w:val="both"/>
        <w:rPr>
          <w:sz w:val="17"/>
        </w:rPr>
      </w:pPr>
      <w:r>
        <w:rPr>
          <w:sz w:val="17"/>
          <w:u w:val="single"/>
        </w:rPr>
        <w:t>Real Estate – North America</w:t>
      </w:r>
      <w:r>
        <w:rPr>
          <w:sz w:val="17"/>
        </w:rPr>
        <w:t xml:space="preserve"> </w:t>
      </w:r>
    </w:p>
    <w:p>
      <w:pPr>
        <w:pStyle w:val="TextBody"/>
        <w:spacing w:before="0" w:after="200"/>
        <w:ind w:left="1440" w:right="0" w:firstLine="720"/>
        <w:jc w:val="both"/>
        <w:rPr>
          <w:sz w:val="17"/>
        </w:rPr>
      </w:pPr>
      <w:r>
        <w:rPr>
          <w:sz w:val="17"/>
        </w:rPr>
        <w:t xml:space="preserve">The commercial real estate market has improved somewhat during 2012 and we have noted some strong increases associated with our real estate located in large urban environments. </w:t>
      </w:r>
    </w:p>
    <w:p>
      <w:pPr>
        <w:pStyle w:val="TextBody"/>
        <w:spacing w:before="0" w:after="200"/>
        <w:ind w:left="1440" w:right="0" w:hanging="0"/>
        <w:jc w:val="both"/>
        <w:rPr>
          <w:sz w:val="17"/>
        </w:rPr>
      </w:pPr>
      <w:r>
        <w:rPr>
          <w:sz w:val="17"/>
          <w:u w:val="single"/>
        </w:rPr>
        <w:t>Business Segments</w:t>
      </w:r>
      <w:r>
        <w:rPr>
          <w:sz w:val="17"/>
        </w:rPr>
        <w:t xml:space="preserve"> </w:t>
      </w:r>
    </w:p>
    <w:p>
      <w:pPr>
        <w:pStyle w:val="TextBody"/>
        <w:spacing w:before="0" w:after="200"/>
        <w:ind w:left="1440" w:right="0" w:hanging="0"/>
        <w:jc w:val="both"/>
        <w:rPr/>
      </w:pPr>
      <w:r>
        <w:rPr/>
        <w:t>            </w:t>
      </w:r>
      <w:r>
        <w:rPr>
          <w:sz w:val="17"/>
        </w:rPr>
        <w:t xml:space="preserve">As indicated above, our two primary business segments are cinema exhibition and real estate.  These segments are summarized as follows: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Cinema Exhibition</w:t>
      </w:r>
      <w:r>
        <w:rPr>
          <w:sz w:val="17"/>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firstLine="720"/>
        <w:jc w:val="both"/>
        <w:rPr>
          <w:sz w:val="17"/>
        </w:rPr>
      </w:pPr>
      <w:r>
        <w:rPr>
          <w:sz w:val="17"/>
        </w:rPr>
        <w:t xml:space="preserve">One of our primary businesses consists of the ownership and operation of cinemas.  For a breakdown of our current cinema assets that we own and/or manage please see Item 1 – </w:t>
      </w:r>
      <w:r>
        <w:rPr>
          <w:i/>
          <w:sz w:val="17"/>
        </w:rPr>
        <w:t>Our Business</w:t>
      </w:r>
      <w:r>
        <w:rPr>
          <w:sz w:val="17"/>
        </w:rPr>
        <w:t xml:space="preserve"> of this 2012 Annual Report under the subheading “Our Cinema Exhibition Activities.” </w:t>
      </w:r>
    </w:p>
    <w:p>
      <w:pPr>
        <w:pStyle w:val="TextBody"/>
        <w:spacing w:before="0" w:after="200"/>
        <w:ind w:left="1440" w:right="0" w:firstLine="720"/>
        <w:jc w:val="both"/>
        <w:rPr>
          <w:sz w:val="17"/>
        </w:rPr>
      </w:pPr>
      <w:r>
        <w:rPr>
          <w:sz w:val="17"/>
        </w:rPr>
        <w:t xml:space="preserve">During 2012, we opened one cinema with 8 screens and closed two cinemas having a total of 8 screens.  In 2011, we purchase one 17-screen cinema.  In 2010, we opened one 8-screen cinema and closed two cinemas having a total of 12 screens.  </w:t>
      </w:r>
    </w:p>
    <w:p>
      <w:pPr>
        <w:pStyle w:val="TextBody"/>
        <w:spacing w:before="0" w:after="200"/>
        <w:ind w:left="1440" w:right="0" w:firstLine="720"/>
        <w:jc w:val="both"/>
        <w:rPr>
          <w:sz w:val="17"/>
        </w:rPr>
      </w:pPr>
      <w:r>
        <w:rPr>
          <w:sz w:val="17"/>
        </w:rPr>
        <w:t xml:space="preserve">Our cinema revenue consists of admissions, concessions, and advertising.  The cinema operating expense consists of the costs directly attributable to the operation of the cinemas including film rent expense, operating costs, and occupancy costs.  Cinema revenue and expense fluctuate with the availability of quality first-run films and the numbers of weeks the first–run films stay in the market. </w:t>
      </w:r>
    </w:p>
    <w:p>
      <w:pPr>
        <w:pStyle w:val="TextBody"/>
        <w:spacing w:before="0" w:after="200"/>
        <w:ind w:left="1440" w:right="0" w:hanging="0"/>
        <w:jc w:val="both"/>
        <w:rPr>
          <w:sz w:val="17"/>
        </w:rPr>
      </w:pPr>
      <w:r>
        <w:rPr>
          <w:sz w:val="17"/>
          <w:u w:val="single"/>
        </w:rPr>
        <w:t>Real Estate</w:t>
      </w:r>
      <w:r>
        <w:rPr>
          <w:sz w:val="17"/>
        </w:rPr>
        <w:t xml:space="preserve"> </w:t>
      </w:r>
    </w:p>
    <w:p>
      <w:pPr>
        <w:pStyle w:val="TextBody"/>
        <w:spacing w:before="0" w:after="200"/>
        <w:ind w:left="1440" w:right="0" w:hanging="0"/>
        <w:jc w:val="both"/>
        <w:rPr/>
      </w:pPr>
      <w:r>
        <w:rPr/>
        <w:t>            </w:t>
      </w:r>
      <w:r>
        <w:rPr>
          <w:sz w:val="17"/>
        </w:rPr>
        <w:t xml:space="preserve">For fiscal 2012, our income operating property consisted of the following: </w:t>
      </w:r>
    </w:p>
    <w:tbl>
      <w:tblPr>
        <w:tblW w:w="8425" w:type="dxa"/>
        <w:jc w:val="left"/>
        <w:tblInd w:w="1440" w:type="dxa"/>
        <w:tblCellMar>
          <w:top w:w="0" w:type="dxa"/>
          <w:left w:w="0" w:type="dxa"/>
          <w:bottom w:w="0" w:type="dxa"/>
          <w:right w:w="0" w:type="dxa"/>
        </w:tblCellMar>
      </w:tblPr>
      <w:tblGrid>
        <w:gridCol w:w="155"/>
        <w:gridCol w:w="827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270" w:type="dxa"/>
            <w:tcBorders/>
            <w:shd w:fill="auto" w:val="clear"/>
          </w:tcPr>
          <w:p>
            <w:pPr>
              <w:pStyle w:val="TableContents"/>
              <w:pBdr/>
              <w:spacing w:before="0" w:after="283"/>
              <w:jc w:val="both"/>
              <w:rPr>
                <w:sz w:val="17"/>
              </w:rPr>
            </w:pPr>
            <w:r>
              <w:rPr>
                <w:sz w:val="17"/>
              </w:rPr>
              <w:t>our Belmont, Western Australia ETRC, our Auburn, New South Wales ETRC and our Wellington, New Zealand ETRC;</w:t>
            </w:r>
          </w:p>
        </w:tc>
      </w:tr>
    </w:tbl>
    <w:tbl>
      <w:tblPr>
        <w:tblW w:w="5920" w:type="dxa"/>
        <w:jc w:val="left"/>
        <w:tblInd w:w="1440" w:type="dxa"/>
        <w:tblCellMar>
          <w:top w:w="0" w:type="dxa"/>
          <w:left w:w="0" w:type="dxa"/>
          <w:bottom w:w="0" w:type="dxa"/>
          <w:right w:w="0" w:type="dxa"/>
        </w:tblCellMar>
      </w:tblPr>
      <w:tblGrid>
        <w:gridCol w:w="155"/>
        <w:gridCol w:w="576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765" w:type="dxa"/>
            <w:tcBorders/>
            <w:shd w:fill="auto" w:val="clear"/>
          </w:tcPr>
          <w:p>
            <w:pPr>
              <w:pStyle w:val="TableContents"/>
              <w:pBdr/>
              <w:spacing w:before="0" w:after="283"/>
              <w:jc w:val="both"/>
              <w:rPr>
                <w:sz w:val="17"/>
              </w:rPr>
            </w:pPr>
            <w:r>
              <w:rPr>
                <w:sz w:val="17"/>
              </w:rPr>
              <w:t>our Newmarket shopping center in Newmarket, Queensland, a suburb of Brisbane;</w:t>
            </w:r>
          </w:p>
        </w:tc>
      </w:tr>
    </w:tbl>
    <w:tbl>
      <w:tblPr>
        <w:tblW w:w="8765" w:type="dxa"/>
        <w:jc w:val="left"/>
        <w:tblInd w:w="1440" w:type="dxa"/>
        <w:tblCellMar>
          <w:top w:w="0" w:type="dxa"/>
          <w:left w:w="0" w:type="dxa"/>
          <w:bottom w:w="0" w:type="dxa"/>
          <w:right w:w="0" w:type="dxa"/>
        </w:tblCellMar>
      </w:tblPr>
      <w:tblGrid>
        <w:gridCol w:w="127"/>
        <w:gridCol w:w="8638"/>
      </w:tblGrid>
      <w:tr>
        <w:trPr/>
        <w:tc>
          <w:tcPr>
            <w:tcW w:w="12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8" w:type="dxa"/>
            <w:tcBorders/>
            <w:shd w:fill="auto" w:val="clear"/>
          </w:tcPr>
          <w:p>
            <w:pPr>
              <w:pStyle w:val="TableContents"/>
              <w:pBdr/>
              <w:spacing w:before="0" w:after="283"/>
              <w:jc w:val="both"/>
              <w:rPr>
                <w:sz w:val="17"/>
              </w:rPr>
            </w:pPr>
            <w:r>
              <w:rPr>
                <w:sz w:val="17"/>
              </w:rPr>
              <w:t xml:space="preserve">three single auditorium live theaters in Manhattan (Minetta Lane, Orpheum, and Union Square) and a four auditorium live theater complex in Chicago (The Royal George) and, in the case of the Union Square and the Royal George, their accompanying ancillary retail and commercial tenants; </w:t>
            </w:r>
          </w:p>
        </w:tc>
      </w:tr>
    </w:tbl>
    <w:tbl>
      <w:tblPr>
        <w:tblW w:w="8765" w:type="dxa"/>
        <w:jc w:val="left"/>
        <w:tblInd w:w="1440" w:type="dxa"/>
        <w:tblCellMar>
          <w:top w:w="0" w:type="dxa"/>
          <w:left w:w="0" w:type="dxa"/>
          <w:bottom w:w="0" w:type="dxa"/>
          <w:right w:w="0" w:type="dxa"/>
        </w:tblCellMar>
      </w:tblPr>
      <w:tblGrid>
        <w:gridCol w:w="141"/>
        <w:gridCol w:w="8624"/>
      </w:tblGrid>
      <w:tr>
        <w:trPr/>
        <w:tc>
          <w:tcPr>
            <w:tcW w:w="141"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4" w:type="dxa"/>
            <w:tcBorders/>
            <w:shd w:fill="auto" w:val="clear"/>
          </w:tcPr>
          <w:p>
            <w:pPr>
              <w:pStyle w:val="TableContents"/>
              <w:pBdr/>
              <w:spacing w:before="0" w:after="283"/>
              <w:jc w:val="both"/>
              <w:rPr>
                <w:sz w:val="17"/>
              </w:rPr>
            </w:pPr>
            <w:r>
              <w:rPr>
                <w:sz w:val="17"/>
              </w:rPr>
              <w:t>a New Zealand commercial property and Australian commercial properties rented to unrelated third parties, to be held for current income and long-term appreciation; and</w:t>
            </w:r>
          </w:p>
        </w:tc>
      </w:tr>
    </w:tbl>
    <w:tbl>
      <w:tblPr>
        <w:tblW w:w="6280" w:type="dxa"/>
        <w:jc w:val="left"/>
        <w:tblInd w:w="1440" w:type="dxa"/>
        <w:tblCellMar>
          <w:top w:w="0" w:type="dxa"/>
          <w:left w:w="0" w:type="dxa"/>
          <w:bottom w:w="0" w:type="dxa"/>
          <w:right w:w="0" w:type="dxa"/>
        </w:tblCellMar>
      </w:tblPr>
      <w:tblGrid>
        <w:gridCol w:w="155"/>
        <w:gridCol w:w="612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6125" w:type="dxa"/>
            <w:tcBorders/>
            <w:shd w:fill="auto" w:val="clear"/>
          </w:tcPr>
          <w:p>
            <w:pPr>
              <w:pStyle w:val="TableContents"/>
              <w:pBdr/>
              <w:spacing w:before="0" w:after="283"/>
              <w:jc w:val="both"/>
              <w:rPr>
                <w:sz w:val="17"/>
              </w:rPr>
            </w:pPr>
            <w:r>
              <w:rPr>
                <w:sz w:val="17"/>
              </w:rPr>
              <w:t>the ancillary retail and commercial tenants at some of our non-ETRC cinema properties.</w:t>
            </w:r>
          </w:p>
        </w:tc>
      </w:tr>
    </w:tbl>
    <w:p>
      <w:pPr>
        <w:pStyle w:val="TextBody"/>
        <w:spacing w:before="200" w:after="200"/>
        <w:ind w:left="1440" w:right="0" w:firstLine="720"/>
        <w:jc w:val="both"/>
        <w:rPr>
          <w:sz w:val="17"/>
        </w:rPr>
      </w:pPr>
      <w:r>
        <w:rPr>
          <w:sz w:val="17"/>
        </w:rPr>
        <w:t xml:space="preserve">In addition, we had various parcels of unimproved real estate held for development in Australia and New Zealand and certain unimproved land in the United States that was used in our historic activities.  We also owned an 8,100 square foot commercial building in Melbourne, which serves as our administrative headquarters for Australia and New Zealand, approximately 36% of which is leased to an unrelated third party. </w:t>
      </w:r>
    </w:p>
    <w:p>
      <w:pPr>
        <w:pStyle w:val="TextBody"/>
        <w:spacing w:before="0" w:after="200"/>
        <w:ind w:left="1440" w:right="0" w:hanging="0"/>
        <w:jc w:val="both"/>
        <w:rPr>
          <w:sz w:val="17"/>
        </w:rPr>
      </w:pPr>
      <w:r>
        <w:rPr>
          <w:sz w:val="17"/>
          <w:u w:val="single"/>
        </w:rPr>
        <w:t>Acquisitions</w:t>
      </w:r>
      <w:r>
        <w:rPr>
          <w:sz w:val="17"/>
        </w:rPr>
        <w:t xml:space="preserve"> </w:t>
      </w:r>
    </w:p>
    <w:p>
      <w:pPr>
        <w:pStyle w:val="TextBody"/>
        <w:spacing w:before="0" w:after="200"/>
        <w:ind w:left="1440" w:right="0" w:hanging="0"/>
        <w:jc w:val="both"/>
        <w:rPr/>
      </w:pPr>
      <w:r>
        <w:rPr/>
        <w:t>            </w:t>
      </w:r>
      <w:r>
        <w:rPr>
          <w:sz w:val="17"/>
        </w:rPr>
        <w:t xml:space="preserve">On January 10, 2012, Shadow View Land and Farming, LLC, a limited liability company owned by our Company, acquired a 202-acre property, zoned for the development of up to 843 single-family residential units, located in the City of Coachella, California.  The property was acquired at a foreclosure auction for $5.5 million.  The property was acquired as a long-term investment in developable land.  Half of the funds used to acquire the land were provided by James J. Cotter, our Chairman, Chief Executive Officer and controlling shareholder.  Upon the approval of our Conflicts Committee, these funds were converted into a 50% interest in Shadow View Land and Farming, LLC.  We are the managing member of this company. </w:t>
      </w:r>
    </w:p>
    <w:p>
      <w:pPr>
        <w:pStyle w:val="TextBody"/>
        <w:spacing w:before="0" w:after="200"/>
        <w:ind w:left="1440" w:right="0" w:firstLine="720"/>
        <w:jc w:val="both"/>
        <w:rPr>
          <w:sz w:val="17"/>
        </w:rPr>
      </w:pPr>
      <w:r>
        <w:rPr>
          <w:sz w:val="17"/>
        </w:rPr>
        <w:t xml:space="preserve">In August 2011, we purchased the CalOaks Cinema, our largest multi-screened cinema to date, for $4.2 million made up of $3.9 million of cash and a $250,000 holdback note for certain offset charges to the purchase price. </w:t>
      </w:r>
    </w:p>
    <w:p>
      <w:pPr>
        <w:pStyle w:val="TextBody"/>
        <w:spacing w:before="0" w:after="200"/>
        <w:ind w:left="1440" w:right="0" w:hanging="0"/>
        <w:jc w:val="both"/>
        <w:rPr>
          <w:sz w:val="17"/>
        </w:rPr>
      </w:pPr>
      <w:r>
        <w:rPr>
          <w:sz w:val="17"/>
          <w:u w:val="single"/>
        </w:rPr>
        <w:t>Disposals</w:t>
      </w:r>
      <w:r>
        <w:rPr>
          <w:sz w:val="17"/>
        </w:rPr>
        <w:t xml:space="preserve"> </w:t>
      </w:r>
    </w:p>
    <w:p>
      <w:pPr>
        <w:pStyle w:val="TextBody"/>
        <w:spacing w:before="0" w:after="200"/>
        <w:ind w:left="1440" w:right="0" w:firstLine="720"/>
        <w:jc w:val="both"/>
        <w:rPr>
          <w:sz w:val="17"/>
        </w:rPr>
      </w:pPr>
      <w:r>
        <w:rPr>
          <w:sz w:val="17"/>
        </w:rPr>
        <w:t xml:space="preserve">On November 20, 2012, we sold our Indooroopilly property for $12.4 million (AUS$12.0 million).  As the book value was $12.5 million (AUS$12.1 million) for this property, we recorded a loss on sale as an impairment expense of $318,000 (AUS$306,000) for the year ended December 31, 2012 which included the cost to sell the property.  Additionally, on February 21, 2012, we sold our three properties in the Taringa area of Brisbane, Australia of approximately 1.1 acres for $1.9 million (AUS$1.8 million). Because the net carrying amounts of these properties were greater than the total sale price, we recorded an impairment expense for these properties of $369,000 (AUS$365,000) for the year ended December 31, 2011.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firstLine="720"/>
        <w:jc w:val="both"/>
        <w:rPr>
          <w:sz w:val="17"/>
        </w:rPr>
      </w:pPr>
      <w:r>
        <w:rPr>
          <w:sz w:val="17"/>
        </w:rPr>
        <w:t xml:space="preserve">On April 14, 2011, we sold our 66.7% share of the 5-screen Elsternwick Classic cinema located in Melbourne, Australia to our joint venture partner for $1.9 million (AUS$1.8 million) and recognized a gain on sale of a discontinued operation of $1.7 million (AUS$1.6 million). </w:t>
      </w:r>
    </w:p>
    <w:p>
      <w:pPr>
        <w:pStyle w:val="TextBody"/>
        <w:spacing w:before="0" w:after="200"/>
        <w:ind w:left="1440" w:right="0" w:hanging="0"/>
        <w:jc w:val="both"/>
        <w:rPr>
          <w:sz w:val="17"/>
        </w:rPr>
      </w:pPr>
      <w:r>
        <w:rPr>
          <w:sz w:val="17"/>
          <w:u w:val="single"/>
        </w:rPr>
        <w:t>Investment and Development Property</w:t>
      </w:r>
      <w:r>
        <w:rPr>
          <w:sz w:val="17"/>
        </w:rPr>
        <w:t xml:space="preserve"> </w:t>
      </w:r>
    </w:p>
    <w:p>
      <w:pPr>
        <w:pStyle w:val="TextBody"/>
        <w:spacing w:before="0" w:after="200"/>
        <w:ind w:left="1440" w:right="0" w:hanging="0"/>
        <w:jc w:val="both"/>
        <w:rPr/>
      </w:pPr>
      <w:r>
        <w:rPr/>
        <w:t>            </w:t>
      </w:r>
      <w:r>
        <w:rPr>
          <w:sz w:val="17"/>
        </w:rPr>
        <w:t xml:space="preserve">We are engaged in several real estate development projects.  For a complete list of these properties with their size, status, and gross book values please see Item 2 – </w:t>
      </w:r>
      <w:r>
        <w:rPr>
          <w:i/>
          <w:sz w:val="17"/>
        </w:rPr>
        <w:t>Properties</w:t>
      </w:r>
      <w:r>
        <w:rPr>
          <w:sz w:val="17"/>
        </w:rPr>
        <w:t xml:space="preserve"> under the heading of “Investment and Development Property.” </w:t>
      </w:r>
    </w:p>
    <w:p>
      <w:pPr>
        <w:pStyle w:val="TextBody"/>
        <w:spacing w:before="0" w:after="200"/>
        <w:ind w:left="1440" w:right="0" w:hanging="0"/>
        <w:jc w:val="both"/>
        <w:rPr>
          <w:sz w:val="17"/>
        </w:rPr>
      </w:pPr>
      <w:r>
        <w:rPr>
          <w:sz w:val="17"/>
          <w:u w:val="single"/>
        </w:rPr>
        <w:t>Critical Accounting Policies</w:t>
      </w:r>
      <w:r>
        <w:rPr>
          <w:sz w:val="17"/>
        </w:rPr>
        <w:t xml:space="preserve"> </w:t>
      </w:r>
    </w:p>
    <w:p>
      <w:pPr>
        <w:pStyle w:val="TextBody"/>
        <w:spacing w:before="0" w:after="200"/>
        <w:ind w:left="1440" w:right="0" w:hanging="0"/>
        <w:jc w:val="both"/>
        <w:rPr/>
      </w:pPr>
      <w:r>
        <w:rPr/>
        <w:t>            </w:t>
      </w:r>
      <w:r>
        <w:rPr>
          <w:sz w:val="17"/>
        </w:rPr>
        <w:t xml:space="preserve">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 </w:t>
      </w:r>
    </w:p>
    <w:tbl>
      <w:tblPr>
        <w:tblW w:w="5275" w:type="dxa"/>
        <w:jc w:val="left"/>
        <w:tblInd w:w="1440" w:type="dxa"/>
        <w:tblCellMar>
          <w:top w:w="0" w:type="dxa"/>
          <w:left w:w="0" w:type="dxa"/>
          <w:bottom w:w="0" w:type="dxa"/>
          <w:right w:w="0" w:type="dxa"/>
        </w:tblCellMar>
      </w:tblPr>
      <w:tblGrid>
        <w:gridCol w:w="155"/>
        <w:gridCol w:w="512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120" w:type="dxa"/>
            <w:tcBorders/>
            <w:shd w:fill="auto" w:val="clear"/>
          </w:tcPr>
          <w:p>
            <w:pPr>
              <w:pStyle w:val="TableContents"/>
              <w:pBdr/>
              <w:spacing w:before="0" w:after="283"/>
              <w:jc w:val="both"/>
              <w:rPr>
                <w:sz w:val="17"/>
              </w:rPr>
            </w:pPr>
            <w:r>
              <w:rPr>
                <w:sz w:val="17"/>
              </w:rPr>
              <w:t>impairment of long-lived assets, including goodwill and intangible assets;</w:t>
            </w:r>
          </w:p>
        </w:tc>
      </w:tr>
    </w:tbl>
    <w:tbl>
      <w:tblPr>
        <w:tblW w:w="3280" w:type="dxa"/>
        <w:jc w:val="left"/>
        <w:tblInd w:w="1440" w:type="dxa"/>
        <w:tblCellMar>
          <w:top w:w="0" w:type="dxa"/>
          <w:left w:w="0" w:type="dxa"/>
          <w:bottom w:w="0" w:type="dxa"/>
          <w:right w:w="0" w:type="dxa"/>
        </w:tblCellMar>
      </w:tblPr>
      <w:tblGrid>
        <w:gridCol w:w="155"/>
        <w:gridCol w:w="312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125" w:type="dxa"/>
            <w:tcBorders/>
            <w:shd w:fill="auto" w:val="clear"/>
          </w:tcPr>
          <w:p>
            <w:pPr>
              <w:pStyle w:val="TableContents"/>
              <w:pBdr/>
              <w:spacing w:before="0" w:after="283"/>
              <w:jc w:val="both"/>
              <w:rPr>
                <w:sz w:val="17"/>
              </w:rPr>
            </w:pPr>
            <w:r>
              <w:rPr>
                <w:sz w:val="17"/>
              </w:rPr>
              <w:t>tax valuation allowance and obligations; and</w:t>
            </w:r>
          </w:p>
        </w:tc>
      </w:tr>
    </w:tbl>
    <w:tbl>
      <w:tblPr>
        <w:tblW w:w="2725" w:type="dxa"/>
        <w:jc w:val="left"/>
        <w:tblInd w:w="1440" w:type="dxa"/>
        <w:tblCellMar>
          <w:top w:w="0" w:type="dxa"/>
          <w:left w:w="0" w:type="dxa"/>
          <w:bottom w:w="0" w:type="dxa"/>
          <w:right w:w="0" w:type="dxa"/>
        </w:tblCellMar>
      </w:tblPr>
      <w:tblGrid>
        <w:gridCol w:w="155"/>
        <w:gridCol w:w="257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570" w:type="dxa"/>
            <w:tcBorders/>
            <w:shd w:fill="auto" w:val="clear"/>
          </w:tcPr>
          <w:p>
            <w:pPr>
              <w:pStyle w:val="TableContents"/>
              <w:pBdr/>
              <w:spacing w:before="0" w:after="283"/>
              <w:jc w:val="both"/>
              <w:rPr>
                <w:sz w:val="17"/>
              </w:rPr>
            </w:pPr>
            <w:r>
              <w:rPr>
                <w:sz w:val="17"/>
              </w:rPr>
              <w:t>legal and environmental obligations.</w:t>
            </w:r>
          </w:p>
        </w:tc>
      </w:tr>
    </w:tbl>
    <w:p>
      <w:pPr>
        <w:pStyle w:val="TextBody"/>
        <w:spacing w:before="200" w:after="200"/>
        <w:ind w:left="1440" w:right="0" w:firstLine="720"/>
        <w:jc w:val="both"/>
        <w:rPr>
          <w:sz w:val="17"/>
        </w:rPr>
      </w:pPr>
      <w:r>
        <w:rPr>
          <w:sz w:val="17"/>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undiscounted future cash flows are less than the carrying amount of the asset, then an impairment is recognized for the amount by which the carrying value of the asset exceeds its estimated fair value based on an appraisal or a discounted cash flow calculation.  Goodwill and intangible assets are evaluated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Based on calculations of current value, we recorded impairment losses of $1.5 million, $369,000 and $2.2 million relating to certain of our property and cinema locations for the years ended December 31, 2012, 2011, and 2010, respectively.  The impairments reflect our estimates of fair value which were based on appraisals or a discounted income approach with market based assumptions. For a further explanation of our 2012 impairment losses see below under the heading “Coachella impairment” and see Note 7 – </w:t>
      </w:r>
      <w:r>
        <w:rPr>
          <w:i/>
          <w:sz w:val="17"/>
        </w:rPr>
        <w:t>Investment and Development Property</w:t>
      </w:r>
      <w:r>
        <w:rPr>
          <w:sz w:val="17"/>
        </w:rPr>
        <w:t xml:space="preserve"> to our 2012 Consolidated Financial Statements. </w:t>
      </w:r>
    </w:p>
    <w:p>
      <w:pPr>
        <w:pStyle w:val="TextBody"/>
        <w:spacing w:before="0" w:after="200"/>
        <w:ind w:left="1440" w:right="0" w:hanging="0"/>
        <w:jc w:val="both"/>
        <w:rPr/>
      </w:pPr>
      <w:r>
        <w:rPr/>
        <w:t>            </w:t>
      </w:r>
      <w:r>
        <w:rPr>
          <w:sz w:val="17"/>
        </w:rPr>
        <w:t xml:space="preserve">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 balance sheet and provide any necessary allowances as required.  As of December 31, 2012, we had recorded approximately $50.6 million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offset by a valuation allowance of $37.9 million resulting in a net deferred tax asset of $12.6 million.  The recoverability of deferred tax assets is dependent upon our ability to generate future taxable income.  There is no assurance that sufficient future taxable income will be generated to benefit from our tax loss carry forwards and tax credit carry forwards. </w:t>
      </w:r>
    </w:p>
    <w:p>
      <w:pPr>
        <w:pStyle w:val="TextBody"/>
        <w:spacing w:before="0" w:after="200"/>
        <w:ind w:left="1440" w:right="0" w:firstLine="720"/>
        <w:jc w:val="both"/>
        <w:rPr>
          <w:sz w:val="17"/>
        </w:rPr>
      </w:pPr>
      <w:r>
        <w:rPr>
          <w:sz w:val="17"/>
        </w:rPr>
        <w:t xml:space="preserve">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adversely affect the value and potential for profit of such projects.  We do not currently believe that our exposure under applicable environmental laws is material in amount. </w:t>
      </w:r>
    </w:p>
    <w:p>
      <w:pPr>
        <w:pStyle w:val="TextBody"/>
        <w:spacing w:before="0" w:after="200"/>
        <w:ind w:left="1440" w:right="0" w:firstLine="720"/>
        <w:jc w:val="both"/>
        <w:rPr>
          <w:sz w:val="17"/>
        </w:rPr>
      </w:pPr>
      <w:r>
        <w:rPr>
          <w:sz w:val="17"/>
        </w:rPr>
        <w:t xml:space="preserve">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 </w:t>
      </w:r>
    </w:p>
    <w:p>
      <w:pPr>
        <w:pStyle w:val="TextBody"/>
        <w:spacing w:before="0" w:after="200"/>
        <w:ind w:left="1440" w:right="0" w:firstLine="720"/>
        <w:jc w:val="both"/>
        <w:rPr>
          <w:sz w:val="17"/>
        </w:rPr>
      </w:pPr>
      <w:r>
        <w:rPr>
          <w:sz w:val="17"/>
        </w:rPr>
        <w:t xml:space="preserve">From time to time, we are involved with claims and lawsuits arising in the ordinary course of our business that may include contractual obligations, insurance claims, tax claims, employment matters, and anti-trust issues, among other matters. </w:t>
      </w:r>
    </w:p>
    <w:p>
      <w:pPr>
        <w:pStyle w:val="TextBody"/>
        <w:spacing w:before="0" w:after="200"/>
        <w:ind w:left="1440" w:right="0" w:hanging="0"/>
        <w:jc w:val="both"/>
        <w:rPr>
          <w:sz w:val="17"/>
        </w:rPr>
      </w:pPr>
      <w:r>
        <w:rPr>
          <w:sz w:val="17"/>
          <w:u w:val="single"/>
        </w:rPr>
        <w:t>Coachella impairment</w:t>
      </w:r>
      <w:r>
        <w:rPr>
          <w:sz w:val="17"/>
        </w:rPr>
        <w:t xml:space="preserve"> </w:t>
      </w:r>
    </w:p>
    <w:p>
      <w:pPr>
        <w:pStyle w:val="TextBody"/>
        <w:spacing w:before="0" w:after="200"/>
        <w:ind w:left="1440" w:right="0" w:firstLine="720"/>
        <w:jc w:val="both"/>
        <w:rPr>
          <w:sz w:val="17"/>
        </w:rPr>
      </w:pPr>
      <w:r>
        <w:rPr>
          <w:sz w:val="17"/>
        </w:rPr>
        <w:t xml:space="preserve">In January 2012, we acquired in a foreclosure auction for $5.5 million a 202-acre property located in Coachella, California zoned for the development of up to 843 single-family residential units.   The only other bidder was the holder of the mortgage on the property who bid up to $50,000 less than our final bid.   At the time of the purchase, we knew, based on our due diligence that we were paying more for the property than would be supported by an Uniform Standards of Professional Appraisal Practice (“USPAP”) appraisal.   However, the amount that we bid was the lowest price at which we were able to acquire the property from the mortgagor.   In valuing the property, we took into account a variety of factors, including the fact that the property is located within the City of Coachella, the state of the land use entitlements, and the fact that the prior owner had invested considerable time and money in obtaining the entitlements from the City of Coachella.     Since an independent USPAP appraisal of the property produced an appraised value as of December 2012 at $4.0 million, we have written down the book value of the property by $1.5 million.  As noted below, this property is 50% owned by Mr. James J. Cotter who shares in any impairment loss to the extent of his ownership interest. </w:t>
      </w:r>
    </w:p>
    <w:p>
      <w:pPr>
        <w:pStyle w:val="TextBody"/>
        <w:spacing w:before="0" w:after="200"/>
        <w:ind w:left="1440" w:right="0" w:firstLine="720"/>
        <w:jc w:val="both"/>
        <w:rPr>
          <w:sz w:val="17"/>
        </w:rPr>
      </w:pPr>
      <w:r>
        <w:rPr>
          <w:sz w:val="17"/>
        </w:rPr>
        <w:t xml:space="preserve">We acquired the property as a potentially long-term investment based on the expectation that ready-for-development residential real estate will recover in value.  As we are not in the business of developing single family residences, it is anticipated that the property will eventually be sold to a developer of this type of property. </w:t>
      </w:r>
    </w:p>
    <w:p>
      <w:pPr>
        <w:pStyle w:val="TextBody"/>
        <w:spacing w:before="0" w:after="200"/>
        <w:ind w:left="1440" w:right="0" w:firstLine="720"/>
        <w:jc w:val="both"/>
        <w:rPr>
          <w:sz w:val="17"/>
        </w:rPr>
      </w:pPr>
      <w:r>
        <w:rPr>
          <w:sz w:val="17"/>
        </w:rPr>
        <w:t xml:space="preserve">We hold the property in a limited liability company, which we manage.  This company is owned 50/50 by ourselves and our Chairman and Chief Executive Officer, James J. Cotter.   The opportunity to acquire the property was originally presented to Mr. Cotter in his individual capacity and the transaction was approved by our Conflicts Committee, comprised entirely of independent directors. </w:t>
      </w:r>
    </w:p>
    <w:p>
      <w:pPr>
        <w:pStyle w:val="TextBody"/>
        <w:spacing w:before="0" w:after="200"/>
        <w:ind w:left="1440" w:right="0" w:hanging="0"/>
        <w:jc w:val="both"/>
        <w:rPr>
          <w:sz w:val="17"/>
        </w:rPr>
      </w:pPr>
      <w:r>
        <w:rPr>
          <w:b/>
          <w:sz w:val="17"/>
          <w:u w:val="single"/>
        </w:rPr>
        <w:t>Results of Operations</w:t>
      </w:r>
      <w:r>
        <w:rPr>
          <w:sz w:val="17"/>
        </w:rPr>
        <w:t xml:space="preserve"> </w:t>
      </w:r>
    </w:p>
    <w:p>
      <w:pPr>
        <w:pStyle w:val="TextBody"/>
        <w:spacing w:before="0" w:after="200"/>
        <w:ind w:left="1440" w:right="0" w:hanging="0"/>
        <w:jc w:val="both"/>
        <w:rPr/>
      </w:pPr>
      <w:r>
        <w:rPr/>
        <w:t>            </w:t>
      </w:r>
      <w:r>
        <w:rPr>
          <w:sz w:val="17"/>
        </w:rPr>
        <w:t xml:space="preserve">We currently have two operating segments: Cinema Exhibition and Real Estate.  Our cinema exhibition segment includes the operations of our consolidated cinemas.  Our real estate segment includes the operating results of our commercial real estate holdings, cinema real estate, live theater real estate, and ETRC’s.  </w:t>
      </w:r>
    </w:p>
    <w:p>
      <w:pPr>
        <w:pStyle w:val="TextBody"/>
        <w:spacing w:before="0" w:after="200"/>
        <w:ind w:left="1440" w:right="0" w:firstLine="720"/>
        <w:jc w:val="both"/>
        <w:rPr>
          <w:sz w:val="17"/>
        </w:rPr>
      </w:pPr>
      <w:r>
        <w:rPr>
          <w:sz w:val="17"/>
        </w:rPr>
        <w:t xml:space="preserve">The tables below summarize the results of operations for our principal business segments for the years ended December 31, 2012, 2011, and 2010 (dollars in thousands). </w:t>
      </w:r>
    </w:p>
    <w:p>
      <w:pPr>
        <w:pStyle w:val="TextBody"/>
        <w:spacing w:before="0" w:after="0"/>
        <w:ind w:left="1440" w:right="0" w:hanging="0"/>
        <w:jc w:val="both"/>
        <w:rPr/>
      </w:pPr>
      <w:r>
        <w:rPr/>
        <w:t xml:space="preserve">  </w:t>
      </w:r>
    </w:p>
    <w:tbl>
      <w:tblPr>
        <w:tblW w:w="6597" w:type="dxa"/>
        <w:jc w:val="left"/>
        <w:tblInd w:w="1440" w:type="dxa"/>
        <w:tblCellMar>
          <w:top w:w="0" w:type="dxa"/>
          <w:left w:w="0" w:type="dxa"/>
          <w:bottom w:w="0" w:type="dxa"/>
          <w:right w:w="0" w:type="dxa"/>
        </w:tblCellMar>
      </w:tblPr>
      <w:tblGrid>
        <w:gridCol w:w="2150"/>
        <w:gridCol w:w="170"/>
        <w:gridCol w:w="1094"/>
        <w:gridCol w:w="112"/>
        <w:gridCol w:w="627"/>
        <w:gridCol w:w="275"/>
        <w:gridCol w:w="1454"/>
        <w:gridCol w:w="95"/>
        <w:gridCol w:w="620"/>
      </w:tblGrid>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both"/>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both"/>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bottom w:val="single" w:sz="8"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Year Ended December 31, 2012</w:t>
            </w:r>
          </w:p>
        </w:tc>
        <w:tc>
          <w:tcPr>
            <w:tcW w:w="1264"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Cinema Exhibition</w:t>
            </w:r>
          </w:p>
        </w:tc>
        <w:tc>
          <w:tcPr>
            <w:tcW w:w="73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Real Estate</w:t>
            </w:r>
          </w:p>
        </w:tc>
        <w:tc>
          <w:tcPr>
            <w:tcW w:w="172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Intersegment Eliminations</w:t>
            </w:r>
          </w:p>
        </w:tc>
        <w:tc>
          <w:tcPr>
            <w:tcW w:w="715"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150"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Revenue</w:t>
            </w:r>
          </w:p>
        </w:tc>
        <w:tc>
          <w:tcPr>
            <w:tcW w:w="170"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234,703  </w:t>
            </w:r>
          </w:p>
        </w:tc>
        <w:tc>
          <w:tcPr>
            <w:tcW w:w="11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27,256  </w:t>
            </w:r>
          </w:p>
        </w:tc>
        <w:tc>
          <w:tcPr>
            <w:tcW w:w="27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(7,529)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254,430  </w:t>
            </w:r>
          </w:p>
        </w:tc>
      </w:tr>
      <w:tr>
        <w:trPr/>
        <w:tc>
          <w:tcPr>
            <w:tcW w:w="2150" w:type="dxa"/>
            <w:tcBorders/>
            <w:shd w:fill="FFFFFF" w:val="clear"/>
            <w:vAlign w:val="bottom"/>
          </w:tcPr>
          <w:p>
            <w:pPr>
              <w:pStyle w:val="TableContents"/>
              <w:spacing w:before="0" w:after="1"/>
              <w:ind w:left="0" w:right="0" w:hanging="0"/>
              <w:jc w:val="both"/>
              <w:rPr>
                <w:sz w:val="15"/>
              </w:rPr>
            </w:pPr>
            <w:r>
              <w:rPr>
                <w:sz w:val="15"/>
              </w:rPr>
              <w:t>Operating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198,040 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11,163 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283"/>
              <w:jc w:val="right"/>
              <w:rPr>
                <w:sz w:val="15"/>
              </w:rPr>
            </w:pPr>
            <w:r>
              <w:rPr>
                <w:sz w:val="15"/>
              </w:rPr>
              <w:t xml:space="preserve">(7,529) </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201,674  </w:t>
            </w:r>
          </w:p>
        </w:tc>
      </w:tr>
      <w:tr>
        <w:trPr/>
        <w:tc>
          <w:tcPr>
            <w:tcW w:w="2150" w:type="dxa"/>
            <w:tcBorders/>
            <w:shd w:fill="CCEEFF" w:val="clear"/>
            <w:vAlign w:val="bottom"/>
          </w:tcPr>
          <w:p>
            <w:pPr>
              <w:pStyle w:val="TableContents"/>
              <w:spacing w:before="0" w:after="1"/>
              <w:ind w:left="0" w:right="0" w:hanging="0"/>
              <w:jc w:val="both"/>
              <w:rPr>
                <w:sz w:val="15"/>
              </w:rPr>
            </w:pPr>
            <w:r>
              <w:rPr>
                <w:sz w:val="15"/>
              </w:rPr>
              <w:t>Depreciation and amortization</w:t>
            </w:r>
          </w:p>
        </w:tc>
        <w:tc>
          <w:tcPr>
            <w:tcW w:w="170" w:type="dxa"/>
            <w:tcBorders/>
            <w:shd w:fill="CCEEFF" w:val="clear"/>
            <w:vAlign w:val="bottom"/>
          </w:tcPr>
          <w:p>
            <w:pPr>
              <w:pStyle w:val="TableContents"/>
              <w:spacing w:before="0" w:after="1"/>
              <w:ind w:left="0" w:right="0" w:hanging="0"/>
              <w:jc w:val="right"/>
              <w:rPr/>
            </w:pPr>
            <w:r>
              <w:rPr/>
              <w:t> </w:t>
            </w:r>
          </w:p>
        </w:tc>
        <w:tc>
          <w:tcPr>
            <w:tcW w:w="1094" w:type="dxa"/>
            <w:tcBorders/>
            <w:shd w:fill="CCEEFF" w:val="clear"/>
            <w:vAlign w:val="bottom"/>
          </w:tcPr>
          <w:p>
            <w:pPr>
              <w:pStyle w:val="TableContents"/>
              <w:spacing w:before="0" w:after="283"/>
              <w:jc w:val="right"/>
              <w:rPr>
                <w:sz w:val="15"/>
              </w:rPr>
            </w:pPr>
            <w:r>
              <w:rPr>
                <w:sz w:val="15"/>
              </w:rPr>
              <w:t xml:space="preserve">11,154  </w:t>
            </w:r>
          </w:p>
        </w:tc>
        <w:tc>
          <w:tcPr>
            <w:tcW w:w="112" w:type="dxa"/>
            <w:tcBorders/>
            <w:shd w:fill="CCEEFF" w:val="clear"/>
            <w:vAlign w:val="bottom"/>
          </w:tcPr>
          <w:p>
            <w:pPr>
              <w:pStyle w:val="TableContents"/>
              <w:spacing w:before="0" w:after="1"/>
              <w:ind w:left="0" w:right="0" w:hanging="0"/>
              <w:jc w:val="right"/>
              <w:rPr/>
            </w:pPr>
            <w:r>
              <w:rPr/>
              <w:t> </w:t>
            </w:r>
          </w:p>
        </w:tc>
        <w:tc>
          <w:tcPr>
            <w:tcW w:w="627" w:type="dxa"/>
            <w:tcBorders/>
            <w:shd w:fill="CCEEFF" w:val="clear"/>
            <w:vAlign w:val="bottom"/>
          </w:tcPr>
          <w:p>
            <w:pPr>
              <w:pStyle w:val="TableContents"/>
              <w:spacing w:before="0" w:after="283"/>
              <w:jc w:val="right"/>
              <w:rPr>
                <w:sz w:val="15"/>
              </w:rPr>
            </w:pPr>
            <w:r>
              <w:rPr>
                <w:sz w:val="15"/>
              </w:rPr>
              <w:t xml:space="preserve">4,441  </w:t>
            </w:r>
          </w:p>
        </w:tc>
        <w:tc>
          <w:tcPr>
            <w:tcW w:w="275" w:type="dxa"/>
            <w:tcBorders/>
            <w:shd w:fill="CCEEFF" w:val="clear"/>
            <w:vAlign w:val="bottom"/>
          </w:tcPr>
          <w:p>
            <w:pPr>
              <w:pStyle w:val="TableContents"/>
              <w:spacing w:before="0" w:after="1"/>
              <w:ind w:left="0" w:right="0" w:hanging="0"/>
              <w:jc w:val="right"/>
              <w:rPr/>
            </w:pPr>
            <w:r>
              <w:rPr/>
              <w:t> </w:t>
            </w:r>
          </w:p>
        </w:tc>
        <w:tc>
          <w:tcPr>
            <w:tcW w:w="1454"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15,595  </w:t>
            </w:r>
          </w:p>
        </w:tc>
      </w:tr>
      <w:tr>
        <w:trPr/>
        <w:tc>
          <w:tcPr>
            <w:tcW w:w="2150" w:type="dxa"/>
            <w:tcBorders/>
            <w:shd w:fill="FFFFFF" w:val="clear"/>
            <w:vAlign w:val="bottom"/>
          </w:tcPr>
          <w:p>
            <w:pPr>
              <w:pStyle w:val="TableContents"/>
              <w:spacing w:before="0" w:after="1"/>
              <w:ind w:left="0" w:right="0" w:hanging="0"/>
              <w:jc w:val="both"/>
              <w:rPr>
                <w:sz w:val="15"/>
              </w:rPr>
            </w:pPr>
            <w:r>
              <w:rPr>
                <w:sz w:val="15"/>
              </w:rPr>
              <w:t>General and administrative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2,598 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718 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3,316 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Impairment expense</w:t>
            </w:r>
          </w:p>
        </w:tc>
        <w:tc>
          <w:tcPr>
            <w:tcW w:w="17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9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1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7"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1,463  </w:t>
            </w:r>
          </w:p>
        </w:tc>
        <w:tc>
          <w:tcPr>
            <w:tcW w:w="27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5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1,463  </w:t>
            </w:r>
          </w:p>
        </w:tc>
      </w:tr>
      <w:tr>
        <w:trPr/>
        <w:tc>
          <w:tcPr>
            <w:tcW w:w="21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Segment operating income</w:t>
            </w:r>
          </w:p>
        </w:tc>
        <w:tc>
          <w:tcPr>
            <w:tcW w:w="17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22,911  </w:t>
            </w:r>
          </w:p>
        </w:tc>
        <w:tc>
          <w:tcPr>
            <w:tcW w:w="11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9,471  </w:t>
            </w:r>
          </w:p>
        </w:tc>
        <w:tc>
          <w:tcPr>
            <w:tcW w:w="27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32,382  </w:t>
            </w:r>
          </w:p>
        </w:tc>
      </w:tr>
    </w:tbl>
    <w:p>
      <w:pPr>
        <w:pStyle w:val="TextBody"/>
        <w:spacing w:before="100" w:after="1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pPr>
      <w:r>
        <w:rPr/>
        <w:t xml:space="preserve">  </w:t>
      </w:r>
    </w:p>
    <w:tbl>
      <w:tblPr>
        <w:tblW w:w="6597" w:type="dxa"/>
        <w:jc w:val="left"/>
        <w:tblInd w:w="1440" w:type="dxa"/>
        <w:tblCellMar>
          <w:top w:w="0" w:type="dxa"/>
          <w:left w:w="0" w:type="dxa"/>
          <w:bottom w:w="0" w:type="dxa"/>
          <w:right w:w="0" w:type="dxa"/>
        </w:tblCellMar>
      </w:tblPr>
      <w:tblGrid>
        <w:gridCol w:w="2150"/>
        <w:gridCol w:w="170"/>
        <w:gridCol w:w="1094"/>
        <w:gridCol w:w="112"/>
        <w:gridCol w:w="627"/>
        <w:gridCol w:w="275"/>
        <w:gridCol w:w="1454"/>
        <w:gridCol w:w="95"/>
        <w:gridCol w:w="620"/>
      </w:tblGrid>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both"/>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center"/>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bottom w:val="single" w:sz="8"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Year Ended December 31, 2011</w:t>
            </w:r>
          </w:p>
        </w:tc>
        <w:tc>
          <w:tcPr>
            <w:tcW w:w="1264"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Cinema Exhibition</w:t>
            </w:r>
          </w:p>
        </w:tc>
        <w:tc>
          <w:tcPr>
            <w:tcW w:w="73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Real Estate</w:t>
            </w:r>
          </w:p>
        </w:tc>
        <w:tc>
          <w:tcPr>
            <w:tcW w:w="172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Intersegment Eliminations</w:t>
            </w:r>
          </w:p>
        </w:tc>
        <w:tc>
          <w:tcPr>
            <w:tcW w:w="715"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150"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Revenue</w:t>
            </w:r>
          </w:p>
        </w:tc>
        <w:tc>
          <w:tcPr>
            <w:tcW w:w="170"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225,849  </w:t>
            </w:r>
          </w:p>
        </w:tc>
        <w:tc>
          <w:tcPr>
            <w:tcW w:w="11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26,562  </w:t>
            </w:r>
          </w:p>
        </w:tc>
        <w:tc>
          <w:tcPr>
            <w:tcW w:w="27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(7,432)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244,979  </w:t>
            </w:r>
          </w:p>
        </w:tc>
      </w:tr>
      <w:tr>
        <w:trPr/>
        <w:tc>
          <w:tcPr>
            <w:tcW w:w="2150" w:type="dxa"/>
            <w:tcBorders/>
            <w:shd w:fill="FFFFFF" w:val="clear"/>
            <w:vAlign w:val="bottom"/>
          </w:tcPr>
          <w:p>
            <w:pPr>
              <w:pStyle w:val="TableContents"/>
              <w:spacing w:before="0" w:after="1"/>
              <w:ind w:left="0" w:right="0" w:hanging="0"/>
              <w:jc w:val="both"/>
              <w:rPr>
                <w:sz w:val="15"/>
              </w:rPr>
            </w:pPr>
            <w:r>
              <w:rPr>
                <w:sz w:val="15"/>
              </w:rPr>
              <w:t>Operating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189,647 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10,190 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283"/>
              <w:jc w:val="right"/>
              <w:rPr>
                <w:sz w:val="15"/>
              </w:rPr>
            </w:pPr>
            <w:r>
              <w:rPr>
                <w:sz w:val="15"/>
              </w:rPr>
              <w:t xml:space="preserve">(7,432) </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192,405  </w:t>
            </w:r>
          </w:p>
        </w:tc>
      </w:tr>
      <w:tr>
        <w:trPr/>
        <w:tc>
          <w:tcPr>
            <w:tcW w:w="2150" w:type="dxa"/>
            <w:tcBorders/>
            <w:shd w:fill="CCEEFF" w:val="clear"/>
            <w:vAlign w:val="bottom"/>
          </w:tcPr>
          <w:p>
            <w:pPr>
              <w:pStyle w:val="TableContents"/>
              <w:spacing w:before="0" w:after="1"/>
              <w:ind w:left="0" w:right="0" w:hanging="0"/>
              <w:jc w:val="both"/>
              <w:rPr>
                <w:sz w:val="15"/>
              </w:rPr>
            </w:pPr>
            <w:r>
              <w:rPr>
                <w:sz w:val="15"/>
              </w:rPr>
              <w:t>Depreciation and amortization</w:t>
            </w:r>
          </w:p>
        </w:tc>
        <w:tc>
          <w:tcPr>
            <w:tcW w:w="170" w:type="dxa"/>
            <w:tcBorders/>
            <w:shd w:fill="CCEEFF" w:val="clear"/>
            <w:vAlign w:val="bottom"/>
          </w:tcPr>
          <w:p>
            <w:pPr>
              <w:pStyle w:val="TableContents"/>
              <w:spacing w:before="0" w:after="1"/>
              <w:ind w:left="0" w:right="0" w:hanging="0"/>
              <w:jc w:val="right"/>
              <w:rPr/>
            </w:pPr>
            <w:r>
              <w:rPr/>
              <w:t> </w:t>
            </w:r>
          </w:p>
        </w:tc>
        <w:tc>
          <w:tcPr>
            <w:tcW w:w="1094" w:type="dxa"/>
            <w:tcBorders/>
            <w:shd w:fill="CCEEFF" w:val="clear"/>
            <w:vAlign w:val="bottom"/>
          </w:tcPr>
          <w:p>
            <w:pPr>
              <w:pStyle w:val="TableContents"/>
              <w:spacing w:before="0" w:after="283"/>
              <w:jc w:val="right"/>
              <w:rPr>
                <w:sz w:val="15"/>
              </w:rPr>
            </w:pPr>
            <w:r>
              <w:rPr>
                <w:sz w:val="15"/>
              </w:rPr>
              <w:t xml:space="preserve">11,842  </w:t>
            </w:r>
          </w:p>
        </w:tc>
        <w:tc>
          <w:tcPr>
            <w:tcW w:w="112" w:type="dxa"/>
            <w:tcBorders/>
            <w:shd w:fill="CCEEFF" w:val="clear"/>
            <w:vAlign w:val="bottom"/>
          </w:tcPr>
          <w:p>
            <w:pPr>
              <w:pStyle w:val="TableContents"/>
              <w:spacing w:before="0" w:after="1"/>
              <w:ind w:left="0" w:right="0" w:hanging="0"/>
              <w:jc w:val="right"/>
              <w:rPr/>
            </w:pPr>
            <w:r>
              <w:rPr/>
              <w:t> </w:t>
            </w:r>
          </w:p>
        </w:tc>
        <w:tc>
          <w:tcPr>
            <w:tcW w:w="627" w:type="dxa"/>
            <w:tcBorders/>
            <w:shd w:fill="CCEEFF" w:val="clear"/>
            <w:vAlign w:val="bottom"/>
          </w:tcPr>
          <w:p>
            <w:pPr>
              <w:pStyle w:val="TableContents"/>
              <w:spacing w:before="0" w:after="283"/>
              <w:jc w:val="right"/>
              <w:rPr>
                <w:sz w:val="15"/>
              </w:rPr>
            </w:pPr>
            <w:r>
              <w:rPr>
                <w:sz w:val="15"/>
              </w:rPr>
              <w:t xml:space="preserve">4,444  </w:t>
            </w:r>
          </w:p>
        </w:tc>
        <w:tc>
          <w:tcPr>
            <w:tcW w:w="275" w:type="dxa"/>
            <w:tcBorders/>
            <w:shd w:fill="CCEEFF" w:val="clear"/>
            <w:vAlign w:val="bottom"/>
          </w:tcPr>
          <w:p>
            <w:pPr>
              <w:pStyle w:val="TableContents"/>
              <w:spacing w:before="0" w:after="1"/>
              <w:ind w:left="0" w:right="0" w:hanging="0"/>
              <w:jc w:val="right"/>
              <w:rPr/>
            </w:pPr>
            <w:r>
              <w:rPr/>
              <w:t> </w:t>
            </w:r>
          </w:p>
        </w:tc>
        <w:tc>
          <w:tcPr>
            <w:tcW w:w="1454"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16,286  </w:t>
            </w:r>
          </w:p>
        </w:tc>
      </w:tr>
      <w:tr>
        <w:trPr/>
        <w:tc>
          <w:tcPr>
            <w:tcW w:w="2150" w:type="dxa"/>
            <w:tcBorders/>
            <w:shd w:fill="FFFFFF" w:val="clear"/>
            <w:vAlign w:val="bottom"/>
          </w:tcPr>
          <w:p>
            <w:pPr>
              <w:pStyle w:val="TableContents"/>
              <w:spacing w:before="0" w:after="1"/>
              <w:ind w:left="0" w:right="0" w:hanging="0"/>
              <w:jc w:val="both"/>
              <w:rPr>
                <w:sz w:val="15"/>
              </w:rPr>
            </w:pPr>
            <w:r>
              <w:rPr>
                <w:sz w:val="15"/>
              </w:rPr>
              <w:t>General and administrative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2,740 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646 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3,386 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Impairment expense</w:t>
            </w:r>
          </w:p>
        </w:tc>
        <w:tc>
          <w:tcPr>
            <w:tcW w:w="17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9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1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7"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369  </w:t>
            </w:r>
          </w:p>
        </w:tc>
        <w:tc>
          <w:tcPr>
            <w:tcW w:w="27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5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369  </w:t>
            </w:r>
          </w:p>
        </w:tc>
      </w:tr>
      <w:tr>
        <w:trPr/>
        <w:tc>
          <w:tcPr>
            <w:tcW w:w="21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Segment operating income</w:t>
            </w:r>
          </w:p>
        </w:tc>
        <w:tc>
          <w:tcPr>
            <w:tcW w:w="17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21,620  </w:t>
            </w:r>
          </w:p>
        </w:tc>
        <w:tc>
          <w:tcPr>
            <w:tcW w:w="11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10,913  </w:t>
            </w:r>
          </w:p>
        </w:tc>
        <w:tc>
          <w:tcPr>
            <w:tcW w:w="27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32,533  </w:t>
            </w:r>
          </w:p>
        </w:tc>
      </w:tr>
    </w:tbl>
    <w:p>
      <w:pPr>
        <w:pStyle w:val="TextBody"/>
        <w:pBdr/>
        <w:spacing w:before="100" w:after="100"/>
        <w:ind w:left="1440" w:right="0" w:hanging="0"/>
        <w:jc w:val="both"/>
        <w:rPr/>
      </w:pPr>
      <w:r>
        <w:rPr/>
        <w:t xml:space="preserve">  </w:t>
      </w:r>
    </w:p>
    <w:p>
      <w:pPr>
        <w:pStyle w:val="TextBody"/>
        <w:pBdr/>
        <w:spacing w:before="0" w:after="0"/>
        <w:ind w:left="1440" w:right="0" w:hanging="0"/>
        <w:jc w:val="both"/>
        <w:rPr/>
      </w:pPr>
      <w:r>
        <w:rPr/>
        <w:t xml:space="preserve">  </w:t>
      </w:r>
    </w:p>
    <w:tbl>
      <w:tblPr>
        <w:tblW w:w="6597" w:type="dxa"/>
        <w:jc w:val="left"/>
        <w:tblInd w:w="1440" w:type="dxa"/>
        <w:tblCellMar>
          <w:top w:w="0" w:type="dxa"/>
          <w:left w:w="0" w:type="dxa"/>
          <w:bottom w:w="0" w:type="dxa"/>
          <w:right w:w="0" w:type="dxa"/>
        </w:tblCellMar>
      </w:tblPr>
      <w:tblGrid>
        <w:gridCol w:w="2150"/>
        <w:gridCol w:w="170"/>
        <w:gridCol w:w="1094"/>
        <w:gridCol w:w="112"/>
        <w:gridCol w:w="627"/>
        <w:gridCol w:w="275"/>
        <w:gridCol w:w="1454"/>
        <w:gridCol w:w="95"/>
        <w:gridCol w:w="620"/>
      </w:tblGrid>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both"/>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center"/>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bottom w:val="single" w:sz="8"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Year Ended December 31, 2010</w:t>
            </w:r>
          </w:p>
        </w:tc>
        <w:tc>
          <w:tcPr>
            <w:tcW w:w="1264"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Cinema Exhibition</w:t>
            </w:r>
          </w:p>
        </w:tc>
        <w:tc>
          <w:tcPr>
            <w:tcW w:w="73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Real Estate</w:t>
            </w:r>
          </w:p>
        </w:tc>
        <w:tc>
          <w:tcPr>
            <w:tcW w:w="172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Intersegment Eliminations</w:t>
            </w:r>
          </w:p>
        </w:tc>
        <w:tc>
          <w:tcPr>
            <w:tcW w:w="715"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150"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Revenue</w:t>
            </w:r>
          </w:p>
        </w:tc>
        <w:tc>
          <w:tcPr>
            <w:tcW w:w="170"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211,073  </w:t>
            </w:r>
          </w:p>
        </w:tc>
        <w:tc>
          <w:tcPr>
            <w:tcW w:w="11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24,715  </w:t>
            </w:r>
          </w:p>
        </w:tc>
        <w:tc>
          <w:tcPr>
            <w:tcW w:w="27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(6,466)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229,322  </w:t>
            </w:r>
          </w:p>
        </w:tc>
      </w:tr>
      <w:tr>
        <w:trPr/>
        <w:tc>
          <w:tcPr>
            <w:tcW w:w="2150" w:type="dxa"/>
            <w:tcBorders/>
            <w:shd w:fill="FFFFFF" w:val="clear"/>
            <w:vAlign w:val="bottom"/>
          </w:tcPr>
          <w:p>
            <w:pPr>
              <w:pStyle w:val="TableContents"/>
              <w:spacing w:before="0" w:after="1"/>
              <w:ind w:left="0" w:right="0" w:hanging="0"/>
              <w:jc w:val="both"/>
              <w:rPr>
                <w:sz w:val="15"/>
              </w:rPr>
            </w:pPr>
            <w:r>
              <w:rPr>
                <w:sz w:val="15"/>
              </w:rPr>
              <w:t>Operating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178,261 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9,049 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283"/>
              <w:jc w:val="right"/>
              <w:rPr>
                <w:sz w:val="15"/>
              </w:rPr>
            </w:pPr>
            <w:r>
              <w:rPr>
                <w:sz w:val="15"/>
              </w:rPr>
              <w:t xml:space="preserve">(6,466) </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180,844  </w:t>
            </w:r>
          </w:p>
        </w:tc>
      </w:tr>
      <w:tr>
        <w:trPr/>
        <w:tc>
          <w:tcPr>
            <w:tcW w:w="2150" w:type="dxa"/>
            <w:tcBorders/>
            <w:shd w:fill="CCEEFF" w:val="clear"/>
            <w:vAlign w:val="bottom"/>
          </w:tcPr>
          <w:p>
            <w:pPr>
              <w:pStyle w:val="TableContents"/>
              <w:spacing w:before="0" w:after="1"/>
              <w:ind w:left="0" w:right="0" w:hanging="0"/>
              <w:jc w:val="both"/>
              <w:rPr>
                <w:sz w:val="15"/>
              </w:rPr>
            </w:pPr>
            <w:r>
              <w:rPr>
                <w:sz w:val="15"/>
              </w:rPr>
              <w:t>Depreciation and amortization</w:t>
            </w:r>
          </w:p>
        </w:tc>
        <w:tc>
          <w:tcPr>
            <w:tcW w:w="170" w:type="dxa"/>
            <w:tcBorders/>
            <w:shd w:fill="CCEEFF" w:val="clear"/>
            <w:vAlign w:val="bottom"/>
          </w:tcPr>
          <w:p>
            <w:pPr>
              <w:pStyle w:val="TableContents"/>
              <w:spacing w:before="0" w:after="1"/>
              <w:ind w:left="0" w:right="0" w:hanging="0"/>
              <w:jc w:val="right"/>
              <w:rPr/>
            </w:pPr>
            <w:r>
              <w:rPr/>
              <w:t> </w:t>
            </w:r>
          </w:p>
        </w:tc>
        <w:tc>
          <w:tcPr>
            <w:tcW w:w="1094" w:type="dxa"/>
            <w:tcBorders/>
            <w:shd w:fill="CCEEFF" w:val="clear"/>
            <w:vAlign w:val="bottom"/>
          </w:tcPr>
          <w:p>
            <w:pPr>
              <w:pStyle w:val="TableContents"/>
              <w:spacing w:before="0" w:after="283"/>
              <w:jc w:val="right"/>
              <w:rPr>
                <w:sz w:val="15"/>
              </w:rPr>
            </w:pPr>
            <w:r>
              <w:rPr>
                <w:sz w:val="15"/>
              </w:rPr>
              <w:t xml:space="preserve">10,559  </w:t>
            </w:r>
          </w:p>
        </w:tc>
        <w:tc>
          <w:tcPr>
            <w:tcW w:w="112" w:type="dxa"/>
            <w:tcBorders/>
            <w:shd w:fill="CCEEFF" w:val="clear"/>
            <w:vAlign w:val="bottom"/>
          </w:tcPr>
          <w:p>
            <w:pPr>
              <w:pStyle w:val="TableContents"/>
              <w:spacing w:before="0" w:after="1"/>
              <w:ind w:left="0" w:right="0" w:hanging="0"/>
              <w:jc w:val="right"/>
              <w:rPr/>
            </w:pPr>
            <w:r>
              <w:rPr/>
              <w:t> </w:t>
            </w:r>
          </w:p>
        </w:tc>
        <w:tc>
          <w:tcPr>
            <w:tcW w:w="627" w:type="dxa"/>
            <w:tcBorders/>
            <w:shd w:fill="CCEEFF" w:val="clear"/>
            <w:vAlign w:val="bottom"/>
          </w:tcPr>
          <w:p>
            <w:pPr>
              <w:pStyle w:val="TableContents"/>
              <w:spacing w:before="0" w:after="283"/>
              <w:jc w:val="right"/>
              <w:rPr>
                <w:sz w:val="15"/>
              </w:rPr>
            </w:pPr>
            <w:r>
              <w:rPr>
                <w:sz w:val="15"/>
              </w:rPr>
              <w:t xml:space="preserve">4,289  </w:t>
            </w:r>
          </w:p>
        </w:tc>
        <w:tc>
          <w:tcPr>
            <w:tcW w:w="275" w:type="dxa"/>
            <w:tcBorders/>
            <w:shd w:fill="CCEEFF" w:val="clear"/>
            <w:vAlign w:val="bottom"/>
          </w:tcPr>
          <w:p>
            <w:pPr>
              <w:pStyle w:val="TableContents"/>
              <w:spacing w:before="0" w:after="1"/>
              <w:ind w:left="0" w:right="0" w:hanging="0"/>
              <w:jc w:val="right"/>
              <w:rPr/>
            </w:pPr>
            <w:r>
              <w:rPr/>
              <w:t> </w:t>
            </w:r>
          </w:p>
        </w:tc>
        <w:tc>
          <w:tcPr>
            <w:tcW w:w="1454"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14,848  </w:t>
            </w:r>
          </w:p>
        </w:tc>
      </w:tr>
      <w:tr>
        <w:trPr/>
        <w:tc>
          <w:tcPr>
            <w:tcW w:w="2150" w:type="dxa"/>
            <w:tcBorders/>
            <w:shd w:fill="FFFFFF" w:val="clear"/>
            <w:vAlign w:val="bottom"/>
          </w:tcPr>
          <w:p>
            <w:pPr>
              <w:pStyle w:val="TableContents"/>
              <w:spacing w:before="0" w:after="1"/>
              <w:ind w:left="0" w:right="0" w:hanging="0"/>
              <w:jc w:val="both"/>
              <w:rPr>
                <w:sz w:val="15"/>
              </w:rPr>
            </w:pPr>
            <w:r>
              <w:rPr>
                <w:sz w:val="15"/>
              </w:rPr>
              <w:t>General and administrative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2,880 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1,043 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3,923 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Impairment expense</w:t>
            </w:r>
          </w:p>
        </w:tc>
        <w:tc>
          <w:tcPr>
            <w:tcW w:w="17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9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1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7"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2,239  </w:t>
            </w:r>
          </w:p>
        </w:tc>
        <w:tc>
          <w:tcPr>
            <w:tcW w:w="27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5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2,239  </w:t>
            </w:r>
          </w:p>
        </w:tc>
      </w:tr>
      <w:tr>
        <w:trPr/>
        <w:tc>
          <w:tcPr>
            <w:tcW w:w="21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Segment operating income</w:t>
            </w:r>
          </w:p>
        </w:tc>
        <w:tc>
          <w:tcPr>
            <w:tcW w:w="17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19,373  </w:t>
            </w:r>
          </w:p>
        </w:tc>
        <w:tc>
          <w:tcPr>
            <w:tcW w:w="11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8,095  </w:t>
            </w:r>
          </w:p>
        </w:tc>
        <w:tc>
          <w:tcPr>
            <w:tcW w:w="27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27,468  </w:t>
            </w:r>
          </w:p>
        </w:tc>
      </w:tr>
    </w:tbl>
    <w:p>
      <w:pPr>
        <w:pStyle w:val="TextBody"/>
        <w:pBdr/>
        <w:spacing w:before="100" w:after="100"/>
        <w:ind w:left="1440" w:right="0" w:hanging="0"/>
        <w:jc w:val="both"/>
        <w:rPr/>
      </w:pPr>
      <w:r>
        <w:rPr/>
        <w:t xml:space="preserve">  </w:t>
      </w:r>
    </w:p>
    <w:p>
      <w:pPr>
        <w:pStyle w:val="TextBody"/>
        <w:pBdr/>
        <w:spacing w:before="0" w:after="0"/>
        <w:ind w:left="1440" w:right="0" w:hanging="0"/>
        <w:jc w:val="both"/>
        <w:rPr/>
      </w:pPr>
      <w:r>
        <w:rPr/>
        <w:t xml:space="preserve">  </w:t>
      </w:r>
    </w:p>
    <w:tbl>
      <w:tblPr>
        <w:tblW w:w="7130" w:type="dxa"/>
        <w:jc w:val="left"/>
        <w:tblInd w:w="1440" w:type="dxa"/>
        <w:tblCellMar>
          <w:top w:w="0" w:type="dxa"/>
          <w:left w:w="0" w:type="dxa"/>
          <w:bottom w:w="0" w:type="dxa"/>
          <w:right w:w="0" w:type="dxa"/>
        </w:tblCellMar>
      </w:tblPr>
      <w:tblGrid>
        <w:gridCol w:w="4985"/>
        <w:gridCol w:w="60"/>
        <w:gridCol w:w="60"/>
        <w:gridCol w:w="95"/>
        <w:gridCol w:w="575"/>
        <w:gridCol w:w="95"/>
        <w:gridCol w:w="575"/>
        <w:gridCol w:w="95"/>
        <w:gridCol w:w="590"/>
      </w:tblGrid>
      <w:tr>
        <w:trPr/>
        <w:tc>
          <w:tcPr>
            <w:tcW w:w="49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49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4985" w:type="dxa"/>
            <w:tcBorders/>
            <w:shd w:fill="auto" w:val="clear"/>
            <w:vAlign w:val="bottom"/>
          </w:tcPr>
          <w:p>
            <w:pPr>
              <w:pStyle w:val="TableContents"/>
              <w:spacing w:before="0" w:after="1"/>
              <w:ind w:left="0" w:right="0" w:hanging="0"/>
              <w:jc w:val="both"/>
              <w:rPr>
                <w:b/>
                <w:sz w:val="15"/>
              </w:rPr>
            </w:pPr>
            <w:r>
              <w:rPr>
                <w:b/>
                <w:sz w:val="15"/>
              </w:rPr>
              <w:t>Reconciliation to net income attributable</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75" w:type="dxa"/>
            <w:tcBorders/>
            <w:shd w:fill="auto" w:val="clear"/>
            <w:vAlign w:val="bottom"/>
          </w:tcPr>
          <w:p>
            <w:pPr>
              <w:pStyle w:val="TableContents"/>
              <w:spacing w:before="0" w:after="1"/>
              <w:ind w:left="0" w:right="0" w:hanging="0"/>
              <w:jc w:val="center"/>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75" w:type="dxa"/>
            <w:tcBorders/>
            <w:shd w:fill="auto" w:val="clear"/>
            <w:vAlign w:val="bottom"/>
          </w:tcPr>
          <w:p>
            <w:pPr>
              <w:pStyle w:val="TableContents"/>
              <w:spacing w:before="0" w:after="1"/>
              <w:ind w:left="0" w:right="0" w:hanging="0"/>
              <w:jc w:val="center"/>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90" w:type="dxa"/>
            <w:tcBorders/>
            <w:shd w:fill="auto" w:val="clear"/>
            <w:vAlign w:val="bottom"/>
          </w:tcPr>
          <w:p>
            <w:pPr>
              <w:pStyle w:val="TableContents"/>
              <w:spacing w:before="0" w:after="1"/>
              <w:ind w:left="0" w:right="0" w:hanging="0"/>
              <w:jc w:val="center"/>
              <w:rPr/>
            </w:pPr>
            <w:r>
              <w:rPr/>
              <w:t> </w:t>
            </w:r>
          </w:p>
        </w:tc>
      </w:tr>
      <w:tr>
        <w:trPr/>
        <w:tc>
          <w:tcPr>
            <w:tcW w:w="498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to Reading International, Inc. shareholders: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2011</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2010</w:t>
            </w:r>
          </w:p>
        </w:tc>
      </w:tr>
      <w:tr>
        <w:trPr/>
        <w:tc>
          <w:tcPr>
            <w:tcW w:w="4985"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Total segment operating income</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32,382 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32,533 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27,468  </w:t>
            </w:r>
          </w:p>
        </w:tc>
      </w:tr>
      <w:tr>
        <w:trPr/>
        <w:tc>
          <w:tcPr>
            <w:tcW w:w="4985" w:type="dxa"/>
            <w:tcBorders/>
            <w:shd w:fill="FFFFFF" w:val="clear"/>
            <w:vAlign w:val="bottom"/>
          </w:tcPr>
          <w:p>
            <w:pPr>
              <w:pStyle w:val="TableContents"/>
              <w:spacing w:before="0" w:after="1"/>
              <w:ind w:left="120" w:right="0" w:hanging="0"/>
              <w:jc w:val="both"/>
              <w:rPr>
                <w:sz w:val="15"/>
              </w:rPr>
            </w:pPr>
            <w:r>
              <w:rPr>
                <w:sz w:val="15"/>
              </w:rPr>
              <w:t>Non-segment:</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1"/>
              <w:ind w:left="0" w:right="0" w:hanging="0"/>
              <w:jc w:val="right"/>
              <w:rPr/>
            </w:pPr>
            <w:r>
              <w:rPr/>
              <w:t> </w:t>
            </w:r>
          </w:p>
        </w:tc>
      </w:tr>
      <w:tr>
        <w:trPr/>
        <w:tc>
          <w:tcPr>
            <w:tcW w:w="4985" w:type="dxa"/>
            <w:tcBorders/>
            <w:shd w:fill="CCEEFF" w:val="clear"/>
            <w:vAlign w:val="bottom"/>
          </w:tcPr>
          <w:p>
            <w:pPr>
              <w:pStyle w:val="TableContents"/>
              <w:spacing w:before="0" w:after="1"/>
              <w:ind w:left="240" w:right="0" w:hanging="0"/>
              <w:jc w:val="both"/>
              <w:rPr>
                <w:sz w:val="15"/>
              </w:rPr>
            </w:pPr>
            <w:r>
              <w:rPr>
                <w:sz w:val="15"/>
              </w:rPr>
              <w:t>Depreciation and amortization expense</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454 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309 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715  </w:t>
            </w:r>
          </w:p>
        </w:tc>
      </w:tr>
      <w:tr>
        <w:trPr/>
        <w:tc>
          <w:tcPr>
            <w:tcW w:w="4985" w:type="dxa"/>
            <w:tcBorders>
              <w:bottom w:val="single" w:sz="8" w:space="0" w:color="000000"/>
            </w:tcBorders>
            <w:shd w:fill="FFFFFF" w:val="clear"/>
            <w:tcMar>
              <w:bottom w:w="28" w:type="dxa"/>
            </w:tcMar>
            <w:vAlign w:val="bottom"/>
          </w:tcPr>
          <w:p>
            <w:pPr>
              <w:pStyle w:val="TableContents"/>
              <w:spacing w:before="0" w:after="1"/>
              <w:ind w:left="240" w:right="0" w:hanging="0"/>
              <w:jc w:val="both"/>
              <w:rPr>
                <w:sz w:val="15"/>
              </w:rPr>
            </w:pPr>
            <w:r>
              <w:rPr>
                <w:sz w:val="15"/>
              </w:rPr>
              <w:t>General and administrative expense</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12,801 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14,046 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13,684  </w:t>
            </w:r>
          </w:p>
        </w:tc>
      </w:tr>
      <w:tr>
        <w:trPr/>
        <w:tc>
          <w:tcPr>
            <w:tcW w:w="4985"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Operating income</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19,127 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18,178 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9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13,069  </w:t>
            </w:r>
          </w:p>
        </w:tc>
      </w:tr>
      <w:tr>
        <w:trPr/>
        <w:tc>
          <w:tcPr>
            <w:tcW w:w="4985" w:type="dxa"/>
            <w:tcBorders/>
            <w:shd w:fill="FFFFFF" w:val="clear"/>
            <w:vAlign w:val="bottom"/>
          </w:tcPr>
          <w:p>
            <w:pPr>
              <w:pStyle w:val="TableContents"/>
              <w:spacing w:before="0" w:after="1"/>
              <w:ind w:left="120" w:right="0" w:hanging="0"/>
              <w:jc w:val="both"/>
              <w:rPr>
                <w:sz w:val="15"/>
              </w:rPr>
            </w:pPr>
            <w:r>
              <w:rPr>
                <w:sz w:val="15"/>
              </w:rPr>
              <w:t>Interest expense, net</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(16,426)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(21,038)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(12,286) </w:t>
            </w:r>
          </w:p>
        </w:tc>
      </w:tr>
      <w:tr>
        <w:trPr/>
        <w:tc>
          <w:tcPr>
            <w:tcW w:w="4985" w:type="dxa"/>
            <w:tcBorders/>
            <w:shd w:fill="CCEEFF" w:val="clear"/>
            <w:vAlign w:val="bottom"/>
          </w:tcPr>
          <w:p>
            <w:pPr>
              <w:pStyle w:val="TableContents"/>
              <w:spacing w:before="0" w:after="1"/>
              <w:ind w:left="120" w:right="0" w:hanging="0"/>
              <w:jc w:val="both"/>
              <w:rPr>
                <w:sz w:val="15"/>
              </w:rPr>
            </w:pPr>
            <w:r>
              <w:rPr>
                <w:sz w:val="15"/>
              </w:rPr>
              <w:t>Other income (loss)</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(563)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1,157 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(347) </w:t>
            </w:r>
          </w:p>
        </w:tc>
      </w:tr>
      <w:tr>
        <w:trPr/>
        <w:tc>
          <w:tcPr>
            <w:tcW w:w="4985" w:type="dxa"/>
            <w:tcBorders/>
            <w:shd w:fill="FFFFFF" w:val="clear"/>
            <w:vAlign w:val="bottom"/>
          </w:tcPr>
          <w:p>
            <w:pPr>
              <w:pStyle w:val="TableContents"/>
              <w:spacing w:before="0" w:after="1"/>
              <w:ind w:left="120" w:right="0" w:hanging="0"/>
              <w:jc w:val="both"/>
              <w:rPr>
                <w:sz w:val="15"/>
              </w:rPr>
            </w:pPr>
            <w:r>
              <w:rPr>
                <w:sz w:val="15"/>
              </w:rPr>
              <w:t>Gain (loss) on sale of assets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144 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(67)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352  </w:t>
            </w:r>
          </w:p>
        </w:tc>
      </w:tr>
      <w:tr>
        <w:trPr/>
        <w:tc>
          <w:tcPr>
            <w:tcW w:w="4985" w:type="dxa"/>
            <w:tcBorders/>
            <w:shd w:fill="CCEEFF" w:val="clear"/>
            <w:vAlign w:val="bottom"/>
          </w:tcPr>
          <w:p>
            <w:pPr>
              <w:pStyle w:val="TableContents"/>
              <w:spacing w:before="0" w:after="1"/>
              <w:ind w:left="120" w:right="0" w:hanging="0"/>
              <w:jc w:val="both"/>
              <w:rPr>
                <w:sz w:val="15"/>
              </w:rPr>
            </w:pPr>
            <w:r>
              <w:rPr>
                <w:sz w:val="15"/>
              </w:rPr>
              <w:t>Income tax benefit (expense)</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(4,904)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12,330 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(14,264) </w:t>
            </w:r>
          </w:p>
        </w:tc>
      </w:tr>
      <w:tr>
        <w:trPr/>
        <w:tc>
          <w:tcPr>
            <w:tcW w:w="4985" w:type="dxa"/>
            <w:tcBorders/>
            <w:shd w:fill="FFFFFF" w:val="clear"/>
            <w:vAlign w:val="bottom"/>
          </w:tcPr>
          <w:p>
            <w:pPr>
              <w:pStyle w:val="TableContents"/>
              <w:spacing w:before="0" w:after="1"/>
              <w:ind w:left="120" w:right="0" w:hanging="0"/>
              <w:jc w:val="both"/>
              <w:rPr>
                <w:sz w:val="15"/>
              </w:rPr>
            </w:pPr>
            <w:r>
              <w:rPr>
                <w:sz w:val="15"/>
              </w:rPr>
              <w:t>Equity earnings (loss) of unconsolidated joint ventures and entities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1,621 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(1,552)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1,345  </w:t>
            </w:r>
          </w:p>
        </w:tc>
      </w:tr>
      <w:tr>
        <w:trPr/>
        <w:tc>
          <w:tcPr>
            <w:tcW w:w="4985" w:type="dxa"/>
            <w:tcBorders/>
            <w:shd w:fill="CCEEFF" w:val="clear"/>
            <w:vAlign w:val="bottom"/>
          </w:tcPr>
          <w:p>
            <w:pPr>
              <w:pStyle w:val="TableContents"/>
              <w:spacing w:before="0" w:after="1"/>
              <w:ind w:left="120" w:right="0" w:hanging="0"/>
              <w:jc w:val="both"/>
              <w:rPr>
                <w:sz w:val="15"/>
              </w:rPr>
            </w:pPr>
            <w:r>
              <w:rPr>
                <w:sz w:val="15"/>
              </w:rPr>
              <w:t>Income (loss) from discontinued operations</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(85)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232 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97  </w:t>
            </w:r>
          </w:p>
        </w:tc>
      </w:tr>
      <w:tr>
        <w:trPr/>
        <w:tc>
          <w:tcPr>
            <w:tcW w:w="498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5"/>
              </w:rPr>
            </w:pPr>
            <w:r>
              <w:rPr>
                <w:sz w:val="15"/>
              </w:rPr>
              <w:t>Gain (loss) on sale of discontinued operation</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(320)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1,656 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r>
      <w:tr>
        <w:trPr/>
        <w:tc>
          <w:tcPr>
            <w:tcW w:w="4985"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Net income (loss)</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(1,406)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10,896 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(12,034) </w:t>
            </w:r>
          </w:p>
        </w:tc>
      </w:tr>
      <w:tr>
        <w:trPr/>
        <w:tc>
          <w:tcPr>
            <w:tcW w:w="498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5"/>
              </w:rPr>
            </w:pPr>
            <w:r>
              <w:rPr>
                <w:sz w:val="15"/>
              </w:rPr>
              <w:t>Net (income) loss attributable to noncontrolling interests</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492 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(940)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(616) </w:t>
            </w:r>
          </w:p>
        </w:tc>
      </w:tr>
      <w:tr>
        <w:trPr/>
        <w:tc>
          <w:tcPr>
            <w:tcW w:w="498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Net income (loss) attributable to Reading International, Inc. common shareholders</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(914)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9,956 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(12,650)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37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b/>
          <w:sz w:val="17"/>
          <w:u w:val="single"/>
        </w:rPr>
        <w:t>Cinema Exhibition Segment</w:t>
      </w:r>
      <w:r>
        <w:rPr>
          <w:sz w:val="17"/>
        </w:rPr>
        <w:t xml:space="preserve"> </w:t>
      </w:r>
    </w:p>
    <w:p>
      <w:pPr>
        <w:pStyle w:val="TextBody"/>
        <w:spacing w:before="0" w:after="200"/>
        <w:ind w:left="1440" w:right="0" w:firstLine="720"/>
        <w:jc w:val="both"/>
        <w:rPr>
          <w:sz w:val="17"/>
        </w:rPr>
      </w:pPr>
      <w:r>
        <w:rPr>
          <w:sz w:val="17"/>
        </w:rPr>
        <w:t xml:space="preserve">The following tables and discussion that follows detail our operating results for our 2012, 2011, and 2010 cinema exhibition segment (dollars in thousands): </w:t>
      </w:r>
    </w:p>
    <w:p>
      <w:pPr>
        <w:pStyle w:val="TextBody"/>
        <w:spacing w:before="0" w:after="0"/>
        <w:ind w:left="1440" w:right="0" w:hanging="0"/>
        <w:jc w:val="both"/>
        <w:rPr/>
      </w:pPr>
      <w:r>
        <w:rPr/>
        <w:t xml:space="preserve">  </w:t>
      </w:r>
    </w:p>
    <w:tbl>
      <w:tblPr>
        <w:tblW w:w="6285" w:type="dxa"/>
        <w:jc w:val="left"/>
        <w:tblInd w:w="1440" w:type="dxa"/>
        <w:tblCellMar>
          <w:top w:w="0" w:type="dxa"/>
          <w:left w:w="0" w:type="dxa"/>
          <w:bottom w:w="0" w:type="dxa"/>
          <w:right w:w="0" w:type="dxa"/>
        </w:tblCellMar>
      </w:tblPr>
      <w:tblGrid>
        <w:gridCol w:w="2495"/>
        <w:gridCol w:w="110"/>
        <w:gridCol w:w="980"/>
        <w:gridCol w:w="110"/>
        <w:gridCol w:w="695"/>
        <w:gridCol w:w="110"/>
        <w:gridCol w:w="965"/>
        <w:gridCol w:w="110"/>
        <w:gridCol w:w="710"/>
      </w:tblGrid>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4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Year Ended December 31, 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United States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Australia</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New Zealand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7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4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Admissions 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78,745 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68,819 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6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13,897 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161,461  </w:t>
            </w:r>
          </w:p>
        </w:tc>
      </w:tr>
      <w:tr>
        <w:trPr/>
        <w:tc>
          <w:tcPr>
            <w:tcW w:w="2495" w:type="dxa"/>
            <w:tcBorders/>
            <w:shd w:fill="FFFFFF" w:val="clear"/>
            <w:vAlign w:val="bottom"/>
          </w:tcPr>
          <w:p>
            <w:pPr>
              <w:pStyle w:val="TableContents"/>
              <w:spacing w:before="0" w:after="1"/>
              <w:ind w:left="0" w:right="0" w:hanging="0"/>
              <w:jc w:val="both"/>
              <w:rPr>
                <w:sz w:val="17"/>
              </w:rPr>
            </w:pPr>
            <w:r>
              <w:rPr>
                <w:sz w:val="17"/>
              </w:rPr>
              <w:t>Concessions revenue</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32,219 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24,564 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4,266 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61,049 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Advertising and other revenues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5,433 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5,806 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954 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12,193  </w:t>
            </w:r>
          </w:p>
        </w:tc>
      </w:tr>
      <w:tr>
        <w:trPr/>
        <w:tc>
          <w:tcPr>
            <w:tcW w:w="249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 xml:space="preserve">Total revenues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116,397 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99,189 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19,117 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71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234,703  </w:t>
            </w:r>
          </w:p>
        </w:tc>
      </w:tr>
      <w:tr>
        <w:trPr/>
        <w:tc>
          <w:tcPr>
            <w:tcW w:w="249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710" w:type="dxa"/>
            <w:tcBorders/>
            <w:shd w:fill="CCEEFF" w:val="clear"/>
            <w:vAlign w:val="bottom"/>
          </w:tcPr>
          <w:p>
            <w:pPr>
              <w:pStyle w:val="TableContents"/>
              <w:spacing w:before="0" w:after="1"/>
              <w:ind w:left="0" w:right="0" w:hanging="0"/>
              <w:jc w:val="right"/>
              <w:rPr/>
            </w:pPr>
            <w:r>
              <w:rPr/>
              <w:t> </w:t>
            </w:r>
          </w:p>
        </w:tc>
      </w:tr>
      <w:tr>
        <w:trPr/>
        <w:tc>
          <w:tcPr>
            <w:tcW w:w="2495" w:type="dxa"/>
            <w:tcBorders/>
            <w:shd w:fill="FFFFFF" w:val="clear"/>
            <w:vAlign w:val="bottom"/>
          </w:tcPr>
          <w:p>
            <w:pPr>
              <w:pStyle w:val="TableContents"/>
              <w:spacing w:before="0" w:after="1"/>
              <w:ind w:left="0" w:right="0" w:hanging="0"/>
              <w:jc w:val="both"/>
              <w:rPr>
                <w:sz w:val="17"/>
              </w:rPr>
            </w:pPr>
            <w:r>
              <w:rPr>
                <w:sz w:val="17"/>
              </w:rPr>
              <w:t>Cinema costs</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96,534 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75,210 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14,959 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186,703 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Concession costs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5,374 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4,908 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1,055 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11,337  </w:t>
            </w:r>
          </w:p>
        </w:tc>
      </w:tr>
      <w:tr>
        <w:trPr/>
        <w:tc>
          <w:tcPr>
            <w:tcW w:w="249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Total operating expense</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101,908 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80,118 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16,014 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71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198,040  </w:t>
            </w:r>
          </w:p>
        </w:tc>
      </w:tr>
      <w:tr>
        <w:trPr/>
        <w:tc>
          <w:tcPr>
            <w:tcW w:w="249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710" w:type="dxa"/>
            <w:tcBorders/>
            <w:shd w:fill="CCEEFF" w:val="clear"/>
            <w:vAlign w:val="bottom"/>
          </w:tcPr>
          <w:p>
            <w:pPr>
              <w:pStyle w:val="TableContents"/>
              <w:spacing w:before="0" w:after="1"/>
              <w:ind w:left="0" w:right="0" w:hanging="0"/>
              <w:jc w:val="right"/>
              <w:rPr/>
            </w:pPr>
            <w:r>
              <w:rPr/>
              <w:t> </w:t>
            </w:r>
          </w:p>
        </w:tc>
      </w:tr>
      <w:tr>
        <w:trPr/>
        <w:tc>
          <w:tcPr>
            <w:tcW w:w="2495" w:type="dxa"/>
            <w:tcBorders/>
            <w:shd w:fill="FFFFFF" w:val="clear"/>
            <w:vAlign w:val="bottom"/>
          </w:tcPr>
          <w:p>
            <w:pPr>
              <w:pStyle w:val="TableContents"/>
              <w:spacing w:before="0" w:after="1"/>
              <w:ind w:left="0" w:right="0" w:hanging="0"/>
              <w:jc w:val="both"/>
              <w:rPr>
                <w:sz w:val="17"/>
              </w:rPr>
            </w:pPr>
            <w:r>
              <w:rPr>
                <w:sz w:val="17"/>
              </w:rPr>
              <w:t>Depreciation and amortization</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6,482 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3,589 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1,083 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11,154 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General and administrative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1,937 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661 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2,598  </w:t>
            </w:r>
          </w:p>
        </w:tc>
      </w:tr>
      <w:tr>
        <w:trPr/>
        <w:tc>
          <w:tcPr>
            <w:tcW w:w="24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Segment operating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6,070 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14,821 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2,020 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22,911 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6285" w:type="dxa"/>
        <w:jc w:val="left"/>
        <w:tblInd w:w="1440" w:type="dxa"/>
        <w:tblCellMar>
          <w:top w:w="0" w:type="dxa"/>
          <w:left w:w="0" w:type="dxa"/>
          <w:bottom w:w="0" w:type="dxa"/>
          <w:right w:w="0" w:type="dxa"/>
        </w:tblCellMar>
      </w:tblPr>
      <w:tblGrid>
        <w:gridCol w:w="2495"/>
        <w:gridCol w:w="110"/>
        <w:gridCol w:w="980"/>
        <w:gridCol w:w="110"/>
        <w:gridCol w:w="695"/>
        <w:gridCol w:w="110"/>
        <w:gridCol w:w="965"/>
        <w:gridCol w:w="110"/>
        <w:gridCol w:w="710"/>
      </w:tblGrid>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4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Year Ended December 31, 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United States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Australia</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New Zealand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7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4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Admissions 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73,062 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72,887 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6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12,622 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158,571  </w:t>
            </w:r>
          </w:p>
        </w:tc>
      </w:tr>
      <w:tr>
        <w:trPr/>
        <w:tc>
          <w:tcPr>
            <w:tcW w:w="2495" w:type="dxa"/>
            <w:tcBorders/>
            <w:shd w:fill="FFFFFF" w:val="clear"/>
            <w:vAlign w:val="bottom"/>
          </w:tcPr>
          <w:p>
            <w:pPr>
              <w:pStyle w:val="TableContents"/>
              <w:spacing w:before="0" w:after="1"/>
              <w:ind w:left="0" w:right="0" w:hanging="0"/>
              <w:jc w:val="both"/>
              <w:rPr>
                <w:sz w:val="17"/>
              </w:rPr>
            </w:pPr>
            <w:r>
              <w:rPr>
                <w:sz w:val="17"/>
              </w:rPr>
              <w:t>Concessions revenue</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28,225 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23,306 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3,446 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54,977 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Advertising and other revenues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5,482 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6,019 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800 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12,301  </w:t>
            </w:r>
          </w:p>
        </w:tc>
      </w:tr>
      <w:tr>
        <w:trPr/>
        <w:tc>
          <w:tcPr>
            <w:tcW w:w="249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 xml:space="preserve">Total revenues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106,769 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102,212 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16,868 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71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225,849  </w:t>
            </w:r>
          </w:p>
        </w:tc>
      </w:tr>
      <w:tr>
        <w:trPr/>
        <w:tc>
          <w:tcPr>
            <w:tcW w:w="249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710" w:type="dxa"/>
            <w:tcBorders/>
            <w:shd w:fill="CCEEFF" w:val="clear"/>
            <w:vAlign w:val="bottom"/>
          </w:tcPr>
          <w:p>
            <w:pPr>
              <w:pStyle w:val="TableContents"/>
              <w:spacing w:before="0" w:after="1"/>
              <w:ind w:left="0" w:right="0" w:hanging="0"/>
              <w:jc w:val="right"/>
              <w:rPr/>
            </w:pPr>
            <w:r>
              <w:rPr/>
              <w:t> </w:t>
            </w:r>
          </w:p>
        </w:tc>
      </w:tr>
      <w:tr>
        <w:trPr/>
        <w:tc>
          <w:tcPr>
            <w:tcW w:w="2495" w:type="dxa"/>
            <w:tcBorders/>
            <w:shd w:fill="FFFFFF" w:val="clear"/>
            <w:vAlign w:val="bottom"/>
          </w:tcPr>
          <w:p>
            <w:pPr>
              <w:pStyle w:val="TableContents"/>
              <w:spacing w:before="0" w:after="1"/>
              <w:ind w:left="0" w:right="0" w:hanging="0"/>
              <w:jc w:val="both"/>
              <w:rPr>
                <w:sz w:val="17"/>
              </w:rPr>
            </w:pPr>
            <w:r>
              <w:rPr>
                <w:sz w:val="17"/>
              </w:rPr>
              <w:t>Cinema costs</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89,602 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75,771 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13,998 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179,371 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Concession costs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4,461 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4,963 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852 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10,276  </w:t>
            </w:r>
          </w:p>
        </w:tc>
      </w:tr>
      <w:tr>
        <w:trPr/>
        <w:tc>
          <w:tcPr>
            <w:tcW w:w="249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Total operating expense</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94,063 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80,734 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14,850 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71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189,647  </w:t>
            </w:r>
          </w:p>
        </w:tc>
      </w:tr>
      <w:tr>
        <w:trPr/>
        <w:tc>
          <w:tcPr>
            <w:tcW w:w="249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710" w:type="dxa"/>
            <w:tcBorders/>
            <w:shd w:fill="CCEEFF" w:val="clear"/>
            <w:vAlign w:val="bottom"/>
          </w:tcPr>
          <w:p>
            <w:pPr>
              <w:pStyle w:val="TableContents"/>
              <w:spacing w:before="0" w:after="1"/>
              <w:ind w:left="0" w:right="0" w:hanging="0"/>
              <w:jc w:val="right"/>
              <w:rPr/>
            </w:pPr>
            <w:r>
              <w:rPr/>
              <w:t> </w:t>
            </w:r>
          </w:p>
        </w:tc>
      </w:tr>
      <w:tr>
        <w:trPr/>
        <w:tc>
          <w:tcPr>
            <w:tcW w:w="2495" w:type="dxa"/>
            <w:tcBorders/>
            <w:shd w:fill="FFFFFF" w:val="clear"/>
            <w:vAlign w:val="bottom"/>
          </w:tcPr>
          <w:p>
            <w:pPr>
              <w:pStyle w:val="TableContents"/>
              <w:spacing w:before="0" w:after="1"/>
              <w:ind w:left="0" w:right="0" w:hanging="0"/>
              <w:jc w:val="both"/>
              <w:rPr>
                <w:sz w:val="17"/>
              </w:rPr>
            </w:pPr>
            <w:r>
              <w:rPr>
                <w:sz w:val="17"/>
              </w:rPr>
              <w:t>Depreciation and amortization</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6,525 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4,218 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1,099 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11,842 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General and administrative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1,973 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691 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76 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2,740  </w:t>
            </w:r>
          </w:p>
        </w:tc>
      </w:tr>
      <w:tr>
        <w:trPr/>
        <w:tc>
          <w:tcPr>
            <w:tcW w:w="24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Segment operating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4,208 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16,569 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843 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21,620 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6285" w:type="dxa"/>
        <w:jc w:val="left"/>
        <w:tblInd w:w="1440" w:type="dxa"/>
        <w:tblCellMar>
          <w:top w:w="0" w:type="dxa"/>
          <w:left w:w="0" w:type="dxa"/>
          <w:bottom w:w="0" w:type="dxa"/>
          <w:right w:w="0" w:type="dxa"/>
        </w:tblCellMar>
      </w:tblPr>
      <w:tblGrid>
        <w:gridCol w:w="2495"/>
        <w:gridCol w:w="110"/>
        <w:gridCol w:w="980"/>
        <w:gridCol w:w="110"/>
        <w:gridCol w:w="695"/>
        <w:gridCol w:w="110"/>
        <w:gridCol w:w="965"/>
        <w:gridCol w:w="110"/>
        <w:gridCol w:w="710"/>
      </w:tblGrid>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4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Year Ended December 31, 2010</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United States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Australia</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New Zealand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7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4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Admissions 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73,266 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61,640 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6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15,601 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150,507  </w:t>
            </w:r>
          </w:p>
        </w:tc>
      </w:tr>
      <w:tr>
        <w:trPr/>
        <w:tc>
          <w:tcPr>
            <w:tcW w:w="2495" w:type="dxa"/>
            <w:tcBorders/>
            <w:shd w:fill="FFFFFF" w:val="clear"/>
            <w:vAlign w:val="bottom"/>
          </w:tcPr>
          <w:p>
            <w:pPr>
              <w:pStyle w:val="TableContents"/>
              <w:spacing w:before="0" w:after="1"/>
              <w:ind w:left="0" w:right="0" w:hanging="0"/>
              <w:jc w:val="both"/>
              <w:rPr>
                <w:sz w:val="17"/>
              </w:rPr>
            </w:pPr>
            <w:r>
              <w:rPr>
                <w:sz w:val="17"/>
              </w:rPr>
              <w:t>Concessions revenue</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27,391 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18,658 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3,861 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49,910 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Advertising and other revenues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5,096 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4,559 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1,001 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10,656  </w:t>
            </w:r>
          </w:p>
        </w:tc>
      </w:tr>
      <w:tr>
        <w:trPr/>
        <w:tc>
          <w:tcPr>
            <w:tcW w:w="249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 xml:space="preserve">Total revenues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105,753 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84,857 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20,463 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71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211,073  </w:t>
            </w:r>
          </w:p>
        </w:tc>
      </w:tr>
      <w:tr>
        <w:trPr/>
        <w:tc>
          <w:tcPr>
            <w:tcW w:w="249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710" w:type="dxa"/>
            <w:tcBorders/>
            <w:shd w:fill="CCEEFF" w:val="clear"/>
            <w:vAlign w:val="bottom"/>
          </w:tcPr>
          <w:p>
            <w:pPr>
              <w:pStyle w:val="TableContents"/>
              <w:spacing w:before="0" w:after="1"/>
              <w:ind w:left="0" w:right="0" w:hanging="0"/>
              <w:jc w:val="right"/>
              <w:rPr/>
            </w:pPr>
            <w:r>
              <w:rPr/>
              <w:t> </w:t>
            </w:r>
          </w:p>
        </w:tc>
      </w:tr>
      <w:tr>
        <w:trPr/>
        <w:tc>
          <w:tcPr>
            <w:tcW w:w="2495" w:type="dxa"/>
            <w:tcBorders/>
            <w:shd w:fill="FFFFFF" w:val="clear"/>
            <w:vAlign w:val="bottom"/>
          </w:tcPr>
          <w:p>
            <w:pPr>
              <w:pStyle w:val="TableContents"/>
              <w:spacing w:before="0" w:after="1"/>
              <w:ind w:left="0" w:right="0" w:hanging="0"/>
              <w:jc w:val="both"/>
              <w:rPr>
                <w:sz w:val="17"/>
              </w:rPr>
            </w:pPr>
            <w:r>
              <w:rPr>
                <w:sz w:val="17"/>
              </w:rPr>
              <w:t>Cinema costs</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89,531 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63,976 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15,578 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169,085 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Concession costs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4,260 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4,009 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907 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9,176  </w:t>
            </w:r>
          </w:p>
        </w:tc>
      </w:tr>
      <w:tr>
        <w:trPr/>
        <w:tc>
          <w:tcPr>
            <w:tcW w:w="249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Total operating expense</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93,791 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67,985 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16,485 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71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178,261  </w:t>
            </w:r>
          </w:p>
        </w:tc>
      </w:tr>
      <w:tr>
        <w:trPr/>
        <w:tc>
          <w:tcPr>
            <w:tcW w:w="249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710" w:type="dxa"/>
            <w:tcBorders/>
            <w:shd w:fill="CCEEFF" w:val="clear"/>
            <w:vAlign w:val="bottom"/>
          </w:tcPr>
          <w:p>
            <w:pPr>
              <w:pStyle w:val="TableContents"/>
              <w:spacing w:before="0" w:after="1"/>
              <w:ind w:left="0" w:right="0" w:hanging="0"/>
              <w:jc w:val="right"/>
              <w:rPr/>
            </w:pPr>
            <w:r>
              <w:rPr/>
              <w:t> </w:t>
            </w:r>
          </w:p>
        </w:tc>
      </w:tr>
      <w:tr>
        <w:trPr/>
        <w:tc>
          <w:tcPr>
            <w:tcW w:w="2495" w:type="dxa"/>
            <w:tcBorders/>
            <w:shd w:fill="FFFFFF" w:val="clear"/>
            <w:vAlign w:val="bottom"/>
          </w:tcPr>
          <w:p>
            <w:pPr>
              <w:pStyle w:val="TableContents"/>
              <w:spacing w:before="0" w:after="1"/>
              <w:ind w:left="0" w:right="0" w:hanging="0"/>
              <w:jc w:val="both"/>
              <w:rPr>
                <w:sz w:val="17"/>
              </w:rPr>
            </w:pPr>
            <w:r>
              <w:rPr>
                <w:sz w:val="17"/>
              </w:rPr>
              <w:t>Depreciation and amortization</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6,556 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2,969 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1,034 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10,559  </w:t>
            </w:r>
          </w:p>
        </w:tc>
      </w:tr>
      <w:tr>
        <w:trPr/>
        <w:tc>
          <w:tcPr>
            <w:tcW w:w="24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General and administrative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2,040 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840 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2,880  </w:t>
            </w:r>
          </w:p>
        </w:tc>
      </w:tr>
      <w:tr>
        <w:trPr/>
        <w:tc>
          <w:tcPr>
            <w:tcW w:w="24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Segment operating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3,366 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13,063 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2,944 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19,373 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Cinema Results for 2012 Compared to 2011</w:t>
      </w:r>
      <w:r>
        <w:rPr>
          <w:sz w:val="17"/>
        </w:rPr>
        <w:t xml:space="preserve"> </w:t>
      </w:r>
    </w:p>
    <w:tbl>
      <w:tblPr>
        <w:tblW w:w="8765" w:type="dxa"/>
        <w:jc w:val="left"/>
        <w:tblInd w:w="1440" w:type="dxa"/>
        <w:tblCellMar>
          <w:top w:w="0" w:type="dxa"/>
          <w:left w:w="0" w:type="dxa"/>
          <w:bottom w:w="0" w:type="dxa"/>
          <w:right w:w="0" w:type="dxa"/>
        </w:tblCellMar>
      </w:tblPr>
      <w:tblGrid>
        <w:gridCol w:w="146"/>
        <w:gridCol w:w="8619"/>
      </w:tblGrid>
      <w:tr>
        <w:trPr/>
        <w:tc>
          <w:tcPr>
            <w:tcW w:w="14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9" w:type="dxa"/>
            <w:tcBorders/>
            <w:shd w:fill="auto" w:val="clear"/>
          </w:tcPr>
          <w:p>
            <w:pPr>
              <w:pStyle w:val="TableContents"/>
              <w:pBdr/>
              <w:spacing w:before="0" w:after="283"/>
              <w:jc w:val="both"/>
              <w:rPr>
                <w:sz w:val="17"/>
              </w:rPr>
            </w:pPr>
            <w:r>
              <w:rPr>
                <w:sz w:val="17"/>
              </w:rPr>
              <w:t>Cinema revenue increased in 2012 by $8.9 million or 3.9% compared to 2011.  The geographic activity of our revenue can be summarized as follows:</w:t>
            </w:r>
          </w:p>
        </w:tc>
      </w:tr>
    </w:tbl>
    <w:tbl>
      <w:tblPr>
        <w:tblW w:w="8765" w:type="dxa"/>
        <w:jc w:val="left"/>
        <w:tblInd w:w="1440" w:type="dxa"/>
        <w:tblCellMar>
          <w:top w:w="0" w:type="dxa"/>
          <w:left w:w="0" w:type="dxa"/>
          <w:bottom w:w="0" w:type="dxa"/>
          <w:right w:w="0" w:type="dxa"/>
        </w:tblCellMar>
      </w:tblPr>
      <w:tblGrid>
        <w:gridCol w:w="153"/>
        <w:gridCol w:w="8612"/>
      </w:tblGrid>
      <w:tr>
        <w:trPr/>
        <w:tc>
          <w:tcPr>
            <w:tcW w:w="153"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2" w:type="dxa"/>
            <w:tcBorders/>
            <w:shd w:fill="auto" w:val="clear"/>
          </w:tcPr>
          <w:p>
            <w:pPr>
              <w:pStyle w:val="TableContents"/>
              <w:pBdr/>
              <w:jc w:val="both"/>
              <w:rPr>
                <w:sz w:val="17"/>
              </w:rPr>
            </w:pPr>
            <w:r>
              <w:rPr>
                <w:sz w:val="17"/>
              </w:rPr>
              <w:t xml:space="preserve">United States - Revenue in the United States increased by $9.6 million or 9.0%.  This increase in revenue was predominately attributable to a 722,000 person increase in box office admissions and a commensurate increase in admissions and concessions revenue primarily from our 2011 acquisition of the CalOaks cinema in Murrieta, California and from our newly opened AFC </w:t>
            </w:r>
          </w:p>
          <w:p>
            <w:pPr>
              <w:pStyle w:val="TableContents"/>
              <w:spacing w:before="0" w:after="200"/>
              <w:ind w:left="0" w:right="0" w:hanging="0"/>
              <w:jc w:val="both"/>
              <w:rPr/>
            </w:pPr>
            <w:r>
              <w:rPr/>
              <w:t xml:space="preserve">  </w:t>
            </w:r>
          </w:p>
          <w:p>
            <w:pPr>
              <w:pStyle w:val="TableContents"/>
              <w:spacing w:before="0" w:after="0"/>
              <w:ind w:left="0" w:right="0" w:hanging="0"/>
              <w:jc w:val="center"/>
              <w:rPr>
                <w:sz w:val="17"/>
              </w:rPr>
            </w:pPr>
            <w:r>
              <w:rPr>
                <w:sz w:val="17"/>
              </w:rPr>
              <w:t xml:space="preserve">38 </w:t>
            </w:r>
          </w:p>
          <w:p>
            <w:pPr>
              <w:pStyle w:val="TableContents"/>
              <w:spacing w:before="0" w:after="0"/>
              <w:ind w:left="0" w:right="0" w:hanging="0"/>
              <w:jc w:val="both"/>
              <w:rPr/>
            </w:pPr>
            <w:r>
              <w:rPr/>
              <w:t xml:space="preserve">  </w:t>
            </w:r>
          </w:p>
          <w:p>
            <w:pPr>
              <w:pStyle w:val="HorizontalLine"/>
              <w:pBdr>
                <w:bottom w:val="double" w:sz="6" w:space="0" w:color="808080"/>
              </w:pBdr>
              <w:jc w:val="left"/>
              <w:rPr/>
            </w:pPr>
            <w:r>
              <w:rPr/>
            </w:r>
          </w:p>
          <w:p>
            <w:pPr>
              <w:pStyle w:val="TableContents"/>
              <w:jc w:val="left"/>
              <w:rPr/>
            </w:pPr>
            <w:r>
              <w:rPr/>
              <w:t> </w:t>
            </w:r>
          </w:p>
          <w:p>
            <w:pPr>
              <w:pStyle w:val="TableContents"/>
              <w:pBdr/>
              <w:spacing w:before="0" w:after="0"/>
              <w:ind w:left="720" w:right="0" w:hanging="0"/>
              <w:jc w:val="both"/>
              <w:rPr>
                <w:sz w:val="17"/>
              </w:rPr>
            </w:pPr>
            <w:r>
              <w:rPr>
                <w:sz w:val="17"/>
              </w:rPr>
              <w:t>Mosaic cinema in the greater Washington D.C. metropolitan area; offset by, a 0.7% decrease in the average ticket price.</w:t>
            </w:r>
          </w:p>
        </w:tc>
      </w:tr>
    </w:tbl>
    <w:tbl>
      <w:tblPr>
        <w:tblW w:w="8765" w:type="dxa"/>
        <w:jc w:val="left"/>
        <w:tblInd w:w="1440" w:type="dxa"/>
        <w:tblCellMar>
          <w:top w:w="0" w:type="dxa"/>
          <w:left w:w="0" w:type="dxa"/>
          <w:bottom w:w="0" w:type="dxa"/>
          <w:right w:w="0" w:type="dxa"/>
        </w:tblCellMar>
      </w:tblPr>
      <w:tblGrid>
        <w:gridCol w:w="149"/>
        <w:gridCol w:w="8616"/>
      </w:tblGrid>
      <w:tr>
        <w:trPr/>
        <w:tc>
          <w:tcPr>
            <w:tcW w:w="149"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6" w:type="dxa"/>
            <w:tcBorders/>
            <w:shd w:fill="auto" w:val="clear"/>
          </w:tcPr>
          <w:p>
            <w:pPr>
              <w:pStyle w:val="TableContents"/>
              <w:pBdr/>
              <w:spacing w:before="0" w:after="283"/>
              <w:jc w:val="both"/>
              <w:rPr>
                <w:sz w:val="17"/>
              </w:rPr>
            </w:pPr>
            <w:r>
              <w:rPr>
                <w:sz w:val="17"/>
              </w:rPr>
              <w:t>Australia - Revenue in Australia decreased by $3.0 million or 3.0%.  This decrease in revenue was primarily related to a 91,000 person decrease in box office admissions coupled with a 3.9% decrease in the average ticket price resulting from a more competitive ticket pricing model.  This decrease included the temporary closure of a cinema in Australia due to renovations during the second quarter.  As noted below, there was only a nominal change in the Australian dollar compared to the U.S. dollar for the comparable periods. (see below).</w:t>
            </w:r>
          </w:p>
        </w:tc>
      </w:tr>
    </w:tbl>
    <w:tbl>
      <w:tblPr>
        <w:tblW w:w="8765" w:type="dxa"/>
        <w:jc w:val="left"/>
        <w:tblInd w:w="1440" w:type="dxa"/>
        <w:tblCellMar>
          <w:top w:w="0" w:type="dxa"/>
          <w:left w:w="0" w:type="dxa"/>
          <w:bottom w:w="0" w:type="dxa"/>
          <w:right w:w="0" w:type="dxa"/>
        </w:tblCellMar>
      </w:tblPr>
      <w:tblGrid>
        <w:gridCol w:w="148"/>
        <w:gridCol w:w="8617"/>
      </w:tblGrid>
      <w:tr>
        <w:trPr/>
        <w:tc>
          <w:tcPr>
            <w:tcW w:w="148"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7" w:type="dxa"/>
            <w:tcBorders/>
            <w:shd w:fill="auto" w:val="clear"/>
          </w:tcPr>
          <w:p>
            <w:pPr>
              <w:pStyle w:val="TableContents"/>
              <w:pBdr/>
              <w:spacing w:before="0" w:after="283"/>
              <w:jc w:val="both"/>
              <w:rPr>
                <w:sz w:val="17"/>
              </w:rPr>
            </w:pPr>
            <w:r>
              <w:rPr>
                <w:sz w:val="17"/>
              </w:rPr>
              <w:t>New Zealand - Revenue in New Zealand increased by $2.2 million or 13.3%.  This increase in revenue was predominately attributable to a year over year 236,000 person increase in admissions; offset by, a decrease in the average ticket price of 7.6% resulting from a more competitive ticket pricing model.  The increase in New Zealand admissions was primarily as a result of the reopening of an earthquake damaged New Zealand multiplex in early January 2012.  This increase in revenue was somewhat enhanced by an increase in the value of the New Zealand dollar compared to the U.S. dollar (see below).</w:t>
            </w:r>
          </w:p>
        </w:tc>
      </w:tr>
    </w:tbl>
    <w:tbl>
      <w:tblPr>
        <w:tblW w:w="8765" w:type="dxa"/>
        <w:jc w:val="left"/>
        <w:tblInd w:w="1440" w:type="dxa"/>
        <w:tblCellMar>
          <w:top w:w="0" w:type="dxa"/>
          <w:left w:w="0" w:type="dxa"/>
          <w:bottom w:w="0" w:type="dxa"/>
          <w:right w:w="0" w:type="dxa"/>
        </w:tblCellMar>
      </w:tblPr>
      <w:tblGrid>
        <w:gridCol w:w="139"/>
        <w:gridCol w:w="8626"/>
      </w:tblGrid>
      <w:tr>
        <w:trPr/>
        <w:tc>
          <w:tcPr>
            <w:tcW w:w="13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6" w:type="dxa"/>
            <w:tcBorders/>
            <w:shd w:fill="auto" w:val="clear"/>
          </w:tcPr>
          <w:p>
            <w:pPr>
              <w:pStyle w:val="TableContents"/>
              <w:pBdr/>
              <w:spacing w:before="0" w:after="283"/>
              <w:jc w:val="both"/>
              <w:rPr>
                <w:sz w:val="17"/>
              </w:rPr>
            </w:pPr>
            <w:r>
              <w:rPr>
                <w:sz w:val="17"/>
              </w:rPr>
              <w:t xml:space="preserve">Operating expense increased in 2012 by $8.4 million or 4.4% compared to 2011.  Year over year operating expense increased only slightly in relation to revenue from 84.0% to 84.4%. </w:t>
            </w:r>
          </w:p>
        </w:tc>
      </w:tr>
    </w:tbl>
    <w:tbl>
      <w:tblPr>
        <w:tblW w:w="8765" w:type="dxa"/>
        <w:jc w:val="left"/>
        <w:tblInd w:w="1440" w:type="dxa"/>
        <w:tblCellMar>
          <w:top w:w="0" w:type="dxa"/>
          <w:left w:w="0" w:type="dxa"/>
          <w:bottom w:w="0" w:type="dxa"/>
          <w:right w:w="0" w:type="dxa"/>
        </w:tblCellMar>
      </w:tblPr>
      <w:tblGrid>
        <w:gridCol w:w="167"/>
        <w:gridCol w:w="8598"/>
      </w:tblGrid>
      <w:tr>
        <w:trPr/>
        <w:tc>
          <w:tcPr>
            <w:tcW w:w="167"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98" w:type="dxa"/>
            <w:tcBorders/>
            <w:shd w:fill="auto" w:val="clear"/>
          </w:tcPr>
          <w:p>
            <w:pPr>
              <w:pStyle w:val="TableContents"/>
              <w:pBdr/>
              <w:spacing w:before="0" w:after="283"/>
              <w:jc w:val="both"/>
              <w:rPr>
                <w:sz w:val="17"/>
              </w:rPr>
            </w:pPr>
            <w:r>
              <w:rPr>
                <w:sz w:val="17"/>
              </w:rPr>
              <w:t>United States - Operating expense in the United States increased by $7.8 million or 8.3% primarily related to the operating activity of the aforementioned newly acquired and opened cinemas.</w:t>
            </w:r>
          </w:p>
        </w:tc>
      </w:tr>
    </w:tbl>
    <w:tbl>
      <w:tblPr>
        <w:tblW w:w="8765" w:type="dxa"/>
        <w:jc w:val="left"/>
        <w:tblInd w:w="1440" w:type="dxa"/>
        <w:tblCellMar>
          <w:top w:w="0" w:type="dxa"/>
          <w:left w:w="0" w:type="dxa"/>
          <w:bottom w:w="0" w:type="dxa"/>
          <w:right w:w="0" w:type="dxa"/>
        </w:tblCellMar>
      </w:tblPr>
      <w:tblGrid>
        <w:gridCol w:w="155"/>
        <w:gridCol w:w="8610"/>
      </w:tblGrid>
      <w:tr>
        <w:trPr/>
        <w:tc>
          <w:tcPr>
            <w:tcW w:w="15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0" w:type="dxa"/>
            <w:tcBorders/>
            <w:shd w:fill="auto" w:val="clear"/>
          </w:tcPr>
          <w:p>
            <w:pPr>
              <w:pStyle w:val="TableContents"/>
              <w:pBdr/>
              <w:spacing w:before="0" w:after="283"/>
              <w:jc w:val="both"/>
              <w:rPr>
                <w:sz w:val="17"/>
              </w:rPr>
            </w:pPr>
            <w:r>
              <w:rPr>
                <w:sz w:val="17"/>
              </w:rPr>
              <w:t>Australia - Operating expense in Australia decreased by $616,000 or 0.8%.  This decrease was in line with the above-mentioned decrease in cinema revenue which directly affects film rental costs; offset by, the year over year nominal increase in the value of the Australian dollar compared to the U.S. dollar (see below).</w:t>
            </w:r>
          </w:p>
        </w:tc>
      </w:tr>
    </w:tbl>
    <w:tbl>
      <w:tblPr>
        <w:tblW w:w="8765" w:type="dxa"/>
        <w:jc w:val="left"/>
        <w:tblInd w:w="1440" w:type="dxa"/>
        <w:tblCellMar>
          <w:top w:w="0" w:type="dxa"/>
          <w:left w:w="0" w:type="dxa"/>
          <w:bottom w:w="0" w:type="dxa"/>
          <w:right w:w="0" w:type="dxa"/>
        </w:tblCellMar>
      </w:tblPr>
      <w:tblGrid>
        <w:gridCol w:w="154"/>
        <w:gridCol w:w="8611"/>
      </w:tblGrid>
      <w:tr>
        <w:trPr/>
        <w:tc>
          <w:tcPr>
            <w:tcW w:w="154"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1" w:type="dxa"/>
            <w:tcBorders/>
            <w:shd w:fill="auto" w:val="clear"/>
          </w:tcPr>
          <w:p>
            <w:pPr>
              <w:pStyle w:val="TableContents"/>
              <w:pBdr/>
              <w:spacing w:before="0" w:after="283"/>
              <w:jc w:val="both"/>
              <w:rPr>
                <w:sz w:val="17"/>
              </w:rPr>
            </w:pPr>
            <w:r>
              <w:rPr>
                <w:sz w:val="17"/>
              </w:rPr>
              <w:t>New Zealand - Operating expense in New Zealand increased by $1.2 million or 7.8%.  This increase was in line with the above-mentioned increase in cinema revenue which directly affects film rental costs and with the above-mentioned year over year increase in the value of the New Zealand dollar compared to the U.S. dollar (see below).</w:t>
            </w:r>
          </w:p>
        </w:tc>
      </w:tr>
    </w:tbl>
    <w:tbl>
      <w:tblPr>
        <w:tblW w:w="8765" w:type="dxa"/>
        <w:jc w:val="left"/>
        <w:tblInd w:w="1440" w:type="dxa"/>
        <w:tblCellMar>
          <w:top w:w="0" w:type="dxa"/>
          <w:left w:w="0" w:type="dxa"/>
          <w:bottom w:w="0" w:type="dxa"/>
          <w:right w:w="0" w:type="dxa"/>
        </w:tblCellMar>
      </w:tblPr>
      <w:tblGrid>
        <w:gridCol w:w="137"/>
        <w:gridCol w:w="8628"/>
      </w:tblGrid>
      <w:tr>
        <w:trPr/>
        <w:tc>
          <w:tcPr>
            <w:tcW w:w="13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8" w:type="dxa"/>
            <w:tcBorders/>
            <w:shd w:fill="auto" w:val="clear"/>
          </w:tcPr>
          <w:p>
            <w:pPr>
              <w:pStyle w:val="TableContents"/>
              <w:pBdr/>
              <w:spacing w:before="0" w:after="283"/>
              <w:jc w:val="both"/>
              <w:rPr>
                <w:sz w:val="17"/>
              </w:rPr>
            </w:pPr>
            <w:r>
              <w:rPr>
                <w:sz w:val="17"/>
              </w:rPr>
              <w:t xml:space="preserve">Depreciation expense decreased in 2012 by $688,000 or 5.8% compared to 2011.  This decrease was primarily related to several of our cinema assets reaching the end of their depreciable lives. </w:t>
            </w:r>
          </w:p>
        </w:tc>
      </w:tr>
    </w:tbl>
    <w:tbl>
      <w:tblPr>
        <w:tblW w:w="8765" w:type="dxa"/>
        <w:jc w:val="left"/>
        <w:tblInd w:w="1440" w:type="dxa"/>
        <w:tblCellMar>
          <w:top w:w="0" w:type="dxa"/>
          <w:left w:w="0" w:type="dxa"/>
          <w:bottom w:w="0" w:type="dxa"/>
          <w:right w:w="0" w:type="dxa"/>
        </w:tblCellMar>
      </w:tblPr>
      <w:tblGrid>
        <w:gridCol w:w="129"/>
        <w:gridCol w:w="8636"/>
      </w:tblGrid>
      <w:tr>
        <w:trPr/>
        <w:tc>
          <w:tcPr>
            <w:tcW w:w="12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6" w:type="dxa"/>
            <w:tcBorders/>
            <w:shd w:fill="auto" w:val="clear"/>
          </w:tcPr>
          <w:p>
            <w:pPr>
              <w:pStyle w:val="TableContents"/>
              <w:pBdr/>
              <w:spacing w:before="0" w:after="283"/>
              <w:jc w:val="both"/>
              <w:rPr>
                <w:sz w:val="17"/>
              </w:rPr>
            </w:pPr>
            <w:r>
              <w:rPr>
                <w:sz w:val="17"/>
              </w:rPr>
              <w:t>General and administrative expense decreased in 2012 by $142,000 or 5.2% compared to 2011.  This decrease was primarily related to a write off of certain cinema assets in New Zealand and higher bonus accrual costs in 2011 neither of which reoccurred in 2012.</w:t>
            </w:r>
          </w:p>
        </w:tc>
      </w:tr>
    </w:tbl>
    <w:tbl>
      <w:tblPr>
        <w:tblW w:w="8765" w:type="dxa"/>
        <w:jc w:val="left"/>
        <w:tblInd w:w="1440" w:type="dxa"/>
        <w:tblCellMar>
          <w:top w:w="0" w:type="dxa"/>
          <w:left w:w="0" w:type="dxa"/>
          <w:bottom w:w="0" w:type="dxa"/>
          <w:right w:w="0" w:type="dxa"/>
        </w:tblCellMar>
      </w:tblPr>
      <w:tblGrid>
        <w:gridCol w:w="137"/>
        <w:gridCol w:w="8628"/>
      </w:tblGrid>
      <w:tr>
        <w:trPr/>
        <w:tc>
          <w:tcPr>
            <w:tcW w:w="13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8" w:type="dxa"/>
            <w:tcBorders/>
            <w:shd w:fill="auto" w:val="clear"/>
          </w:tcPr>
          <w:p>
            <w:pPr>
              <w:pStyle w:val="TableContents"/>
              <w:pBdr/>
              <w:spacing w:before="0" w:after="283"/>
              <w:jc w:val="both"/>
              <w:rPr>
                <w:sz w:val="17"/>
              </w:rPr>
            </w:pPr>
            <w:r>
              <w:rPr>
                <w:sz w:val="17"/>
              </w:rPr>
              <w:t>Australian and New Zealand monthly average exchange rates for 2012 increased by 0.3% and 2.4%, respectively, from those in 2011, which had an overall positive impact on the income statement.</w:t>
            </w:r>
          </w:p>
        </w:tc>
      </w:tr>
    </w:tbl>
    <w:tbl>
      <w:tblPr>
        <w:tblW w:w="8765" w:type="dxa"/>
        <w:jc w:val="left"/>
        <w:tblInd w:w="1440" w:type="dxa"/>
        <w:tblCellMar>
          <w:top w:w="0" w:type="dxa"/>
          <w:left w:w="0" w:type="dxa"/>
          <w:bottom w:w="0" w:type="dxa"/>
          <w:right w:w="0" w:type="dxa"/>
        </w:tblCellMar>
      </w:tblPr>
      <w:tblGrid>
        <w:gridCol w:w="134"/>
        <w:gridCol w:w="8631"/>
      </w:tblGrid>
      <w:tr>
        <w:trPr/>
        <w:tc>
          <w:tcPr>
            <w:tcW w:w="13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1" w:type="dxa"/>
            <w:tcBorders/>
            <w:shd w:fill="auto" w:val="clear"/>
          </w:tcPr>
          <w:p>
            <w:pPr>
              <w:pStyle w:val="TableContents"/>
              <w:pBdr/>
              <w:spacing w:before="0" w:after="283"/>
              <w:jc w:val="both"/>
              <w:rPr>
                <w:sz w:val="17"/>
              </w:rPr>
            </w:pPr>
            <w:r>
              <w:rPr>
                <w:sz w:val="17"/>
              </w:rPr>
              <w:t>As a result, cinema exhibition segment operating income increased in 2012 by $1.3 million compared to 2011 primarily from the aforementioned increase in revenue from our U.S. and New Zealand cinema operations.</w:t>
            </w:r>
          </w:p>
        </w:tc>
      </w:tr>
    </w:tbl>
    <w:p>
      <w:pPr>
        <w:pStyle w:val="TextBody"/>
        <w:spacing w:before="200" w:after="200"/>
        <w:ind w:left="1440" w:right="0" w:hanging="0"/>
        <w:jc w:val="both"/>
        <w:rPr>
          <w:sz w:val="17"/>
        </w:rPr>
      </w:pPr>
      <w:r>
        <w:rPr>
          <w:sz w:val="17"/>
          <w:u w:val="single"/>
        </w:rPr>
        <w:t>Cinema Results for 2011 Compared to 2010</w:t>
      </w:r>
      <w:r>
        <w:rPr>
          <w:sz w:val="17"/>
        </w:rPr>
        <w:t xml:space="preserve"> </w:t>
      </w:r>
    </w:p>
    <w:tbl>
      <w:tblPr>
        <w:tblW w:w="8765" w:type="dxa"/>
        <w:jc w:val="left"/>
        <w:tblInd w:w="1440" w:type="dxa"/>
        <w:tblCellMar>
          <w:top w:w="0" w:type="dxa"/>
          <w:left w:w="0" w:type="dxa"/>
          <w:bottom w:w="0" w:type="dxa"/>
          <w:right w:w="0" w:type="dxa"/>
        </w:tblCellMar>
      </w:tblPr>
      <w:tblGrid>
        <w:gridCol w:w="145"/>
        <w:gridCol w:w="8620"/>
      </w:tblGrid>
      <w:tr>
        <w:trPr/>
        <w:tc>
          <w:tcPr>
            <w:tcW w:w="14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0" w:type="dxa"/>
            <w:tcBorders/>
            <w:shd w:fill="auto" w:val="clear"/>
          </w:tcPr>
          <w:p>
            <w:pPr>
              <w:pStyle w:val="TableContents"/>
              <w:pBdr/>
              <w:spacing w:before="0" w:after="283"/>
              <w:jc w:val="both"/>
              <w:rPr>
                <w:sz w:val="17"/>
              </w:rPr>
            </w:pPr>
            <w:r>
              <w:rPr>
                <w:sz w:val="17"/>
              </w:rPr>
              <w:t>Cinema revenue increased in 2011 by $14.8 million or 7.0% compared to 2010.  The geographic activity of our revenue can be summarized as follows:</w:t>
            </w:r>
          </w:p>
        </w:tc>
      </w:tr>
    </w:tbl>
    <w:tbl>
      <w:tblPr>
        <w:tblW w:w="8765" w:type="dxa"/>
        <w:jc w:val="left"/>
        <w:tblInd w:w="1440" w:type="dxa"/>
        <w:tblCellMar>
          <w:top w:w="0" w:type="dxa"/>
          <w:left w:w="0" w:type="dxa"/>
          <w:bottom w:w="0" w:type="dxa"/>
          <w:right w:w="0" w:type="dxa"/>
        </w:tblCellMar>
      </w:tblPr>
      <w:tblGrid>
        <w:gridCol w:w="151"/>
        <w:gridCol w:w="8614"/>
      </w:tblGrid>
      <w:tr>
        <w:trPr/>
        <w:tc>
          <w:tcPr>
            <w:tcW w:w="151"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4" w:type="dxa"/>
            <w:tcBorders/>
            <w:shd w:fill="auto" w:val="clear"/>
          </w:tcPr>
          <w:p>
            <w:pPr>
              <w:pStyle w:val="TableContents"/>
              <w:pBdr/>
              <w:spacing w:before="0" w:after="283"/>
              <w:jc w:val="both"/>
              <w:rPr>
                <w:sz w:val="17"/>
              </w:rPr>
            </w:pPr>
            <w:r>
              <w:rPr>
                <w:sz w:val="17"/>
              </w:rPr>
              <w:t>United States - Revenue in the United States increased by $1.0 million or 1.0%.  This increase in revenue was predominately attributable to an increase in concessions and other cinema revenue in part from our newly acquired cinema in Murrieta, California; offset by, a decrease in our admissions revenue which was primarily affected by a 1.3% decrease in the average ticket price coupled with a relatively flat number of box office admissions.</w:t>
            </w:r>
          </w:p>
        </w:tc>
      </w:tr>
    </w:tbl>
    <w:tbl>
      <w:tblPr>
        <w:tblW w:w="8765" w:type="dxa"/>
        <w:jc w:val="left"/>
        <w:tblInd w:w="1440" w:type="dxa"/>
        <w:tblCellMar>
          <w:top w:w="0" w:type="dxa"/>
          <w:left w:w="0" w:type="dxa"/>
          <w:bottom w:w="0" w:type="dxa"/>
          <w:right w:w="0" w:type="dxa"/>
        </w:tblCellMar>
      </w:tblPr>
      <w:tblGrid>
        <w:gridCol w:w="150"/>
        <w:gridCol w:w="8615"/>
      </w:tblGrid>
      <w:tr>
        <w:trPr/>
        <w:tc>
          <w:tcPr>
            <w:tcW w:w="150"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5" w:type="dxa"/>
            <w:tcBorders/>
            <w:shd w:fill="auto" w:val="clear"/>
          </w:tcPr>
          <w:p>
            <w:pPr>
              <w:pStyle w:val="TableContents"/>
              <w:pBdr/>
              <w:spacing w:before="0" w:after="283"/>
              <w:jc w:val="both"/>
              <w:rPr>
                <w:sz w:val="17"/>
              </w:rPr>
            </w:pPr>
            <w:r>
              <w:rPr>
                <w:sz w:val="17"/>
              </w:rPr>
              <w:t>Australia - Revenue in Australia increased by $17.4 million or 20.5%.  This increase in revenue was predominately attributable to the opening of a new cinema in October 2010, a year over year increase in the average ticket price of 3.1%, a small increase in admissions of 83,000, and an increase in the value of the Australian dollar compared to the U.S. dollar.  This change in currency value translated to higher Australian revenue for 2011 compared to 2010 (see below).</w:t>
            </w:r>
          </w:p>
        </w:tc>
      </w:tr>
    </w:tbl>
    <w:tbl>
      <w:tblPr>
        <w:tblW w:w="8765" w:type="dxa"/>
        <w:jc w:val="left"/>
        <w:tblInd w:w="1440" w:type="dxa"/>
        <w:tblCellMar>
          <w:top w:w="0" w:type="dxa"/>
          <w:left w:w="0" w:type="dxa"/>
          <w:bottom w:w="0" w:type="dxa"/>
          <w:right w:w="0" w:type="dxa"/>
        </w:tblCellMar>
      </w:tblPr>
      <w:tblGrid>
        <w:gridCol w:w="153"/>
        <w:gridCol w:w="8612"/>
      </w:tblGrid>
      <w:tr>
        <w:trPr/>
        <w:tc>
          <w:tcPr>
            <w:tcW w:w="153"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2" w:type="dxa"/>
            <w:tcBorders/>
            <w:shd w:fill="auto" w:val="clear"/>
          </w:tcPr>
          <w:p>
            <w:pPr>
              <w:pStyle w:val="TableContents"/>
              <w:pBdr/>
              <w:jc w:val="both"/>
              <w:rPr>
                <w:sz w:val="17"/>
              </w:rPr>
            </w:pPr>
            <w:r>
              <w:rPr>
                <w:sz w:val="17"/>
              </w:rPr>
              <w:t xml:space="preserve">New Zealand - Revenue in New Zealand decreased by $3.6 million or 17.6%.  This decrease in revenue was predominately attributable to a year over year decrease in the average ticket price of 2.2% and a 463,000 decrease in admissions due to poor film product being delivered to the country as a whole.  The decrease in admissions was in large part affected by poorer film product </w:t>
            </w:r>
          </w:p>
          <w:p>
            <w:pPr>
              <w:pStyle w:val="TableContents"/>
              <w:spacing w:before="0" w:after="200"/>
              <w:ind w:left="0" w:right="0" w:hanging="0"/>
              <w:jc w:val="both"/>
              <w:rPr/>
            </w:pPr>
            <w:r>
              <w:rPr/>
              <w:t xml:space="preserve">  </w:t>
            </w:r>
          </w:p>
          <w:p>
            <w:pPr>
              <w:pStyle w:val="TableContents"/>
              <w:spacing w:before="0" w:after="0"/>
              <w:ind w:left="0" w:right="0" w:hanging="0"/>
              <w:jc w:val="center"/>
              <w:rPr>
                <w:sz w:val="17"/>
              </w:rPr>
            </w:pPr>
            <w:r>
              <w:rPr>
                <w:sz w:val="17"/>
              </w:rPr>
              <w:t xml:space="preserve">39 </w:t>
            </w:r>
          </w:p>
          <w:p>
            <w:pPr>
              <w:pStyle w:val="TableContents"/>
              <w:spacing w:before="0" w:after="0"/>
              <w:ind w:left="0" w:right="0" w:hanging="0"/>
              <w:jc w:val="both"/>
              <w:rPr/>
            </w:pPr>
            <w:r>
              <w:rPr/>
              <w:t xml:space="preserve">  </w:t>
            </w:r>
          </w:p>
          <w:p>
            <w:pPr>
              <w:pStyle w:val="HorizontalLine"/>
              <w:pBdr>
                <w:bottom w:val="double" w:sz="6" w:space="0" w:color="808080"/>
              </w:pBdr>
              <w:jc w:val="left"/>
              <w:rPr/>
            </w:pPr>
            <w:r>
              <w:rPr/>
            </w:r>
          </w:p>
          <w:p>
            <w:pPr>
              <w:pStyle w:val="TableContents"/>
              <w:jc w:val="left"/>
              <w:rPr/>
            </w:pPr>
            <w:r>
              <w:rPr/>
              <w:t> </w:t>
            </w:r>
          </w:p>
          <w:p>
            <w:pPr>
              <w:pStyle w:val="TableContents"/>
              <w:pBdr/>
              <w:spacing w:before="0" w:after="0"/>
              <w:ind w:left="720" w:right="0" w:hanging="0"/>
              <w:jc w:val="both"/>
              <w:rPr>
                <w:sz w:val="17"/>
              </w:rPr>
            </w:pPr>
            <w:r>
              <w:rPr>
                <w:sz w:val="17"/>
              </w:rPr>
              <w:t>offered throughout the country as a result of the rugby world cup being held in New Zealand during 2011.  This decrease in revenue was somewhat offset by an increase in the value of the New Zealand dollar compared to the U.S. dollar (see below).</w:t>
            </w:r>
          </w:p>
        </w:tc>
      </w:tr>
    </w:tbl>
    <w:tbl>
      <w:tblPr>
        <w:tblW w:w="8765" w:type="dxa"/>
        <w:jc w:val="left"/>
        <w:tblInd w:w="1440" w:type="dxa"/>
        <w:tblCellMar>
          <w:top w:w="0" w:type="dxa"/>
          <w:left w:w="0" w:type="dxa"/>
          <w:bottom w:w="0" w:type="dxa"/>
          <w:right w:w="0" w:type="dxa"/>
        </w:tblCellMar>
      </w:tblPr>
      <w:tblGrid>
        <w:gridCol w:w="141"/>
        <w:gridCol w:w="8624"/>
      </w:tblGrid>
      <w:tr>
        <w:trPr/>
        <w:tc>
          <w:tcPr>
            <w:tcW w:w="141"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4" w:type="dxa"/>
            <w:tcBorders/>
            <w:shd w:fill="auto" w:val="clear"/>
          </w:tcPr>
          <w:p>
            <w:pPr>
              <w:pStyle w:val="TableContents"/>
              <w:pBdr/>
              <w:spacing w:before="0" w:after="283"/>
              <w:jc w:val="both"/>
              <w:rPr>
                <w:sz w:val="17"/>
              </w:rPr>
            </w:pPr>
            <w:r>
              <w:rPr>
                <w:sz w:val="17"/>
              </w:rPr>
              <w:t xml:space="preserve">Operating expense increased in 2011 by $11.4 million or 6.4% compared to 2010.  Year over year operating expense decreased in relation to revenue from 84.5% to 84.0%. </w:t>
            </w:r>
          </w:p>
        </w:tc>
      </w:tr>
    </w:tbl>
    <w:tbl>
      <w:tblPr>
        <w:tblW w:w="8765" w:type="dxa"/>
        <w:jc w:val="left"/>
        <w:tblInd w:w="1440" w:type="dxa"/>
        <w:tblCellMar>
          <w:top w:w="0" w:type="dxa"/>
          <w:left w:w="0" w:type="dxa"/>
          <w:bottom w:w="0" w:type="dxa"/>
          <w:right w:w="0" w:type="dxa"/>
        </w:tblCellMar>
      </w:tblPr>
      <w:tblGrid>
        <w:gridCol w:w="173"/>
        <w:gridCol w:w="8592"/>
      </w:tblGrid>
      <w:tr>
        <w:trPr/>
        <w:tc>
          <w:tcPr>
            <w:tcW w:w="173"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92" w:type="dxa"/>
            <w:tcBorders/>
            <w:shd w:fill="auto" w:val="clear"/>
          </w:tcPr>
          <w:p>
            <w:pPr>
              <w:pStyle w:val="TableContents"/>
              <w:pBdr/>
              <w:spacing w:before="0" w:after="283"/>
              <w:jc w:val="both"/>
              <w:rPr>
                <w:sz w:val="17"/>
              </w:rPr>
            </w:pPr>
            <w:r>
              <w:rPr>
                <w:sz w:val="17"/>
              </w:rPr>
              <w:t>United States - Operating expense in the United States increased by $272,000 or 0.3% primarily due to higher utility costs associated with our Hawaiian cinemas.</w:t>
            </w:r>
          </w:p>
        </w:tc>
      </w:tr>
    </w:tbl>
    <w:tbl>
      <w:tblPr>
        <w:tblW w:w="8765" w:type="dxa"/>
        <w:jc w:val="left"/>
        <w:tblInd w:w="1440" w:type="dxa"/>
        <w:tblCellMar>
          <w:top w:w="0" w:type="dxa"/>
          <w:left w:w="0" w:type="dxa"/>
          <w:bottom w:w="0" w:type="dxa"/>
          <w:right w:w="0" w:type="dxa"/>
        </w:tblCellMar>
      </w:tblPr>
      <w:tblGrid>
        <w:gridCol w:w="156"/>
        <w:gridCol w:w="8609"/>
      </w:tblGrid>
      <w:tr>
        <w:trPr/>
        <w:tc>
          <w:tcPr>
            <w:tcW w:w="156"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09" w:type="dxa"/>
            <w:tcBorders/>
            <w:shd w:fill="auto" w:val="clear"/>
          </w:tcPr>
          <w:p>
            <w:pPr>
              <w:pStyle w:val="TableContents"/>
              <w:pBdr/>
              <w:spacing w:before="0" w:after="283"/>
              <w:jc w:val="both"/>
              <w:rPr>
                <w:sz w:val="17"/>
              </w:rPr>
            </w:pPr>
            <w:r>
              <w:rPr>
                <w:sz w:val="17"/>
              </w:rPr>
              <w:t>Australia - Operating expense in Australia increased by $12.7 million or 18.8%.  This increase was in line with the above-mentioned increase in cinema revenue which directly affects film rental costs and with the year over year increase in the value of the Australian dollar compared to the U.S. dollar (see below).</w:t>
            </w:r>
          </w:p>
        </w:tc>
      </w:tr>
    </w:tbl>
    <w:tbl>
      <w:tblPr>
        <w:tblW w:w="8765" w:type="dxa"/>
        <w:jc w:val="left"/>
        <w:tblInd w:w="1440" w:type="dxa"/>
        <w:tblCellMar>
          <w:top w:w="0" w:type="dxa"/>
          <w:left w:w="0" w:type="dxa"/>
          <w:bottom w:w="0" w:type="dxa"/>
          <w:right w:w="0" w:type="dxa"/>
        </w:tblCellMar>
      </w:tblPr>
      <w:tblGrid>
        <w:gridCol w:w="154"/>
        <w:gridCol w:w="8611"/>
      </w:tblGrid>
      <w:tr>
        <w:trPr/>
        <w:tc>
          <w:tcPr>
            <w:tcW w:w="154"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1" w:type="dxa"/>
            <w:tcBorders/>
            <w:shd w:fill="auto" w:val="clear"/>
          </w:tcPr>
          <w:p>
            <w:pPr>
              <w:pStyle w:val="TableContents"/>
              <w:pBdr/>
              <w:spacing w:before="0" w:after="283"/>
              <w:jc w:val="both"/>
              <w:rPr>
                <w:sz w:val="17"/>
              </w:rPr>
            </w:pPr>
            <w:r>
              <w:rPr>
                <w:sz w:val="17"/>
              </w:rPr>
              <w:t>New Zealand - Operating expense in New Zealand decreased by $1.6 million or 9.9%.  This decrease was in line with the above-mentioned decrease in cinema revenue which directly affects film rental costs offset by the above-mentioned year over year increase in the value of the New Zealand dollar compared to the U.S. dollar (see below).</w:t>
            </w:r>
          </w:p>
        </w:tc>
      </w:tr>
    </w:tbl>
    <w:tbl>
      <w:tblPr>
        <w:tblW w:w="8765" w:type="dxa"/>
        <w:jc w:val="left"/>
        <w:tblInd w:w="1440" w:type="dxa"/>
        <w:tblCellMar>
          <w:top w:w="0" w:type="dxa"/>
          <w:left w:w="0" w:type="dxa"/>
          <w:bottom w:w="0" w:type="dxa"/>
          <w:right w:w="0" w:type="dxa"/>
        </w:tblCellMar>
      </w:tblPr>
      <w:tblGrid>
        <w:gridCol w:w="134"/>
        <w:gridCol w:w="8631"/>
      </w:tblGrid>
      <w:tr>
        <w:trPr/>
        <w:tc>
          <w:tcPr>
            <w:tcW w:w="13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1" w:type="dxa"/>
            <w:tcBorders/>
            <w:shd w:fill="auto" w:val="clear"/>
          </w:tcPr>
          <w:p>
            <w:pPr>
              <w:pStyle w:val="TableContents"/>
              <w:pBdr/>
              <w:spacing w:before="0" w:after="283"/>
              <w:jc w:val="both"/>
              <w:rPr>
                <w:sz w:val="17"/>
              </w:rPr>
            </w:pPr>
            <w:r>
              <w:rPr>
                <w:sz w:val="17"/>
              </w:rPr>
              <w:t xml:space="preserve">Depreciation expense increased in 2011 by $1.3 million or 12.2% compared to 2010.  This increase was primarily related to the opening of a new cinema in Australia and our continuing purchases of digital equipment. </w:t>
            </w:r>
          </w:p>
        </w:tc>
      </w:tr>
    </w:tbl>
    <w:tbl>
      <w:tblPr>
        <w:tblW w:w="8765" w:type="dxa"/>
        <w:jc w:val="left"/>
        <w:tblInd w:w="1440" w:type="dxa"/>
        <w:tblCellMar>
          <w:top w:w="0" w:type="dxa"/>
          <w:left w:w="0" w:type="dxa"/>
          <w:bottom w:w="0" w:type="dxa"/>
          <w:right w:w="0" w:type="dxa"/>
        </w:tblCellMar>
      </w:tblPr>
      <w:tblGrid>
        <w:gridCol w:w="132"/>
        <w:gridCol w:w="8633"/>
      </w:tblGrid>
      <w:tr>
        <w:trPr/>
        <w:tc>
          <w:tcPr>
            <w:tcW w:w="132"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3" w:type="dxa"/>
            <w:tcBorders/>
            <w:shd w:fill="auto" w:val="clear"/>
          </w:tcPr>
          <w:p>
            <w:pPr>
              <w:pStyle w:val="TableContents"/>
              <w:pBdr/>
              <w:spacing w:before="0" w:after="283"/>
              <w:jc w:val="both"/>
              <w:rPr>
                <w:sz w:val="17"/>
              </w:rPr>
            </w:pPr>
            <w:r>
              <w:rPr>
                <w:sz w:val="17"/>
              </w:rPr>
              <w:t>General and administrative expense decreased in 2011 by $140,000 or 4.9% compared to 2010.  This decrease was primarily related to preopening costs in 2010 for a newly opened Australian cinema which did not recur in 2011.</w:t>
            </w:r>
          </w:p>
        </w:tc>
      </w:tr>
    </w:tbl>
    <w:tbl>
      <w:tblPr>
        <w:tblW w:w="8765" w:type="dxa"/>
        <w:jc w:val="left"/>
        <w:tblInd w:w="1440" w:type="dxa"/>
        <w:tblCellMar>
          <w:top w:w="0" w:type="dxa"/>
          <w:left w:w="0" w:type="dxa"/>
          <w:bottom w:w="0" w:type="dxa"/>
          <w:right w:w="0" w:type="dxa"/>
        </w:tblCellMar>
      </w:tblPr>
      <w:tblGrid>
        <w:gridCol w:w="136"/>
        <w:gridCol w:w="8629"/>
      </w:tblGrid>
      <w:tr>
        <w:trPr/>
        <w:tc>
          <w:tcPr>
            <w:tcW w:w="13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9" w:type="dxa"/>
            <w:tcBorders/>
            <w:shd w:fill="auto" w:val="clear"/>
          </w:tcPr>
          <w:p>
            <w:pPr>
              <w:pStyle w:val="TableContents"/>
              <w:pBdr/>
              <w:spacing w:before="0" w:after="283"/>
              <w:jc w:val="both"/>
              <w:rPr>
                <w:sz w:val="17"/>
              </w:rPr>
            </w:pPr>
            <w:r>
              <w:rPr>
                <w:sz w:val="17"/>
              </w:rPr>
              <w:t xml:space="preserve">Australian and New Zealand monthly average exchange rates for 2011 increased by 12.2% and 9.7%, respectively, from those in 2010, which had an overall positive impact on the income statement. </w:t>
            </w:r>
          </w:p>
        </w:tc>
      </w:tr>
    </w:tbl>
    <w:p>
      <w:pPr>
        <w:pStyle w:val="TextBody"/>
        <w:spacing w:before="200" w:after="200"/>
        <w:ind w:left="1440" w:right="0" w:firstLine="720"/>
        <w:jc w:val="both"/>
        <w:rPr>
          <w:sz w:val="17"/>
        </w:rPr>
      </w:pPr>
      <w:r>
        <w:rPr>
          <w:sz w:val="17"/>
        </w:rPr>
        <w:t xml:space="preserve">As a result, cinema exhibition segment operating income increased in 2011 by $2.2 million compared to 2010 primarily from the aforementioned increase in revenue from our Australian cinema operations. </w:t>
      </w:r>
    </w:p>
    <w:p>
      <w:pPr>
        <w:pStyle w:val="TextBody"/>
        <w:spacing w:before="0" w:after="200"/>
        <w:ind w:left="1440" w:right="0" w:hanging="0"/>
        <w:jc w:val="both"/>
        <w:rPr>
          <w:sz w:val="17"/>
        </w:rPr>
      </w:pPr>
      <w:r>
        <w:rPr>
          <w:b/>
          <w:sz w:val="17"/>
          <w:u w:val="single"/>
        </w:rPr>
        <w:t>Real Estate Segment</w:t>
      </w:r>
      <w:r>
        <w:rPr>
          <w:sz w:val="17"/>
        </w:rPr>
        <w:t xml:space="preserve"> </w:t>
      </w:r>
    </w:p>
    <w:p>
      <w:pPr>
        <w:pStyle w:val="TextBody"/>
        <w:spacing w:before="0" w:after="200"/>
        <w:ind w:left="1440" w:right="0" w:firstLine="720"/>
        <w:jc w:val="both"/>
        <w:rPr>
          <w:sz w:val="17"/>
        </w:rPr>
      </w:pPr>
      <w:r>
        <w:rPr>
          <w:sz w:val="17"/>
        </w:rPr>
        <w:t xml:space="preserve">As discussed above, our other business segment is the development and management of real estate.  These holdings include our rental live theaters, certain fee owned properties used in our cinema business, and unimproved real estate held for development.  </w:t>
      </w:r>
    </w:p>
    <w:p>
      <w:pPr>
        <w:pStyle w:val="TextBody"/>
        <w:spacing w:before="0" w:after="200"/>
        <w:ind w:left="1440" w:right="0" w:firstLine="720"/>
        <w:jc w:val="both"/>
        <w:rPr>
          <w:sz w:val="17"/>
        </w:rPr>
      </w:pPr>
      <w:r>
        <w:rPr>
          <w:sz w:val="17"/>
        </w:rPr>
        <w:t xml:space="preserve">The tables and discussion that follow detail our operating results for our 2012, 2011, and 2010 real estate segment (dollars in thousands): </w:t>
      </w:r>
    </w:p>
    <w:p>
      <w:pPr>
        <w:pStyle w:val="TextBody"/>
        <w:spacing w:before="0" w:after="0"/>
        <w:ind w:left="1440" w:right="0" w:hanging="0"/>
        <w:jc w:val="both"/>
        <w:rPr/>
      </w:pPr>
      <w:r>
        <w:rPr/>
        <w:t xml:space="preserve">  </w:t>
      </w:r>
    </w:p>
    <w:tbl>
      <w:tblPr>
        <w:tblW w:w="6495" w:type="dxa"/>
        <w:jc w:val="left"/>
        <w:tblInd w:w="1440" w:type="dxa"/>
        <w:tblCellMar>
          <w:top w:w="0" w:type="dxa"/>
          <w:left w:w="0" w:type="dxa"/>
          <w:bottom w:w="0" w:type="dxa"/>
          <w:right w:w="0" w:type="dxa"/>
        </w:tblCellMar>
      </w:tblPr>
      <w:tblGrid>
        <w:gridCol w:w="2795"/>
        <w:gridCol w:w="110"/>
        <w:gridCol w:w="980"/>
        <w:gridCol w:w="110"/>
        <w:gridCol w:w="695"/>
        <w:gridCol w:w="110"/>
        <w:gridCol w:w="965"/>
        <w:gridCol w:w="110"/>
        <w:gridCol w:w="620"/>
      </w:tblGrid>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Year Ended December 31, 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United States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Australia</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New Zealand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7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Live theater rental and ancillary income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3,416 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6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3,416  </w:t>
            </w:r>
          </w:p>
        </w:tc>
      </w:tr>
      <w:tr>
        <w:trPr/>
        <w:tc>
          <w:tcPr>
            <w:tcW w:w="27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Property rental income</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1,690 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14,536 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7,614 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23,840  </w:t>
            </w:r>
          </w:p>
        </w:tc>
      </w:tr>
      <w:tr>
        <w:trPr/>
        <w:tc>
          <w:tcPr>
            <w:tcW w:w="279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 xml:space="preserve">Total revenues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5,106 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14,536 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7,614 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27,256  </w:t>
            </w:r>
          </w:p>
        </w:tc>
      </w:tr>
      <w:tr>
        <w:trPr/>
        <w:tc>
          <w:tcPr>
            <w:tcW w:w="279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right"/>
              <w:rPr/>
            </w:pPr>
            <w:r>
              <w:rPr/>
              <w:t> </w:t>
            </w:r>
          </w:p>
        </w:tc>
      </w:tr>
      <w:tr>
        <w:trPr/>
        <w:tc>
          <w:tcPr>
            <w:tcW w:w="2795" w:type="dxa"/>
            <w:tcBorders/>
            <w:shd w:fill="CCEEFF" w:val="clear"/>
            <w:vAlign w:val="bottom"/>
          </w:tcPr>
          <w:p>
            <w:pPr>
              <w:pStyle w:val="TableContents"/>
              <w:spacing w:before="0" w:after="1"/>
              <w:ind w:left="0" w:right="0" w:hanging="0"/>
              <w:jc w:val="both"/>
              <w:rPr>
                <w:sz w:val="17"/>
              </w:rPr>
            </w:pPr>
            <w:r>
              <w:rPr>
                <w:sz w:val="17"/>
              </w:rPr>
              <w:t>Live theater costs</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283"/>
              <w:jc w:val="right"/>
              <w:rPr>
                <w:sz w:val="17"/>
              </w:rPr>
            </w:pPr>
            <w:r>
              <w:rPr>
                <w:sz w:val="17"/>
              </w:rPr>
              <w:t xml:space="preserve">1,917 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1,917  </w:t>
            </w:r>
          </w:p>
        </w:tc>
      </w:tr>
      <w:tr>
        <w:trPr/>
        <w:tc>
          <w:tcPr>
            <w:tcW w:w="27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Property rental cost</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934 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6,077 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2,235 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9,246  </w:t>
            </w:r>
          </w:p>
        </w:tc>
      </w:tr>
      <w:tr>
        <w:trPr/>
        <w:tc>
          <w:tcPr>
            <w:tcW w:w="279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Total operating expense</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2,851 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6,077 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2,235 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11,163  </w:t>
            </w:r>
          </w:p>
        </w:tc>
      </w:tr>
      <w:tr>
        <w:trPr/>
        <w:tc>
          <w:tcPr>
            <w:tcW w:w="279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right"/>
              <w:rPr/>
            </w:pPr>
            <w:r>
              <w:rPr/>
              <w:t> </w:t>
            </w:r>
          </w:p>
        </w:tc>
      </w:tr>
      <w:tr>
        <w:trPr/>
        <w:tc>
          <w:tcPr>
            <w:tcW w:w="2795" w:type="dxa"/>
            <w:tcBorders/>
            <w:shd w:fill="CCEEFF" w:val="clear"/>
            <w:vAlign w:val="bottom"/>
          </w:tcPr>
          <w:p>
            <w:pPr>
              <w:pStyle w:val="TableContents"/>
              <w:spacing w:before="0" w:after="1"/>
              <w:ind w:left="0" w:right="0" w:hanging="0"/>
              <w:jc w:val="both"/>
              <w:rPr>
                <w:sz w:val="17"/>
              </w:rPr>
            </w:pPr>
            <w:r>
              <w:rPr>
                <w:sz w:val="17"/>
              </w:rPr>
              <w:t>Depreciation and amortization</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283"/>
              <w:jc w:val="right"/>
              <w:rPr>
                <w:sz w:val="17"/>
              </w:rPr>
            </w:pPr>
            <w:r>
              <w:rPr>
                <w:sz w:val="17"/>
              </w:rPr>
              <w:t xml:space="preserve">305 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2,823 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283"/>
              <w:jc w:val="right"/>
              <w:rPr>
                <w:sz w:val="17"/>
              </w:rPr>
            </w:pPr>
            <w:r>
              <w:rPr>
                <w:sz w:val="17"/>
              </w:rPr>
              <w:t xml:space="preserve">1,313 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4,441  </w:t>
            </w:r>
          </w:p>
        </w:tc>
      </w:tr>
      <w:tr>
        <w:trPr/>
        <w:tc>
          <w:tcPr>
            <w:tcW w:w="2795" w:type="dxa"/>
            <w:tcBorders/>
            <w:shd w:fill="FFFFFF" w:val="clear"/>
            <w:vAlign w:val="bottom"/>
          </w:tcPr>
          <w:p>
            <w:pPr>
              <w:pStyle w:val="TableContents"/>
              <w:spacing w:before="0" w:after="1"/>
              <w:ind w:left="0" w:right="0" w:hanging="0"/>
              <w:jc w:val="both"/>
              <w:rPr>
                <w:sz w:val="17"/>
              </w:rPr>
            </w:pPr>
            <w:r>
              <w:rPr>
                <w:sz w:val="17"/>
              </w:rPr>
              <w:t>General and administrative expense</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99 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536 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83 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718  </w:t>
            </w:r>
          </w:p>
        </w:tc>
      </w:tr>
      <w:tr>
        <w:trPr/>
        <w:tc>
          <w:tcPr>
            <w:tcW w:w="27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Impairment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1,463 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1,463  </w:t>
            </w:r>
          </w:p>
        </w:tc>
      </w:tr>
      <w:tr>
        <w:trPr/>
        <w:tc>
          <w:tcPr>
            <w:tcW w:w="27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Segment operating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388 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5,100 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3,983 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9,471 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pPr>
      <w:r>
        <w:rPr/>
        <w:t xml:space="preserve">  </w:t>
      </w:r>
    </w:p>
    <w:tbl>
      <w:tblPr>
        <w:tblW w:w="6495" w:type="dxa"/>
        <w:jc w:val="left"/>
        <w:tblInd w:w="1440" w:type="dxa"/>
        <w:tblCellMar>
          <w:top w:w="0" w:type="dxa"/>
          <w:left w:w="0" w:type="dxa"/>
          <w:bottom w:w="0" w:type="dxa"/>
          <w:right w:w="0" w:type="dxa"/>
        </w:tblCellMar>
      </w:tblPr>
      <w:tblGrid>
        <w:gridCol w:w="2795"/>
        <w:gridCol w:w="110"/>
        <w:gridCol w:w="980"/>
        <w:gridCol w:w="110"/>
        <w:gridCol w:w="695"/>
        <w:gridCol w:w="110"/>
        <w:gridCol w:w="965"/>
        <w:gridCol w:w="110"/>
        <w:gridCol w:w="620"/>
      </w:tblGrid>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Year Ended December 31, 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United States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Australia</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New Zealand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7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Live theater rental and ancillary income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3,507 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6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3,507  </w:t>
            </w:r>
          </w:p>
        </w:tc>
      </w:tr>
      <w:tr>
        <w:trPr/>
        <w:tc>
          <w:tcPr>
            <w:tcW w:w="27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Property rental income</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1,714 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13,850 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7,491 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23,055  </w:t>
            </w:r>
          </w:p>
        </w:tc>
      </w:tr>
      <w:tr>
        <w:trPr/>
        <w:tc>
          <w:tcPr>
            <w:tcW w:w="279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 xml:space="preserve">Total revenues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5,221 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13,850 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7,491 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26,562  </w:t>
            </w:r>
          </w:p>
        </w:tc>
      </w:tr>
      <w:tr>
        <w:trPr/>
        <w:tc>
          <w:tcPr>
            <w:tcW w:w="279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right"/>
              <w:rPr/>
            </w:pPr>
            <w:r>
              <w:rPr/>
              <w:t> </w:t>
            </w:r>
          </w:p>
        </w:tc>
      </w:tr>
      <w:tr>
        <w:trPr/>
        <w:tc>
          <w:tcPr>
            <w:tcW w:w="2795" w:type="dxa"/>
            <w:tcBorders/>
            <w:shd w:fill="CCEEFF" w:val="clear"/>
            <w:vAlign w:val="bottom"/>
          </w:tcPr>
          <w:p>
            <w:pPr>
              <w:pStyle w:val="TableContents"/>
              <w:spacing w:before="0" w:after="1"/>
              <w:ind w:left="0" w:right="0" w:hanging="0"/>
              <w:jc w:val="both"/>
              <w:rPr>
                <w:sz w:val="17"/>
              </w:rPr>
            </w:pPr>
            <w:r>
              <w:rPr>
                <w:sz w:val="17"/>
              </w:rPr>
              <w:t>Live theater costs</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283"/>
              <w:jc w:val="right"/>
              <w:rPr>
                <w:sz w:val="17"/>
              </w:rPr>
            </w:pPr>
            <w:r>
              <w:rPr>
                <w:sz w:val="17"/>
              </w:rPr>
              <w:t xml:space="preserve">1,946 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1,946  </w:t>
            </w:r>
          </w:p>
        </w:tc>
      </w:tr>
      <w:tr>
        <w:trPr/>
        <w:tc>
          <w:tcPr>
            <w:tcW w:w="27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Property rental cost</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528 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5,628 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2,088 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8,244  </w:t>
            </w:r>
          </w:p>
        </w:tc>
      </w:tr>
      <w:tr>
        <w:trPr/>
        <w:tc>
          <w:tcPr>
            <w:tcW w:w="279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Total operating expense</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2,474 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5,628 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2,088 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10,190  </w:t>
            </w:r>
          </w:p>
        </w:tc>
      </w:tr>
      <w:tr>
        <w:trPr/>
        <w:tc>
          <w:tcPr>
            <w:tcW w:w="279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right"/>
              <w:rPr/>
            </w:pPr>
            <w:r>
              <w:rPr/>
              <w:t> </w:t>
            </w:r>
          </w:p>
        </w:tc>
      </w:tr>
      <w:tr>
        <w:trPr/>
        <w:tc>
          <w:tcPr>
            <w:tcW w:w="2795" w:type="dxa"/>
            <w:tcBorders/>
            <w:shd w:fill="CCEEFF" w:val="clear"/>
            <w:vAlign w:val="bottom"/>
          </w:tcPr>
          <w:p>
            <w:pPr>
              <w:pStyle w:val="TableContents"/>
              <w:spacing w:before="0" w:after="1"/>
              <w:ind w:left="0" w:right="0" w:hanging="0"/>
              <w:jc w:val="both"/>
              <w:rPr>
                <w:sz w:val="17"/>
              </w:rPr>
            </w:pPr>
            <w:r>
              <w:rPr>
                <w:sz w:val="17"/>
              </w:rPr>
              <w:t>Depreciation and amortization</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283"/>
              <w:jc w:val="right"/>
              <w:rPr>
                <w:sz w:val="17"/>
              </w:rPr>
            </w:pPr>
            <w:r>
              <w:rPr>
                <w:sz w:val="17"/>
              </w:rPr>
              <w:t xml:space="preserve">326 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2,848 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283"/>
              <w:jc w:val="right"/>
              <w:rPr>
                <w:sz w:val="17"/>
              </w:rPr>
            </w:pPr>
            <w:r>
              <w:rPr>
                <w:sz w:val="17"/>
              </w:rPr>
              <w:t xml:space="preserve">1,270 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4,444  </w:t>
            </w:r>
          </w:p>
        </w:tc>
      </w:tr>
      <w:tr>
        <w:trPr/>
        <w:tc>
          <w:tcPr>
            <w:tcW w:w="2795" w:type="dxa"/>
            <w:tcBorders/>
            <w:shd w:fill="FFFFFF" w:val="clear"/>
            <w:vAlign w:val="bottom"/>
          </w:tcPr>
          <w:p>
            <w:pPr>
              <w:pStyle w:val="TableContents"/>
              <w:spacing w:before="0" w:after="1"/>
              <w:ind w:left="0" w:right="0" w:hanging="0"/>
              <w:jc w:val="both"/>
              <w:rPr>
                <w:sz w:val="17"/>
              </w:rPr>
            </w:pPr>
            <w:r>
              <w:rPr>
                <w:sz w:val="17"/>
              </w:rPr>
              <w:t>General and administrative expense</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32 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554 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60 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646  </w:t>
            </w:r>
          </w:p>
        </w:tc>
      </w:tr>
      <w:tr>
        <w:trPr/>
        <w:tc>
          <w:tcPr>
            <w:tcW w:w="27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Impairment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369 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369  </w:t>
            </w:r>
          </w:p>
        </w:tc>
      </w:tr>
      <w:tr>
        <w:trPr/>
        <w:tc>
          <w:tcPr>
            <w:tcW w:w="27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Segment operating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2,389 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4,451 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4,073 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10,913 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6495" w:type="dxa"/>
        <w:jc w:val="left"/>
        <w:tblInd w:w="1440" w:type="dxa"/>
        <w:tblCellMar>
          <w:top w:w="0" w:type="dxa"/>
          <w:left w:w="0" w:type="dxa"/>
          <w:bottom w:w="0" w:type="dxa"/>
          <w:right w:w="0" w:type="dxa"/>
        </w:tblCellMar>
      </w:tblPr>
      <w:tblGrid>
        <w:gridCol w:w="2795"/>
        <w:gridCol w:w="110"/>
        <w:gridCol w:w="980"/>
        <w:gridCol w:w="110"/>
        <w:gridCol w:w="695"/>
        <w:gridCol w:w="110"/>
        <w:gridCol w:w="965"/>
        <w:gridCol w:w="110"/>
        <w:gridCol w:w="620"/>
      </w:tblGrid>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Year Ended December 31, 2010</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United States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Australia</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New Zealand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7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Live theater rental and ancillary income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3,082 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6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3,082  </w:t>
            </w:r>
          </w:p>
        </w:tc>
      </w:tr>
      <w:tr>
        <w:trPr/>
        <w:tc>
          <w:tcPr>
            <w:tcW w:w="27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Property rental income</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1,732 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13,125 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6,776 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21,633  </w:t>
            </w:r>
          </w:p>
        </w:tc>
      </w:tr>
      <w:tr>
        <w:trPr/>
        <w:tc>
          <w:tcPr>
            <w:tcW w:w="279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 xml:space="preserve">Total revenues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4,814 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13,125 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6,776 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24,715  </w:t>
            </w:r>
          </w:p>
        </w:tc>
      </w:tr>
      <w:tr>
        <w:trPr/>
        <w:tc>
          <w:tcPr>
            <w:tcW w:w="279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right"/>
              <w:rPr/>
            </w:pPr>
            <w:r>
              <w:rPr/>
              <w:t> </w:t>
            </w:r>
          </w:p>
        </w:tc>
      </w:tr>
      <w:tr>
        <w:trPr/>
        <w:tc>
          <w:tcPr>
            <w:tcW w:w="2795" w:type="dxa"/>
            <w:tcBorders/>
            <w:shd w:fill="CCEEFF" w:val="clear"/>
            <w:vAlign w:val="bottom"/>
          </w:tcPr>
          <w:p>
            <w:pPr>
              <w:pStyle w:val="TableContents"/>
              <w:spacing w:before="0" w:after="1"/>
              <w:ind w:left="0" w:right="0" w:hanging="0"/>
              <w:jc w:val="both"/>
              <w:rPr>
                <w:sz w:val="17"/>
              </w:rPr>
            </w:pPr>
            <w:r>
              <w:rPr>
                <w:sz w:val="17"/>
              </w:rPr>
              <w:t>Live theater costs</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283"/>
              <w:jc w:val="right"/>
              <w:rPr>
                <w:sz w:val="17"/>
              </w:rPr>
            </w:pPr>
            <w:r>
              <w:rPr>
                <w:sz w:val="17"/>
              </w:rPr>
              <w:t xml:space="preserve">2,044 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2,044  </w:t>
            </w:r>
          </w:p>
        </w:tc>
      </w:tr>
      <w:tr>
        <w:trPr/>
        <w:tc>
          <w:tcPr>
            <w:tcW w:w="27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Property rental cost</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455 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4,789 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1,761 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7,005  </w:t>
            </w:r>
          </w:p>
        </w:tc>
      </w:tr>
      <w:tr>
        <w:trPr/>
        <w:tc>
          <w:tcPr>
            <w:tcW w:w="279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Total operating expense</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8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2,499 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4,789 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6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1,761 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9,049  </w:t>
            </w:r>
          </w:p>
        </w:tc>
      </w:tr>
      <w:tr>
        <w:trPr/>
        <w:tc>
          <w:tcPr>
            <w:tcW w:w="279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right"/>
              <w:rPr/>
            </w:pPr>
            <w:r>
              <w:rPr/>
              <w:t> </w:t>
            </w:r>
          </w:p>
        </w:tc>
      </w:tr>
      <w:tr>
        <w:trPr/>
        <w:tc>
          <w:tcPr>
            <w:tcW w:w="2795" w:type="dxa"/>
            <w:tcBorders/>
            <w:shd w:fill="CCEEFF" w:val="clear"/>
            <w:vAlign w:val="bottom"/>
          </w:tcPr>
          <w:p>
            <w:pPr>
              <w:pStyle w:val="TableContents"/>
              <w:spacing w:before="0" w:after="1"/>
              <w:ind w:left="0" w:right="0" w:hanging="0"/>
              <w:jc w:val="both"/>
              <w:rPr>
                <w:sz w:val="17"/>
              </w:rPr>
            </w:pPr>
            <w:r>
              <w:rPr>
                <w:sz w:val="17"/>
              </w:rPr>
              <w:t>Depreciation and amortization</w:t>
            </w:r>
          </w:p>
        </w:tc>
        <w:tc>
          <w:tcPr>
            <w:tcW w:w="110" w:type="dxa"/>
            <w:tcBorders/>
            <w:shd w:fill="CCEEFF" w:val="clear"/>
            <w:vAlign w:val="bottom"/>
          </w:tcPr>
          <w:p>
            <w:pPr>
              <w:pStyle w:val="TableContents"/>
              <w:spacing w:before="0" w:after="1"/>
              <w:ind w:left="0" w:right="0" w:hanging="0"/>
              <w:jc w:val="right"/>
              <w:rPr/>
            </w:pPr>
            <w:r>
              <w:rPr/>
              <w:t> </w:t>
            </w:r>
          </w:p>
        </w:tc>
        <w:tc>
          <w:tcPr>
            <w:tcW w:w="980" w:type="dxa"/>
            <w:tcBorders/>
            <w:shd w:fill="CCEEFF" w:val="clear"/>
            <w:vAlign w:val="bottom"/>
          </w:tcPr>
          <w:p>
            <w:pPr>
              <w:pStyle w:val="TableContents"/>
              <w:spacing w:before="0" w:after="283"/>
              <w:jc w:val="right"/>
              <w:rPr>
                <w:sz w:val="17"/>
              </w:rPr>
            </w:pPr>
            <w:r>
              <w:rPr>
                <w:sz w:val="17"/>
              </w:rPr>
              <w:t xml:space="preserve">321 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2,467  </w:t>
            </w:r>
          </w:p>
        </w:tc>
        <w:tc>
          <w:tcPr>
            <w:tcW w:w="110" w:type="dxa"/>
            <w:tcBorders/>
            <w:shd w:fill="CCEEFF" w:val="clear"/>
            <w:vAlign w:val="bottom"/>
          </w:tcPr>
          <w:p>
            <w:pPr>
              <w:pStyle w:val="TableContents"/>
              <w:spacing w:before="0" w:after="1"/>
              <w:ind w:left="0" w:right="0" w:hanging="0"/>
              <w:jc w:val="right"/>
              <w:rPr/>
            </w:pPr>
            <w:r>
              <w:rPr/>
              <w:t> </w:t>
            </w:r>
          </w:p>
        </w:tc>
        <w:tc>
          <w:tcPr>
            <w:tcW w:w="965" w:type="dxa"/>
            <w:tcBorders/>
            <w:shd w:fill="CCEEFF" w:val="clear"/>
            <w:vAlign w:val="bottom"/>
          </w:tcPr>
          <w:p>
            <w:pPr>
              <w:pStyle w:val="TableContents"/>
              <w:spacing w:before="0" w:after="283"/>
              <w:jc w:val="right"/>
              <w:rPr>
                <w:sz w:val="17"/>
              </w:rPr>
            </w:pPr>
            <w:r>
              <w:rPr>
                <w:sz w:val="17"/>
              </w:rPr>
              <w:t xml:space="preserve">1,501 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4,289  </w:t>
            </w:r>
          </w:p>
        </w:tc>
      </w:tr>
      <w:tr>
        <w:trPr/>
        <w:tc>
          <w:tcPr>
            <w:tcW w:w="2795" w:type="dxa"/>
            <w:tcBorders/>
            <w:shd w:fill="FFFFFF" w:val="clear"/>
            <w:vAlign w:val="bottom"/>
          </w:tcPr>
          <w:p>
            <w:pPr>
              <w:pStyle w:val="TableContents"/>
              <w:spacing w:before="0" w:after="1"/>
              <w:ind w:left="0" w:right="0" w:hanging="0"/>
              <w:jc w:val="both"/>
              <w:rPr>
                <w:sz w:val="17"/>
              </w:rPr>
            </w:pPr>
            <w:r>
              <w:rPr>
                <w:sz w:val="17"/>
              </w:rPr>
              <w:t>General and administrative expense</w:t>
            </w:r>
          </w:p>
        </w:tc>
        <w:tc>
          <w:tcPr>
            <w:tcW w:w="110" w:type="dxa"/>
            <w:tcBorders/>
            <w:shd w:fill="FFFFFF" w:val="clear"/>
            <w:vAlign w:val="bottom"/>
          </w:tcPr>
          <w:p>
            <w:pPr>
              <w:pStyle w:val="TableContents"/>
              <w:spacing w:before="0" w:after="1"/>
              <w:ind w:left="0" w:right="0" w:hanging="0"/>
              <w:jc w:val="right"/>
              <w:rPr/>
            </w:pPr>
            <w:r>
              <w:rPr/>
              <w:t> </w:t>
            </w:r>
          </w:p>
        </w:tc>
        <w:tc>
          <w:tcPr>
            <w:tcW w:w="980" w:type="dxa"/>
            <w:tcBorders/>
            <w:shd w:fill="FFFFFF" w:val="clear"/>
            <w:vAlign w:val="bottom"/>
          </w:tcPr>
          <w:p>
            <w:pPr>
              <w:pStyle w:val="TableContents"/>
              <w:spacing w:before="0" w:after="283"/>
              <w:jc w:val="right"/>
              <w:rPr>
                <w:sz w:val="17"/>
              </w:rPr>
            </w:pPr>
            <w:r>
              <w:rPr>
                <w:sz w:val="17"/>
              </w:rPr>
              <w:t xml:space="preserve">13 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957  </w:t>
            </w:r>
          </w:p>
        </w:tc>
        <w:tc>
          <w:tcPr>
            <w:tcW w:w="110" w:type="dxa"/>
            <w:tcBorders/>
            <w:shd w:fill="FFFFFF" w:val="clear"/>
            <w:vAlign w:val="bottom"/>
          </w:tcPr>
          <w:p>
            <w:pPr>
              <w:pStyle w:val="TableContents"/>
              <w:spacing w:before="0" w:after="1"/>
              <w:ind w:left="0" w:right="0" w:hanging="0"/>
              <w:jc w:val="right"/>
              <w:rPr/>
            </w:pPr>
            <w:r>
              <w:rPr/>
              <w:t> </w:t>
            </w:r>
          </w:p>
        </w:tc>
        <w:tc>
          <w:tcPr>
            <w:tcW w:w="965" w:type="dxa"/>
            <w:tcBorders/>
            <w:shd w:fill="FFFFFF" w:val="clear"/>
            <w:vAlign w:val="bottom"/>
          </w:tcPr>
          <w:p>
            <w:pPr>
              <w:pStyle w:val="TableContents"/>
              <w:spacing w:before="0" w:after="283"/>
              <w:jc w:val="right"/>
              <w:rPr>
                <w:sz w:val="17"/>
              </w:rPr>
            </w:pPr>
            <w:r>
              <w:rPr>
                <w:sz w:val="17"/>
              </w:rPr>
              <w:t xml:space="preserve">73 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1,043  </w:t>
            </w:r>
          </w:p>
        </w:tc>
      </w:tr>
      <w:tr>
        <w:trPr/>
        <w:tc>
          <w:tcPr>
            <w:tcW w:w="279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Impairment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8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2,239 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6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2,239  </w:t>
            </w:r>
          </w:p>
        </w:tc>
      </w:tr>
      <w:tr>
        <w:trPr/>
        <w:tc>
          <w:tcPr>
            <w:tcW w:w="27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Segment operating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1,981 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2,673 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3,441 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8,095 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Real Estate Results for 2012 Compared to 2011</w:t>
      </w:r>
      <w:r>
        <w:rPr>
          <w:sz w:val="17"/>
        </w:rPr>
        <w:t xml:space="preserve"> </w:t>
      </w:r>
    </w:p>
    <w:tbl>
      <w:tblPr>
        <w:tblW w:w="8765" w:type="dxa"/>
        <w:jc w:val="left"/>
        <w:tblInd w:w="1440" w:type="dxa"/>
        <w:tblCellMar>
          <w:top w:w="0" w:type="dxa"/>
          <w:left w:w="0" w:type="dxa"/>
          <w:bottom w:w="0" w:type="dxa"/>
          <w:right w:w="0" w:type="dxa"/>
        </w:tblCellMar>
      </w:tblPr>
      <w:tblGrid>
        <w:gridCol w:w="125"/>
        <w:gridCol w:w="8640"/>
      </w:tblGrid>
      <w:tr>
        <w:trPr/>
        <w:tc>
          <w:tcPr>
            <w:tcW w:w="12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0" w:type="dxa"/>
            <w:tcBorders/>
            <w:shd w:fill="auto" w:val="clear"/>
          </w:tcPr>
          <w:p>
            <w:pPr>
              <w:pStyle w:val="TableContents"/>
              <w:pBdr/>
              <w:spacing w:before="0" w:after="283"/>
              <w:jc w:val="both"/>
              <w:rPr>
                <w:sz w:val="17"/>
              </w:rPr>
            </w:pPr>
            <w:r>
              <w:rPr>
                <w:sz w:val="17"/>
              </w:rPr>
              <w:t>Real estate revenue increased by $694,000 or 2.6% compared to 2011.  The increase in revenue was primarily related to an increase in rental income from our Australian and New Zealand ETRCs coupled with fluctuations in currency exchange rates (see below); offset by, a decrease in rent from our live theater venues in the U.S.</w:t>
            </w:r>
          </w:p>
        </w:tc>
      </w:tr>
    </w:tbl>
    <w:tbl>
      <w:tblPr>
        <w:tblW w:w="8765" w:type="dxa"/>
        <w:jc w:val="left"/>
        <w:tblInd w:w="1440" w:type="dxa"/>
        <w:tblCellMar>
          <w:top w:w="0" w:type="dxa"/>
          <w:left w:w="0" w:type="dxa"/>
          <w:bottom w:w="0" w:type="dxa"/>
          <w:right w:w="0" w:type="dxa"/>
        </w:tblCellMar>
      </w:tblPr>
      <w:tblGrid>
        <w:gridCol w:w="121"/>
        <w:gridCol w:w="8644"/>
      </w:tblGrid>
      <w:tr>
        <w:trPr/>
        <w:tc>
          <w:tcPr>
            <w:tcW w:w="121"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4" w:type="dxa"/>
            <w:tcBorders/>
            <w:shd w:fill="auto" w:val="clear"/>
          </w:tcPr>
          <w:p>
            <w:pPr>
              <w:pStyle w:val="TableContents"/>
              <w:pBdr/>
              <w:spacing w:before="0" w:after="283"/>
              <w:jc w:val="both"/>
              <w:rPr>
                <w:sz w:val="17"/>
              </w:rPr>
            </w:pPr>
            <w:r>
              <w:rPr>
                <w:sz w:val="17"/>
              </w:rPr>
              <w:t xml:space="preserve">Operating expense for the real estate segment increased by $1.0 million or 9.5% compared to 2011.  This increase in expense was primarily related to higher repair, maintenance, and insurance costs for our operating properties, from legal costs incurred in 2012 associated with protecting the property rights of our Burwood property and with our residual railroad properties, and the aforementioned fluctuations in currency exchange rates (see below). </w:t>
            </w:r>
          </w:p>
        </w:tc>
      </w:tr>
    </w:tbl>
    <w:tbl>
      <w:tblPr>
        <w:tblW w:w="8765" w:type="dxa"/>
        <w:jc w:val="left"/>
        <w:tblInd w:w="1440" w:type="dxa"/>
        <w:tblCellMar>
          <w:top w:w="0" w:type="dxa"/>
          <w:left w:w="0" w:type="dxa"/>
          <w:bottom w:w="0" w:type="dxa"/>
          <w:right w:w="0" w:type="dxa"/>
        </w:tblCellMar>
      </w:tblPr>
      <w:tblGrid>
        <w:gridCol w:w="119"/>
        <w:gridCol w:w="8646"/>
      </w:tblGrid>
      <w:tr>
        <w:trPr/>
        <w:tc>
          <w:tcPr>
            <w:tcW w:w="11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6" w:type="dxa"/>
            <w:tcBorders/>
            <w:shd w:fill="auto" w:val="clear"/>
          </w:tcPr>
          <w:p>
            <w:pPr>
              <w:pStyle w:val="TableContents"/>
              <w:pBdr/>
              <w:spacing w:before="0" w:after="283"/>
              <w:jc w:val="both"/>
              <w:rPr>
                <w:sz w:val="17"/>
              </w:rPr>
            </w:pPr>
            <w:r>
              <w:rPr>
                <w:sz w:val="17"/>
              </w:rPr>
              <w:t xml:space="preserve">We recorded a real estate impairment loss in 2012 of $1.5 million related to our Coachella property (see Note 7 – </w:t>
            </w:r>
            <w:r>
              <w:rPr>
                <w:i/>
                <w:sz w:val="17"/>
              </w:rPr>
              <w:t>Investment and Development Property</w:t>
            </w:r>
            <w:r>
              <w:rPr>
                <w:sz w:val="17"/>
              </w:rPr>
              <w:t> to our 2012 Consolidated Financial Statements) As noted above, this property is 50% owned by Mr. James J. Cotter who shares in any impairment loss to the extent of his ownership interest.   In 2011,  we recorded a $369,000 impairment loss related to our Taringa real estate property.  We subsequently sold the Taringa property on February 21, 2012 for $1.9 million (AUS$1.8 million).</w:t>
            </w:r>
          </w:p>
        </w:tc>
      </w:tr>
    </w:tbl>
    <w:tbl>
      <w:tblPr>
        <w:tblW w:w="8765" w:type="dxa"/>
        <w:jc w:val="left"/>
        <w:tblInd w:w="1440" w:type="dxa"/>
        <w:tblCellMar>
          <w:top w:w="0" w:type="dxa"/>
          <w:left w:w="0" w:type="dxa"/>
          <w:bottom w:w="0" w:type="dxa"/>
          <w:right w:w="0" w:type="dxa"/>
        </w:tblCellMar>
      </w:tblPr>
      <w:tblGrid>
        <w:gridCol w:w="139"/>
        <w:gridCol w:w="8626"/>
      </w:tblGrid>
      <w:tr>
        <w:trPr/>
        <w:tc>
          <w:tcPr>
            <w:tcW w:w="13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6" w:type="dxa"/>
            <w:tcBorders/>
            <w:shd w:fill="auto" w:val="clear"/>
          </w:tcPr>
          <w:p>
            <w:pPr>
              <w:pStyle w:val="TableContents"/>
              <w:pBdr/>
              <w:spacing w:before="0" w:after="283"/>
              <w:jc w:val="both"/>
              <w:rPr>
                <w:sz w:val="17"/>
              </w:rPr>
            </w:pPr>
            <w:r>
              <w:rPr>
                <w:sz w:val="17"/>
              </w:rPr>
              <w:t>General and administrative costs increased by $72,000 or 11.1% compared to 2011 primarily due to an increase in our allowance for doubtful accounts for our U.S. properties in 2012.</w:t>
            </w:r>
          </w:p>
        </w:tc>
      </w:tr>
    </w:tbl>
    <w:tbl>
      <w:tblPr>
        <w:tblW w:w="8765" w:type="dxa"/>
        <w:jc w:val="left"/>
        <w:tblInd w:w="1440" w:type="dxa"/>
        <w:tblCellMar>
          <w:top w:w="0" w:type="dxa"/>
          <w:left w:w="0" w:type="dxa"/>
          <w:bottom w:w="0" w:type="dxa"/>
          <w:right w:w="0" w:type="dxa"/>
        </w:tblCellMar>
      </w:tblPr>
      <w:tblGrid>
        <w:gridCol w:w="136"/>
        <w:gridCol w:w="8629"/>
      </w:tblGrid>
      <w:tr>
        <w:trPr/>
        <w:tc>
          <w:tcPr>
            <w:tcW w:w="13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9" w:type="dxa"/>
            <w:tcBorders/>
            <w:shd w:fill="auto" w:val="clear"/>
          </w:tcPr>
          <w:p>
            <w:pPr>
              <w:pStyle w:val="TableContents"/>
              <w:pBdr/>
              <w:spacing w:before="0" w:after="283"/>
              <w:jc w:val="both"/>
              <w:rPr>
                <w:sz w:val="17"/>
              </w:rPr>
            </w:pPr>
            <w:r>
              <w:rPr>
                <w:sz w:val="17"/>
              </w:rPr>
              <w:t xml:space="preserve">Australian and New Zealand monthly average exchange rates for 2012 increased by 0.3% and 2.4%, respectively, from those in 2011, which had an overall positive impact on the income statement. </w:t>
            </w:r>
          </w:p>
        </w:tc>
      </w:tr>
    </w:tbl>
    <w:tbl>
      <w:tblPr>
        <w:tblW w:w="7660" w:type="dxa"/>
        <w:jc w:val="left"/>
        <w:tblInd w:w="1440" w:type="dxa"/>
        <w:tblCellMar>
          <w:top w:w="0" w:type="dxa"/>
          <w:left w:w="0" w:type="dxa"/>
          <w:bottom w:w="0" w:type="dxa"/>
          <w:right w:w="0" w:type="dxa"/>
        </w:tblCellMar>
      </w:tblPr>
      <w:tblGrid>
        <w:gridCol w:w="155"/>
        <w:gridCol w:w="750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505" w:type="dxa"/>
            <w:tcBorders/>
            <w:shd w:fill="auto" w:val="clear"/>
          </w:tcPr>
          <w:p>
            <w:pPr>
              <w:pStyle w:val="TableContents"/>
              <w:pBdr/>
              <w:spacing w:before="0" w:after="283"/>
              <w:jc w:val="both"/>
              <w:rPr>
                <w:sz w:val="17"/>
              </w:rPr>
            </w:pPr>
            <w:r>
              <w:rPr>
                <w:sz w:val="17"/>
              </w:rPr>
              <w:t>As a result of the above, real estate segment income decreased by $1.4 million or 13.2% compared to 2011.</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200" w:after="200"/>
        <w:ind w:left="1440" w:right="0" w:hanging="0"/>
        <w:jc w:val="both"/>
        <w:rPr>
          <w:sz w:val="17"/>
        </w:rPr>
      </w:pPr>
      <w:r>
        <w:rPr>
          <w:sz w:val="17"/>
          <w:u w:val="single"/>
        </w:rPr>
        <w:t>Real Estate Results for 2011 Compared to 2010</w:t>
      </w:r>
      <w:r>
        <w:rPr>
          <w:sz w:val="17"/>
        </w:rPr>
        <w:t xml:space="preserve"> </w:t>
      </w:r>
    </w:p>
    <w:tbl>
      <w:tblPr>
        <w:tblW w:w="8765" w:type="dxa"/>
        <w:jc w:val="left"/>
        <w:tblInd w:w="1440" w:type="dxa"/>
        <w:tblCellMar>
          <w:top w:w="0" w:type="dxa"/>
          <w:left w:w="0" w:type="dxa"/>
          <w:bottom w:w="0" w:type="dxa"/>
          <w:right w:w="0" w:type="dxa"/>
        </w:tblCellMar>
      </w:tblPr>
      <w:tblGrid>
        <w:gridCol w:w="127"/>
        <w:gridCol w:w="8638"/>
      </w:tblGrid>
      <w:tr>
        <w:trPr/>
        <w:tc>
          <w:tcPr>
            <w:tcW w:w="12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8" w:type="dxa"/>
            <w:tcBorders/>
            <w:shd w:fill="auto" w:val="clear"/>
          </w:tcPr>
          <w:p>
            <w:pPr>
              <w:pStyle w:val="TableContents"/>
              <w:pBdr/>
              <w:spacing w:before="0" w:after="283"/>
              <w:jc w:val="both"/>
              <w:rPr>
                <w:sz w:val="17"/>
              </w:rPr>
            </w:pPr>
            <w:r>
              <w:rPr>
                <w:sz w:val="17"/>
              </w:rPr>
              <w:t>Real estate revenue increased by $1.8 million or 7.5% compared to 2010.  The increase in revenue was primarily related to an increase in live theater revenue in the U.S., increased rental income from our Australian and New Zealand ETRCs coupled with fluctuations in currency exchange rates (see below).</w:t>
            </w:r>
          </w:p>
        </w:tc>
      </w:tr>
    </w:tbl>
    <w:tbl>
      <w:tblPr>
        <w:tblW w:w="8765" w:type="dxa"/>
        <w:jc w:val="left"/>
        <w:tblInd w:w="1440" w:type="dxa"/>
        <w:tblCellMar>
          <w:top w:w="0" w:type="dxa"/>
          <w:left w:w="0" w:type="dxa"/>
          <w:bottom w:w="0" w:type="dxa"/>
          <w:right w:w="0" w:type="dxa"/>
        </w:tblCellMar>
      </w:tblPr>
      <w:tblGrid>
        <w:gridCol w:w="126"/>
        <w:gridCol w:w="8639"/>
      </w:tblGrid>
      <w:tr>
        <w:trPr/>
        <w:tc>
          <w:tcPr>
            <w:tcW w:w="12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9" w:type="dxa"/>
            <w:tcBorders/>
            <w:shd w:fill="auto" w:val="clear"/>
          </w:tcPr>
          <w:p>
            <w:pPr>
              <w:pStyle w:val="TableContents"/>
              <w:pBdr/>
              <w:spacing w:before="0" w:after="283"/>
              <w:jc w:val="both"/>
              <w:rPr>
                <w:sz w:val="17"/>
              </w:rPr>
            </w:pPr>
            <w:r>
              <w:rPr>
                <w:sz w:val="17"/>
              </w:rPr>
              <w:t>Operating expense for the real estate segment increased by $1.1 million or 12.6% compared to 2010.  This increase in expense was primarily related to our efforts to sell various development properties in Australia and New Zealand and with the aforementioned fluctuations in currency exchange rates (see below).</w:t>
            </w:r>
          </w:p>
        </w:tc>
      </w:tr>
    </w:tbl>
    <w:tbl>
      <w:tblPr>
        <w:tblW w:w="8765" w:type="dxa"/>
        <w:jc w:val="left"/>
        <w:tblInd w:w="1440" w:type="dxa"/>
        <w:tblCellMar>
          <w:top w:w="0" w:type="dxa"/>
          <w:left w:w="0" w:type="dxa"/>
          <w:bottom w:w="0" w:type="dxa"/>
          <w:right w:w="0" w:type="dxa"/>
        </w:tblCellMar>
      </w:tblPr>
      <w:tblGrid>
        <w:gridCol w:w="126"/>
        <w:gridCol w:w="8639"/>
      </w:tblGrid>
      <w:tr>
        <w:trPr/>
        <w:tc>
          <w:tcPr>
            <w:tcW w:w="12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9" w:type="dxa"/>
            <w:tcBorders/>
            <w:shd w:fill="auto" w:val="clear"/>
          </w:tcPr>
          <w:p>
            <w:pPr>
              <w:pStyle w:val="TableContents"/>
              <w:pBdr/>
              <w:spacing w:before="0" w:after="283"/>
              <w:jc w:val="both"/>
              <w:rPr>
                <w:sz w:val="17"/>
              </w:rPr>
            </w:pPr>
            <w:r>
              <w:rPr>
                <w:sz w:val="17"/>
              </w:rPr>
              <w:t xml:space="preserve">Depreciation expense for the real estate segment increased by $155,000 or 3.6% compared to 2010 primarily due to the impact of currency fluctuations for our Australian and New Zealand operations (see below); offset by, a $208,000 correction of a recorded prior year depreciation expense to the New Zealand results. </w:t>
            </w:r>
          </w:p>
        </w:tc>
      </w:tr>
    </w:tbl>
    <w:tbl>
      <w:tblPr>
        <w:tblW w:w="8765" w:type="dxa"/>
        <w:jc w:val="left"/>
        <w:tblInd w:w="1440" w:type="dxa"/>
        <w:tblCellMar>
          <w:top w:w="0" w:type="dxa"/>
          <w:left w:w="0" w:type="dxa"/>
          <w:bottom w:w="0" w:type="dxa"/>
          <w:right w:w="0" w:type="dxa"/>
        </w:tblCellMar>
      </w:tblPr>
      <w:tblGrid>
        <w:gridCol w:w="132"/>
        <w:gridCol w:w="8633"/>
      </w:tblGrid>
      <w:tr>
        <w:trPr/>
        <w:tc>
          <w:tcPr>
            <w:tcW w:w="132"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3" w:type="dxa"/>
            <w:tcBorders/>
            <w:shd w:fill="auto" w:val="clear"/>
          </w:tcPr>
          <w:p>
            <w:pPr>
              <w:pStyle w:val="TableContents"/>
              <w:pBdr/>
              <w:spacing w:before="0" w:after="283"/>
              <w:jc w:val="both"/>
              <w:rPr>
                <w:sz w:val="17"/>
              </w:rPr>
            </w:pPr>
            <w:r>
              <w:rPr>
                <w:sz w:val="17"/>
              </w:rPr>
              <w:t>We recorded a real estate impairment loss of $369,000 in 2011 compared to $2.2 million in 2010 related to our Taringa real estate property.  We subsequently sold this property on February 21, 2012 for $1.9 million (AUS$1.8 million)</w:t>
            </w:r>
          </w:p>
        </w:tc>
      </w:tr>
    </w:tbl>
    <w:tbl>
      <w:tblPr>
        <w:tblW w:w="8765" w:type="dxa"/>
        <w:jc w:val="left"/>
        <w:tblInd w:w="1440" w:type="dxa"/>
        <w:tblCellMar>
          <w:top w:w="0" w:type="dxa"/>
          <w:left w:w="0" w:type="dxa"/>
          <w:bottom w:w="0" w:type="dxa"/>
          <w:right w:w="0" w:type="dxa"/>
        </w:tblCellMar>
      </w:tblPr>
      <w:tblGrid>
        <w:gridCol w:w="140"/>
        <w:gridCol w:w="8625"/>
      </w:tblGrid>
      <w:tr>
        <w:trPr/>
        <w:tc>
          <w:tcPr>
            <w:tcW w:w="140"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5" w:type="dxa"/>
            <w:tcBorders/>
            <w:shd w:fill="auto" w:val="clear"/>
          </w:tcPr>
          <w:p>
            <w:pPr>
              <w:pStyle w:val="TableContents"/>
              <w:pBdr/>
              <w:spacing w:before="0" w:after="283"/>
              <w:jc w:val="both"/>
              <w:rPr>
                <w:sz w:val="17"/>
              </w:rPr>
            </w:pPr>
            <w:r>
              <w:rPr>
                <w:sz w:val="17"/>
              </w:rPr>
              <w:t>General and administrative costs decreased by $397,000 or 38.1% compared to 2010 primarily due 2010 litigation costs for the Mackie case in Australia not repeated in 2011.</w:t>
            </w:r>
          </w:p>
        </w:tc>
      </w:tr>
    </w:tbl>
    <w:tbl>
      <w:tblPr>
        <w:tblW w:w="8765" w:type="dxa"/>
        <w:jc w:val="left"/>
        <w:tblInd w:w="1440" w:type="dxa"/>
        <w:tblCellMar>
          <w:top w:w="0" w:type="dxa"/>
          <w:left w:w="0" w:type="dxa"/>
          <w:bottom w:w="0" w:type="dxa"/>
          <w:right w:w="0" w:type="dxa"/>
        </w:tblCellMar>
      </w:tblPr>
      <w:tblGrid>
        <w:gridCol w:w="136"/>
        <w:gridCol w:w="8629"/>
      </w:tblGrid>
      <w:tr>
        <w:trPr/>
        <w:tc>
          <w:tcPr>
            <w:tcW w:w="136"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9" w:type="dxa"/>
            <w:tcBorders/>
            <w:shd w:fill="auto" w:val="clear"/>
          </w:tcPr>
          <w:p>
            <w:pPr>
              <w:pStyle w:val="TableContents"/>
              <w:pBdr/>
              <w:spacing w:before="0" w:after="283"/>
              <w:jc w:val="both"/>
              <w:rPr>
                <w:sz w:val="17"/>
              </w:rPr>
            </w:pPr>
            <w:r>
              <w:rPr>
                <w:sz w:val="17"/>
              </w:rPr>
              <w:t xml:space="preserve">Australian and New Zealand monthly average exchange rates for 2011 increased by 12.2% and 9.7%, respectively, from those in 2010, which had an overall positive impact on the income statement. </w:t>
            </w:r>
          </w:p>
        </w:tc>
      </w:tr>
    </w:tbl>
    <w:p>
      <w:pPr>
        <w:pStyle w:val="TextBody"/>
        <w:spacing w:before="200" w:after="200"/>
        <w:ind w:left="1440" w:right="0" w:firstLine="720"/>
        <w:jc w:val="both"/>
        <w:rPr>
          <w:sz w:val="17"/>
        </w:rPr>
      </w:pPr>
      <w:r>
        <w:rPr>
          <w:sz w:val="17"/>
        </w:rPr>
        <w:t xml:space="preserve">As a result of the above, real estate segment income increased by $2.8 million or 34.8% compared to 2010. </w:t>
      </w:r>
    </w:p>
    <w:p>
      <w:pPr>
        <w:pStyle w:val="TextBody"/>
        <w:spacing w:before="0" w:after="200"/>
        <w:ind w:left="1440" w:right="0" w:hanging="0"/>
        <w:jc w:val="both"/>
        <w:rPr>
          <w:sz w:val="17"/>
        </w:rPr>
      </w:pPr>
      <w:r>
        <w:rPr>
          <w:b/>
          <w:sz w:val="17"/>
          <w:u w:val="single"/>
        </w:rPr>
        <w:t>Non-Segment Activity</w:t>
      </w:r>
      <w:r>
        <w:rPr>
          <w:sz w:val="17"/>
        </w:rPr>
        <w:t xml:space="preserve"> </w:t>
      </w:r>
    </w:p>
    <w:p>
      <w:pPr>
        <w:pStyle w:val="TextBody"/>
        <w:spacing w:before="0" w:after="200"/>
        <w:ind w:left="1440" w:right="0" w:firstLine="720"/>
        <w:jc w:val="both"/>
        <w:rPr>
          <w:sz w:val="17"/>
        </w:rPr>
      </w:pPr>
      <w:r>
        <w:rPr>
          <w:sz w:val="17"/>
        </w:rPr>
        <w:t xml:space="preserve">Non-segment expense/income includes expense and/or income that is not directly attributable to our two operating segments. </w:t>
      </w:r>
    </w:p>
    <w:p>
      <w:pPr>
        <w:pStyle w:val="TextBody"/>
        <w:spacing w:before="0" w:after="200"/>
        <w:ind w:left="1440" w:right="0" w:hanging="0"/>
        <w:jc w:val="both"/>
        <w:rPr>
          <w:sz w:val="17"/>
        </w:rPr>
      </w:pPr>
      <w:r>
        <w:rPr>
          <w:sz w:val="17"/>
          <w:u w:val="single"/>
        </w:rPr>
        <w:t>2012 Compared to 2011</w:t>
      </w:r>
      <w:r>
        <w:rPr>
          <w:sz w:val="17"/>
        </w:rPr>
        <w:t xml:space="preserve"> </w:t>
      </w:r>
    </w:p>
    <w:tbl>
      <w:tblPr>
        <w:tblW w:w="8765" w:type="dxa"/>
        <w:jc w:val="left"/>
        <w:tblInd w:w="1440" w:type="dxa"/>
        <w:tblCellMar>
          <w:top w:w="0" w:type="dxa"/>
          <w:left w:w="0" w:type="dxa"/>
          <w:bottom w:w="0" w:type="dxa"/>
          <w:right w:w="0" w:type="dxa"/>
        </w:tblCellMar>
      </w:tblPr>
      <w:tblGrid>
        <w:gridCol w:w="124"/>
        <w:gridCol w:w="8641"/>
      </w:tblGrid>
      <w:tr>
        <w:trPr/>
        <w:tc>
          <w:tcPr>
            <w:tcW w:w="12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1" w:type="dxa"/>
            <w:tcBorders/>
            <w:shd w:fill="auto" w:val="clear"/>
          </w:tcPr>
          <w:p>
            <w:pPr>
              <w:pStyle w:val="TableContents"/>
              <w:pBdr/>
              <w:spacing w:before="0" w:after="283"/>
              <w:jc w:val="both"/>
              <w:rPr>
                <w:sz w:val="17"/>
              </w:rPr>
            </w:pPr>
            <w:r>
              <w:rPr>
                <w:sz w:val="17"/>
              </w:rPr>
              <w:t>general and administrative expense decreased by $1.2 million primarily related to the one-time additional labor costs incurred during 2011, associated with the transfer of our accounting functions from the U.S. and Australia to New Zealand not being repeated in 2012, as well as some cost savings resulting from the synergies gained as a result of this move.</w:t>
            </w:r>
          </w:p>
        </w:tc>
      </w:tr>
    </w:tbl>
    <w:tbl>
      <w:tblPr>
        <w:tblW w:w="8765" w:type="dxa"/>
        <w:jc w:val="left"/>
        <w:tblInd w:w="1440" w:type="dxa"/>
        <w:tblCellMar>
          <w:top w:w="0" w:type="dxa"/>
          <w:left w:w="0" w:type="dxa"/>
          <w:bottom w:w="0" w:type="dxa"/>
          <w:right w:w="0" w:type="dxa"/>
        </w:tblCellMar>
      </w:tblPr>
      <w:tblGrid>
        <w:gridCol w:w="118"/>
        <w:gridCol w:w="8647"/>
      </w:tblGrid>
      <w:tr>
        <w:trPr/>
        <w:tc>
          <w:tcPr>
            <w:tcW w:w="118"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7" w:type="dxa"/>
            <w:tcBorders/>
            <w:shd w:fill="auto" w:val="clear"/>
          </w:tcPr>
          <w:p>
            <w:pPr>
              <w:pStyle w:val="TableContents"/>
              <w:pBdr/>
              <w:spacing w:before="0" w:after="283"/>
              <w:jc w:val="both"/>
              <w:rPr>
                <w:sz w:val="17"/>
              </w:rPr>
            </w:pPr>
            <w:r>
              <w:rPr>
                <w:sz w:val="17"/>
              </w:rPr>
              <w:t xml:space="preserve">net interest expense decreased by $4.6 million compared to 2011.  The decrease in interest expense during 2012 was primarily due to a smaller increase in the fair value of our interest rate swaps in 2012 than that noted for the same period in 2011 and to a decrease in interest rates specifically from our Trust Preferred Securities.  Effective May 1, 2012, that interest rate changed from a fixed rate of 9.22%, which was in effect for the past five years, to a variable rate of 3 month LIBOR plus 4.00%, which will reset each quarter through the end of the loan, unless we choose to fix the rate again. </w:t>
            </w:r>
          </w:p>
        </w:tc>
      </w:tr>
    </w:tbl>
    <w:tbl>
      <w:tblPr>
        <w:tblW w:w="8765" w:type="dxa"/>
        <w:jc w:val="left"/>
        <w:tblInd w:w="1440" w:type="dxa"/>
        <w:tblCellMar>
          <w:top w:w="0" w:type="dxa"/>
          <w:left w:w="0" w:type="dxa"/>
          <w:bottom w:w="0" w:type="dxa"/>
          <w:right w:w="0" w:type="dxa"/>
        </w:tblCellMar>
      </w:tblPr>
      <w:tblGrid>
        <w:gridCol w:w="117"/>
        <w:gridCol w:w="8648"/>
      </w:tblGrid>
      <w:tr>
        <w:trPr/>
        <w:tc>
          <w:tcPr>
            <w:tcW w:w="11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8" w:type="dxa"/>
            <w:tcBorders/>
            <w:shd w:fill="auto" w:val="clear"/>
          </w:tcPr>
          <w:p>
            <w:pPr>
              <w:pStyle w:val="TableContents"/>
              <w:pBdr/>
              <w:spacing w:before="0" w:after="283"/>
              <w:jc w:val="both"/>
              <w:rPr>
                <w:sz w:val="17"/>
              </w:rPr>
            </w:pPr>
            <w:r>
              <w:rPr>
                <w:sz w:val="17"/>
              </w:rPr>
              <w:t xml:space="preserve">the $563,000 in other loss during 2012 was primarily related to the write off of our GE Capital loan costs at the time of the refinance of our U.S. Corporate Credit Facility with Bank of America; offset by, additional insurance proceeds from our business interruption claim for the temporary closure of our cinema in Christchurch, New Zealand due to the February 22, 2011 earthquake.  The $1.2 million in other income during 2011 was primarily related to insurance proceeds from a partial payment of our business interruption claim for the aforementioned temporary closure of our cinema in Christchurch, New Zealand (see Note 26 – </w:t>
            </w:r>
            <w:r>
              <w:rPr>
                <w:i/>
                <w:sz w:val="17"/>
              </w:rPr>
              <w:t>Casualty Loss</w:t>
            </w:r>
            <w:r>
              <w:rPr>
                <w:sz w:val="17"/>
              </w:rPr>
              <w:t xml:space="preserve"> to our 2012 Consolidated Financial Statements).</w:t>
            </w:r>
          </w:p>
        </w:tc>
      </w:tr>
    </w:tbl>
    <w:tbl>
      <w:tblPr>
        <w:tblW w:w="8765" w:type="dxa"/>
        <w:jc w:val="left"/>
        <w:tblInd w:w="1440" w:type="dxa"/>
        <w:tblCellMar>
          <w:top w:w="0" w:type="dxa"/>
          <w:left w:w="0" w:type="dxa"/>
          <w:bottom w:w="0" w:type="dxa"/>
          <w:right w:w="0" w:type="dxa"/>
        </w:tblCellMar>
      </w:tblPr>
      <w:tblGrid>
        <w:gridCol w:w="118"/>
        <w:gridCol w:w="8647"/>
      </w:tblGrid>
      <w:tr>
        <w:trPr/>
        <w:tc>
          <w:tcPr>
            <w:tcW w:w="118"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7" w:type="dxa"/>
            <w:tcBorders/>
            <w:shd w:fill="auto" w:val="clear"/>
          </w:tcPr>
          <w:p>
            <w:pPr>
              <w:pStyle w:val="TableContents"/>
              <w:pBdr/>
              <w:spacing w:before="0" w:after="283"/>
              <w:jc w:val="both"/>
              <w:rPr>
                <w:sz w:val="17"/>
              </w:rPr>
            </w:pPr>
            <w:r>
              <w:rPr>
                <w:sz w:val="17"/>
              </w:rPr>
              <w:t xml:space="preserve">the net income tax expense was $4.9 million during 2012 compared to a net income tax benefit of $12.3 million during 2011.  The year over year change in 2012 was primarily related to a reduction in deferred tax assets in Australia, caused by the sale of certain assets, plus a reduction in loss carryforwards available to offset future Australia taxable income. For 2011, the change was primarily related to a one-time tax provision adjustment of $14.4 million caused by a reduction in the valuation allowance related to our Australian operations (see Note 14 – </w:t>
            </w:r>
            <w:r>
              <w:rPr>
                <w:i/>
                <w:sz w:val="17"/>
              </w:rPr>
              <w:t>Income Tax</w:t>
            </w:r>
            <w:r>
              <w:rPr>
                <w:sz w:val="17"/>
              </w:rPr>
              <w:t xml:space="preserve"> to our 2012 Consolidated Financial Statements). </w:t>
            </w:r>
          </w:p>
        </w:tc>
      </w:tr>
    </w:tbl>
    <w:tbl>
      <w:tblPr>
        <w:tblW w:w="8765" w:type="dxa"/>
        <w:jc w:val="left"/>
        <w:tblInd w:w="1440" w:type="dxa"/>
        <w:tblCellMar>
          <w:top w:w="0" w:type="dxa"/>
          <w:left w:w="0" w:type="dxa"/>
          <w:bottom w:w="0" w:type="dxa"/>
          <w:right w:w="0" w:type="dxa"/>
        </w:tblCellMar>
      </w:tblPr>
      <w:tblGrid>
        <w:gridCol w:w="138"/>
        <w:gridCol w:w="8627"/>
      </w:tblGrid>
      <w:tr>
        <w:trPr/>
        <w:tc>
          <w:tcPr>
            <w:tcW w:w="138"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7" w:type="dxa"/>
            <w:tcBorders/>
            <w:shd w:fill="auto" w:val="clear"/>
          </w:tcPr>
          <w:p>
            <w:pPr>
              <w:pStyle w:val="TableContents"/>
              <w:pBdr/>
              <w:spacing w:before="0" w:after="283"/>
              <w:jc w:val="both"/>
              <w:rPr>
                <w:sz w:val="17"/>
              </w:rPr>
            </w:pPr>
            <w:r>
              <w:rPr>
                <w:sz w:val="17"/>
              </w:rPr>
              <w:t>equity earnings from unconsolidated investments increased by $3.2 million primarily related to a 2011 $2.9 million impairment to our interest in Rialto Entertainment not repeated in 2012.</w:t>
            </w:r>
          </w:p>
        </w:tc>
      </w:tr>
    </w:tbl>
    <w:p>
      <w:pPr>
        <w:pStyle w:val="TextBody"/>
        <w:spacing w:before="0" w:after="0"/>
        <w:ind w:left="180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200" w:after="200"/>
        <w:ind w:left="1440" w:right="0" w:hanging="0"/>
        <w:jc w:val="both"/>
        <w:rPr>
          <w:sz w:val="17"/>
        </w:rPr>
      </w:pPr>
      <w:r>
        <w:rPr>
          <w:sz w:val="17"/>
          <w:u w:val="single"/>
        </w:rPr>
        <w:t>2011 Compared to 2010</w:t>
      </w:r>
      <w:r>
        <w:rPr>
          <w:sz w:val="17"/>
        </w:rPr>
        <w:t xml:space="preserve"> </w:t>
      </w:r>
    </w:p>
    <w:p>
      <w:pPr>
        <w:pStyle w:val="TextBody"/>
        <w:spacing w:before="0" w:after="200"/>
        <w:ind w:left="1440" w:right="0" w:firstLine="720"/>
        <w:jc w:val="both"/>
        <w:rPr>
          <w:sz w:val="17"/>
        </w:rPr>
      </w:pPr>
      <w:r>
        <w:rPr>
          <w:sz w:val="17"/>
        </w:rPr>
        <w:t xml:space="preserve">During 2011, the increase of $362,000 in corporate General and Administrative expense was primarily made up of:  </w:t>
      </w:r>
    </w:p>
    <w:tbl>
      <w:tblPr>
        <w:tblW w:w="8765" w:type="dxa"/>
        <w:jc w:val="left"/>
        <w:tblInd w:w="1440" w:type="dxa"/>
        <w:tblCellMar>
          <w:top w:w="0" w:type="dxa"/>
          <w:left w:w="0" w:type="dxa"/>
          <w:bottom w:w="0" w:type="dxa"/>
          <w:right w:w="0" w:type="dxa"/>
        </w:tblCellMar>
      </w:tblPr>
      <w:tblGrid>
        <w:gridCol w:w="133"/>
        <w:gridCol w:w="8632"/>
      </w:tblGrid>
      <w:tr>
        <w:trPr/>
        <w:tc>
          <w:tcPr>
            <w:tcW w:w="13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2" w:type="dxa"/>
            <w:tcBorders/>
            <w:shd w:fill="auto" w:val="clear"/>
          </w:tcPr>
          <w:p>
            <w:pPr>
              <w:pStyle w:val="TableContents"/>
              <w:pBdr/>
              <w:spacing w:before="0" w:after="283"/>
              <w:jc w:val="both"/>
              <w:rPr>
                <w:sz w:val="17"/>
              </w:rPr>
            </w:pPr>
            <w:r>
              <w:rPr>
                <w:sz w:val="17"/>
              </w:rPr>
              <w:t>$1.2 million increase in corporate payroll expense primarily related to one-time severance and temporarily duplicated labor costs associated with our transfer of our accounting functions from the U.S. and Australia to New Zealand;</w:t>
            </w:r>
          </w:p>
        </w:tc>
      </w:tr>
    </w:tbl>
    <w:tbl>
      <w:tblPr>
        <w:tblW w:w="8765" w:type="dxa"/>
        <w:jc w:val="left"/>
        <w:tblInd w:w="1440" w:type="dxa"/>
        <w:tblCellMar>
          <w:top w:w="0" w:type="dxa"/>
          <w:left w:w="0" w:type="dxa"/>
          <w:bottom w:w="0" w:type="dxa"/>
          <w:right w:w="0" w:type="dxa"/>
        </w:tblCellMar>
      </w:tblPr>
      <w:tblGrid>
        <w:gridCol w:w="133"/>
        <w:gridCol w:w="8632"/>
      </w:tblGrid>
      <w:tr>
        <w:trPr/>
        <w:tc>
          <w:tcPr>
            <w:tcW w:w="13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2" w:type="dxa"/>
            <w:tcBorders/>
            <w:shd w:fill="auto" w:val="clear"/>
          </w:tcPr>
          <w:p>
            <w:pPr>
              <w:pStyle w:val="TableContents"/>
              <w:pBdr/>
              <w:spacing w:before="0" w:after="283"/>
              <w:jc w:val="both"/>
              <w:rPr>
                <w:sz w:val="17"/>
              </w:rPr>
            </w:pPr>
            <w:r>
              <w:rPr>
                <w:sz w:val="17"/>
              </w:rPr>
              <w:t>$362,000 increase in consulting and administrative activities primarily related to the transfer of our accounting functions to New Zealand and to costs associated with the recent move of our Los Angeles corporate office; offset by,</w:t>
            </w:r>
          </w:p>
        </w:tc>
      </w:tr>
    </w:tbl>
    <w:tbl>
      <w:tblPr>
        <w:tblW w:w="8765" w:type="dxa"/>
        <w:jc w:val="left"/>
        <w:tblInd w:w="1440" w:type="dxa"/>
        <w:tblCellMar>
          <w:top w:w="0" w:type="dxa"/>
          <w:left w:w="0" w:type="dxa"/>
          <w:bottom w:w="0" w:type="dxa"/>
          <w:right w:w="0" w:type="dxa"/>
        </w:tblCellMar>
      </w:tblPr>
      <w:tblGrid>
        <w:gridCol w:w="150"/>
        <w:gridCol w:w="8615"/>
      </w:tblGrid>
      <w:tr>
        <w:trPr/>
        <w:tc>
          <w:tcPr>
            <w:tcW w:w="150"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5" w:type="dxa"/>
            <w:tcBorders/>
            <w:shd w:fill="auto" w:val="clear"/>
          </w:tcPr>
          <w:p>
            <w:pPr>
              <w:pStyle w:val="TableContents"/>
              <w:pBdr/>
              <w:spacing w:before="0" w:after="283"/>
              <w:jc w:val="both"/>
              <w:rPr>
                <w:sz w:val="17"/>
              </w:rPr>
            </w:pPr>
            <w:r>
              <w:rPr>
                <w:sz w:val="17"/>
              </w:rPr>
              <w:t xml:space="preserve">$1.3 million decrease in legal and professional fees in 2011 associated principally with our tax litigation case which was settled in 2010. </w:t>
            </w:r>
          </w:p>
        </w:tc>
      </w:tr>
    </w:tbl>
    <w:p>
      <w:pPr>
        <w:pStyle w:val="TextBody"/>
        <w:spacing w:before="200" w:after="200"/>
        <w:ind w:left="1440" w:right="0" w:firstLine="720"/>
        <w:jc w:val="both"/>
        <w:rPr>
          <w:sz w:val="17"/>
        </w:rPr>
      </w:pPr>
      <w:r>
        <w:rPr>
          <w:sz w:val="17"/>
        </w:rPr>
        <w:t xml:space="preserve">Also during 2011: </w:t>
      </w:r>
    </w:p>
    <w:tbl>
      <w:tblPr>
        <w:tblW w:w="8765" w:type="dxa"/>
        <w:jc w:val="left"/>
        <w:tblInd w:w="1440" w:type="dxa"/>
        <w:tblCellMar>
          <w:top w:w="0" w:type="dxa"/>
          <w:left w:w="0" w:type="dxa"/>
          <w:bottom w:w="0" w:type="dxa"/>
          <w:right w:w="0" w:type="dxa"/>
        </w:tblCellMar>
      </w:tblPr>
      <w:tblGrid>
        <w:gridCol w:w="119"/>
        <w:gridCol w:w="8646"/>
      </w:tblGrid>
      <w:tr>
        <w:trPr/>
        <w:tc>
          <w:tcPr>
            <w:tcW w:w="11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6" w:type="dxa"/>
            <w:tcBorders/>
            <w:shd w:fill="auto" w:val="clear"/>
          </w:tcPr>
          <w:p>
            <w:pPr>
              <w:pStyle w:val="TableContents"/>
              <w:pBdr/>
              <w:spacing w:before="0" w:after="283"/>
              <w:jc w:val="both"/>
              <w:rPr>
                <w:sz w:val="17"/>
              </w:rPr>
            </w:pPr>
            <w:r>
              <w:rPr>
                <w:sz w:val="17"/>
              </w:rPr>
              <w:t xml:space="preserve">net interest expense increased by $8.8 million compared to 2010.  The increase in interest expense during 2011 was primarily driven by a $5.0 million increase associated with the mark-to-market of our interest rate swaps and cap, an increase to interest expense of $1.1 million associated with increased line of credit fees for our new Australian credit facility, and a decrease in our 2010 interest primarily related to a reduction of interest on our Nationwide notes associated with a purchase price adjustment of the Consolidated Cinemas acquisition. </w:t>
            </w:r>
          </w:p>
        </w:tc>
      </w:tr>
    </w:tbl>
    <w:tbl>
      <w:tblPr>
        <w:tblW w:w="8765" w:type="dxa"/>
        <w:jc w:val="left"/>
        <w:tblInd w:w="1440" w:type="dxa"/>
        <w:tblCellMar>
          <w:top w:w="0" w:type="dxa"/>
          <w:left w:w="0" w:type="dxa"/>
          <w:bottom w:w="0" w:type="dxa"/>
          <w:right w:w="0" w:type="dxa"/>
        </w:tblCellMar>
      </w:tblPr>
      <w:tblGrid>
        <w:gridCol w:w="118"/>
        <w:gridCol w:w="8647"/>
      </w:tblGrid>
      <w:tr>
        <w:trPr/>
        <w:tc>
          <w:tcPr>
            <w:tcW w:w="118"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7" w:type="dxa"/>
            <w:tcBorders/>
            <w:shd w:fill="auto" w:val="clear"/>
          </w:tcPr>
          <w:p>
            <w:pPr>
              <w:pStyle w:val="TableContents"/>
              <w:pBdr/>
              <w:spacing w:before="0" w:after="283"/>
              <w:jc w:val="both"/>
              <w:rPr>
                <w:sz w:val="17"/>
              </w:rPr>
            </w:pPr>
            <w:r>
              <w:rPr>
                <w:sz w:val="17"/>
              </w:rPr>
              <w:t xml:space="preserve">the $1.2 million in other income during 2011 was primarily related to insurance proceeds from a partial payment of our business interruption claim for the temporary closure of our cinema in Christchurch, New Zealand due to the February 22, 2011 earthquake (see Note 26 – </w:t>
            </w:r>
            <w:r>
              <w:rPr>
                <w:i/>
                <w:sz w:val="17"/>
              </w:rPr>
              <w:t>Casualty Loss</w:t>
            </w:r>
            <w:r>
              <w:rPr>
                <w:sz w:val="17"/>
              </w:rPr>
              <w:t xml:space="preserve"> to our 2012 Consolidated Financial Statements).  The $347,000 other loss in 2010 included offsetting settlements related to our Whitehorse Center litigation and the 2008 sale of our interest in the Botany Downs cinema; a $605,000 loss associated with our Mackie litigation; and a recovery of previously written-off receivables.</w:t>
            </w:r>
          </w:p>
        </w:tc>
      </w:tr>
    </w:tbl>
    <w:tbl>
      <w:tblPr>
        <w:tblW w:w="8765" w:type="dxa"/>
        <w:jc w:val="left"/>
        <w:tblInd w:w="1440" w:type="dxa"/>
        <w:tblCellMar>
          <w:top w:w="0" w:type="dxa"/>
          <w:left w:w="0" w:type="dxa"/>
          <w:bottom w:w="0" w:type="dxa"/>
          <w:right w:w="0" w:type="dxa"/>
        </w:tblCellMar>
      </w:tblPr>
      <w:tblGrid>
        <w:gridCol w:w="149"/>
        <w:gridCol w:w="8616"/>
      </w:tblGrid>
      <w:tr>
        <w:trPr/>
        <w:tc>
          <w:tcPr>
            <w:tcW w:w="14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6" w:type="dxa"/>
            <w:tcBorders/>
            <w:shd w:fill="auto" w:val="clear"/>
          </w:tcPr>
          <w:p>
            <w:pPr>
              <w:pStyle w:val="TableContents"/>
              <w:pBdr/>
              <w:spacing w:before="0" w:after="283"/>
              <w:jc w:val="both"/>
              <w:rPr>
                <w:sz w:val="17"/>
              </w:rPr>
            </w:pPr>
            <w:r>
              <w:rPr>
                <w:sz w:val="17"/>
              </w:rPr>
              <w:t>gain (loss) on sale of assets decreased by $419,000 primarily related to a deferred gain on sale of a property in 2010 not recurring in 2011.</w:t>
            </w:r>
          </w:p>
        </w:tc>
      </w:tr>
    </w:tbl>
    <w:tbl>
      <w:tblPr>
        <w:tblW w:w="8765" w:type="dxa"/>
        <w:jc w:val="left"/>
        <w:tblInd w:w="1440" w:type="dxa"/>
        <w:tblCellMar>
          <w:top w:w="0" w:type="dxa"/>
          <w:left w:w="0" w:type="dxa"/>
          <w:bottom w:w="0" w:type="dxa"/>
          <w:right w:w="0" w:type="dxa"/>
        </w:tblCellMar>
      </w:tblPr>
      <w:tblGrid>
        <w:gridCol w:w="143"/>
        <w:gridCol w:w="8622"/>
      </w:tblGrid>
      <w:tr>
        <w:trPr/>
        <w:tc>
          <w:tcPr>
            <w:tcW w:w="14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2" w:type="dxa"/>
            <w:tcBorders/>
            <w:shd w:fill="auto" w:val="clear"/>
          </w:tcPr>
          <w:p>
            <w:pPr>
              <w:pStyle w:val="TableContents"/>
              <w:pBdr/>
              <w:spacing w:before="0" w:after="283"/>
              <w:jc w:val="both"/>
              <w:rPr>
                <w:sz w:val="17"/>
              </w:rPr>
            </w:pPr>
            <w:r>
              <w:rPr>
                <w:sz w:val="17"/>
              </w:rPr>
              <w:t xml:space="preserve">equity earnings from unconsolidated investments decreased by $2.9 million primarily related to a $2.9 million impairment in our interest in Rialto Entertainment. </w:t>
            </w:r>
          </w:p>
        </w:tc>
      </w:tr>
    </w:tbl>
    <w:tbl>
      <w:tblPr>
        <w:tblW w:w="8765" w:type="dxa"/>
        <w:jc w:val="left"/>
        <w:tblInd w:w="1440" w:type="dxa"/>
        <w:tblCellMar>
          <w:top w:w="0" w:type="dxa"/>
          <w:left w:w="0" w:type="dxa"/>
          <w:bottom w:w="0" w:type="dxa"/>
          <w:right w:w="0" w:type="dxa"/>
        </w:tblCellMar>
      </w:tblPr>
      <w:tblGrid>
        <w:gridCol w:w="119"/>
        <w:gridCol w:w="8646"/>
      </w:tblGrid>
      <w:tr>
        <w:trPr/>
        <w:tc>
          <w:tcPr>
            <w:tcW w:w="11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6" w:type="dxa"/>
            <w:tcBorders/>
            <w:shd w:fill="auto" w:val="clear"/>
          </w:tcPr>
          <w:p>
            <w:pPr>
              <w:pStyle w:val="TableContents"/>
              <w:pBdr/>
              <w:spacing w:before="0" w:after="283"/>
              <w:jc w:val="both"/>
              <w:rPr>
                <w:sz w:val="17"/>
              </w:rPr>
            </w:pPr>
            <w:r>
              <w:rPr>
                <w:sz w:val="17"/>
              </w:rPr>
              <w:t xml:space="preserve">the net income tax benefit of $12.3 million during 2011 was primarily relating to a one-time tax provision adjustment of $14.4 million caused by a reduction in the valuation allowance related to our Australian operations compared to an income tax expense of $14.3 million during 2010 primarily relating to additional tax accrual associated with our tax litigation settlement.  For more information regarding these tax provision and accrual adjustments, see Note 14 – </w:t>
            </w:r>
            <w:r>
              <w:rPr>
                <w:i/>
                <w:sz w:val="17"/>
              </w:rPr>
              <w:t>Income Tax</w:t>
            </w:r>
            <w:r>
              <w:rPr>
                <w:sz w:val="17"/>
              </w:rPr>
              <w:t xml:space="preserve"> to our 2012 Consolidated Financial Statements.</w:t>
            </w:r>
          </w:p>
        </w:tc>
      </w:tr>
    </w:tbl>
    <w:tbl>
      <w:tblPr>
        <w:tblW w:w="8620" w:type="dxa"/>
        <w:jc w:val="left"/>
        <w:tblInd w:w="1440" w:type="dxa"/>
        <w:tblCellMar>
          <w:top w:w="0" w:type="dxa"/>
          <w:left w:w="0" w:type="dxa"/>
          <w:bottom w:w="0" w:type="dxa"/>
          <w:right w:w="0" w:type="dxa"/>
        </w:tblCellMar>
      </w:tblPr>
      <w:tblGrid>
        <w:gridCol w:w="155"/>
        <w:gridCol w:w="846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465" w:type="dxa"/>
            <w:tcBorders/>
            <w:shd w:fill="auto" w:val="clear"/>
          </w:tcPr>
          <w:p>
            <w:pPr>
              <w:pStyle w:val="TableContents"/>
              <w:pBdr/>
              <w:spacing w:before="0" w:after="283"/>
              <w:jc w:val="both"/>
              <w:rPr>
                <w:sz w:val="17"/>
              </w:rPr>
            </w:pPr>
            <w:r>
              <w:rPr>
                <w:sz w:val="17"/>
              </w:rPr>
              <w:t xml:space="preserve">gain on the sale for our Elsternwick Cinema of $1.7 million that is included in our income from discontinued operations. </w:t>
            </w:r>
          </w:p>
        </w:tc>
      </w:tr>
    </w:tbl>
    <w:p>
      <w:pPr>
        <w:pStyle w:val="TextBody"/>
        <w:spacing w:before="200" w:after="200"/>
        <w:ind w:left="1440" w:right="0" w:hanging="0"/>
        <w:jc w:val="both"/>
        <w:rPr>
          <w:sz w:val="17"/>
        </w:rPr>
      </w:pPr>
      <w:r>
        <w:rPr>
          <w:sz w:val="17"/>
          <w:u w:val="single"/>
        </w:rPr>
        <w:t>Income Taxes</w:t>
      </w:r>
      <w:r>
        <w:rPr>
          <w:sz w:val="17"/>
        </w:rPr>
        <w:t xml:space="preserve"> </w:t>
      </w:r>
    </w:p>
    <w:p>
      <w:pPr>
        <w:pStyle w:val="TextBody"/>
        <w:spacing w:before="0" w:after="200"/>
        <w:ind w:left="1440" w:right="0" w:firstLine="720"/>
        <w:jc w:val="both"/>
        <w:rPr>
          <w:sz w:val="17"/>
        </w:rPr>
      </w:pPr>
      <w:r>
        <w:rPr>
          <w:sz w:val="17"/>
        </w:rPr>
        <w:t xml:space="preserve">We are subject to income taxation in several jurisdictions throughout the world.  Our effective tax rate and income tax liabilities will be affected by a number of factors, such as: </w:t>
      </w:r>
    </w:p>
    <w:tbl>
      <w:tblPr>
        <w:tblW w:w="4075" w:type="dxa"/>
        <w:jc w:val="left"/>
        <w:tblInd w:w="1440" w:type="dxa"/>
        <w:tblCellMar>
          <w:top w:w="0" w:type="dxa"/>
          <w:left w:w="0" w:type="dxa"/>
          <w:bottom w:w="0" w:type="dxa"/>
          <w:right w:w="0" w:type="dxa"/>
        </w:tblCellMar>
      </w:tblPr>
      <w:tblGrid>
        <w:gridCol w:w="155"/>
        <w:gridCol w:w="392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920" w:type="dxa"/>
            <w:tcBorders/>
            <w:shd w:fill="auto" w:val="clear"/>
          </w:tcPr>
          <w:p>
            <w:pPr>
              <w:pStyle w:val="TableContents"/>
              <w:pBdr/>
              <w:spacing w:before="0" w:after="283"/>
              <w:jc w:val="both"/>
              <w:rPr>
                <w:sz w:val="17"/>
              </w:rPr>
            </w:pPr>
            <w:r>
              <w:rPr>
                <w:sz w:val="17"/>
              </w:rPr>
              <w:t>the amount of taxable income in particular jurisdictions;</w:t>
            </w:r>
          </w:p>
        </w:tc>
      </w:tr>
    </w:tbl>
    <w:tbl>
      <w:tblPr>
        <w:tblW w:w="2830" w:type="dxa"/>
        <w:jc w:val="left"/>
        <w:tblInd w:w="1440" w:type="dxa"/>
        <w:tblCellMar>
          <w:top w:w="0" w:type="dxa"/>
          <w:left w:w="0" w:type="dxa"/>
          <w:bottom w:w="0" w:type="dxa"/>
          <w:right w:w="0" w:type="dxa"/>
        </w:tblCellMar>
      </w:tblPr>
      <w:tblGrid>
        <w:gridCol w:w="155"/>
        <w:gridCol w:w="267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675" w:type="dxa"/>
            <w:tcBorders/>
            <w:shd w:fill="auto" w:val="clear"/>
          </w:tcPr>
          <w:p>
            <w:pPr>
              <w:pStyle w:val="TableContents"/>
              <w:pBdr/>
              <w:spacing w:before="0" w:after="283"/>
              <w:jc w:val="both"/>
              <w:rPr>
                <w:sz w:val="17"/>
              </w:rPr>
            </w:pPr>
            <w:r>
              <w:rPr>
                <w:sz w:val="17"/>
              </w:rPr>
              <w:t>the tax rates in particular jurisdictions;</w:t>
            </w:r>
          </w:p>
        </w:tc>
      </w:tr>
    </w:tbl>
    <w:tbl>
      <w:tblPr>
        <w:tblW w:w="2470" w:type="dxa"/>
        <w:jc w:val="left"/>
        <w:tblInd w:w="1440" w:type="dxa"/>
        <w:tblCellMar>
          <w:top w:w="0" w:type="dxa"/>
          <w:left w:w="0" w:type="dxa"/>
          <w:bottom w:w="0" w:type="dxa"/>
          <w:right w:w="0" w:type="dxa"/>
        </w:tblCellMar>
      </w:tblPr>
      <w:tblGrid>
        <w:gridCol w:w="155"/>
        <w:gridCol w:w="23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315" w:type="dxa"/>
            <w:tcBorders/>
            <w:shd w:fill="auto" w:val="clear"/>
          </w:tcPr>
          <w:p>
            <w:pPr>
              <w:pStyle w:val="TableContents"/>
              <w:pBdr/>
              <w:spacing w:before="0" w:after="283"/>
              <w:jc w:val="both"/>
              <w:rPr>
                <w:sz w:val="17"/>
              </w:rPr>
            </w:pPr>
            <w:r>
              <w:rPr>
                <w:sz w:val="17"/>
              </w:rPr>
              <w:t>tax treaties between jurisdictions;</w:t>
            </w:r>
          </w:p>
        </w:tc>
      </w:tr>
    </w:tbl>
    <w:tbl>
      <w:tblPr>
        <w:tblW w:w="3340" w:type="dxa"/>
        <w:jc w:val="left"/>
        <w:tblInd w:w="1440" w:type="dxa"/>
        <w:tblCellMar>
          <w:top w:w="0" w:type="dxa"/>
          <w:left w:w="0" w:type="dxa"/>
          <w:bottom w:w="0" w:type="dxa"/>
          <w:right w:w="0" w:type="dxa"/>
        </w:tblCellMar>
      </w:tblPr>
      <w:tblGrid>
        <w:gridCol w:w="155"/>
        <w:gridCol w:w="318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185" w:type="dxa"/>
            <w:tcBorders/>
            <w:shd w:fill="auto" w:val="clear"/>
          </w:tcPr>
          <w:p>
            <w:pPr>
              <w:pStyle w:val="TableContents"/>
              <w:pBdr/>
              <w:spacing w:before="0" w:after="283"/>
              <w:jc w:val="both"/>
              <w:rPr>
                <w:sz w:val="17"/>
              </w:rPr>
            </w:pPr>
            <w:r>
              <w:rPr>
                <w:sz w:val="17"/>
              </w:rPr>
              <w:t>the extent to which income is repatriated; and</w:t>
            </w:r>
          </w:p>
        </w:tc>
      </w:tr>
    </w:tbl>
    <w:tbl>
      <w:tblPr>
        <w:tblW w:w="1720" w:type="dxa"/>
        <w:jc w:val="left"/>
        <w:tblInd w:w="1440" w:type="dxa"/>
        <w:tblCellMar>
          <w:top w:w="0" w:type="dxa"/>
          <w:left w:w="0" w:type="dxa"/>
          <w:bottom w:w="0" w:type="dxa"/>
          <w:right w:w="0" w:type="dxa"/>
        </w:tblCellMar>
      </w:tblPr>
      <w:tblGrid>
        <w:gridCol w:w="155"/>
        <w:gridCol w:w="156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1565" w:type="dxa"/>
            <w:tcBorders/>
            <w:shd w:fill="auto" w:val="clear"/>
          </w:tcPr>
          <w:p>
            <w:pPr>
              <w:pStyle w:val="TableContents"/>
              <w:pBdr/>
              <w:spacing w:before="0" w:after="283"/>
              <w:jc w:val="both"/>
              <w:rPr>
                <w:sz w:val="17"/>
              </w:rPr>
            </w:pPr>
            <w:r>
              <w:rPr>
                <w:sz w:val="17"/>
              </w:rPr>
              <w:t>future changes in law.</w:t>
            </w:r>
          </w:p>
        </w:tc>
      </w:tr>
    </w:tbl>
    <w:p>
      <w:pPr>
        <w:pStyle w:val="TextBody"/>
        <w:spacing w:before="200" w:after="200"/>
        <w:ind w:left="1440" w:right="0" w:firstLine="720"/>
        <w:jc w:val="both"/>
        <w:rPr>
          <w:sz w:val="17"/>
        </w:rPr>
      </w:pPr>
      <w:r>
        <w:rPr>
          <w:sz w:val="17"/>
        </w:rPr>
        <w:t xml:space="preserve">Generally, we file consolidated or combined tax returns in jurisdictions that permit or require such filings.  For jurisdictions that do not permit such a filing, we may owe income, franchise, or capital taxes even though, on an overall basis, we may have incurred a net loss for the tax year.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u w:val="single"/>
        </w:rPr>
        <w:t>Net Income Attributable to Reading International, Inc. Common Shareholders</w:t>
      </w:r>
      <w:r>
        <w:rPr>
          <w:sz w:val="17"/>
        </w:rPr>
        <w:t xml:space="preserve"> </w:t>
      </w:r>
    </w:p>
    <w:p>
      <w:pPr>
        <w:pStyle w:val="TextBody"/>
        <w:spacing w:before="0" w:after="200"/>
        <w:ind w:left="1440" w:right="0" w:hanging="0"/>
        <w:jc w:val="both"/>
        <w:rPr/>
      </w:pPr>
      <w:r>
        <w:rPr/>
        <w:t>            </w:t>
      </w:r>
      <w:r>
        <w:rPr>
          <w:sz w:val="17"/>
        </w:rPr>
        <w:t xml:space="preserve">For the years ending 2012, 2011, and 2010, our consolidated business units produced a net loss of $914,000, a net income of $10.0 million (primarily driven by a decrease in our tax provision of $14.4 million caused by a reduction in the valuation allowance related to our Australian operations), and a net loss of $12.7 million (primarily driven by an increase in our accrual for our IRS Tax Audit/Litigation case of $12.0 million), respectively, attributable to Reading International, Inc. common shareholders.  For many of the years prior to 2012, we consistently experienced net losses.  However, as explained in the Cinema and Real Estate segment sections above, we have generally noted improvements in our segment operating income such that we have a positive segment operating income for each of the years of 2012, 2011, and 2010, that in years past has been negative.  Although we cannot assure that this trend will continue, we are committed to the overall improvement of earnings through good fiscal management. </w:t>
      </w:r>
    </w:p>
    <w:p>
      <w:pPr>
        <w:pStyle w:val="TextBody"/>
        <w:spacing w:before="0" w:after="200"/>
        <w:ind w:left="1440" w:right="0" w:hanging="0"/>
        <w:jc w:val="both"/>
        <w:rPr>
          <w:sz w:val="17"/>
        </w:rPr>
      </w:pPr>
      <w:r>
        <w:rPr>
          <w:b/>
          <w:sz w:val="17"/>
          <w:u w:val="single"/>
        </w:rPr>
        <w:t>Business Plan, Liquidity, and Capital Resources of the Company</w:t>
      </w:r>
      <w:r>
        <w:rPr>
          <w:sz w:val="17"/>
        </w:rPr>
        <w:t xml:space="preserve"> </w:t>
      </w:r>
    </w:p>
    <w:p>
      <w:pPr>
        <w:pStyle w:val="TextBody"/>
        <w:spacing w:before="0" w:after="200"/>
        <w:ind w:left="1440" w:right="0" w:hanging="0"/>
        <w:jc w:val="both"/>
        <w:rPr>
          <w:sz w:val="17"/>
        </w:rPr>
      </w:pPr>
      <w:r>
        <w:rPr>
          <w:sz w:val="17"/>
          <w:u w:val="single"/>
        </w:rPr>
        <w:t>Business Plan</w:t>
      </w:r>
      <w:r>
        <w:rPr>
          <w:sz w:val="17"/>
        </w:rPr>
        <w:t xml:space="preserve"> </w:t>
      </w:r>
    </w:p>
    <w:p>
      <w:pPr>
        <w:pStyle w:val="TextBody"/>
        <w:spacing w:before="0" w:after="200"/>
        <w:ind w:left="1440" w:right="0" w:hanging="0"/>
        <w:jc w:val="both"/>
        <w:rPr/>
      </w:pPr>
      <w:r>
        <w:rPr/>
        <w:t>            </w:t>
      </w:r>
      <w:r>
        <w:rPr>
          <w:sz w:val="17"/>
        </w:rPr>
        <w:t xml:space="preserve">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Since we believe the cinema exhibition business to be a mature business with most markets either adequately screened or over-screened, we see growth in our cinema business coming principally from the enhancement of our current cinemas, the development in select markets of specialty cinemas, and the opportunistic acquisition of already existing cinemas rather than from the development of new conventional cinemas.  From time to time, we invest in the securities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 </w:t>
      </w:r>
    </w:p>
    <w:p>
      <w:pPr>
        <w:pStyle w:val="TextBody"/>
        <w:spacing w:before="0" w:after="200"/>
        <w:ind w:left="1440" w:right="0" w:hanging="0"/>
        <w:jc w:val="both"/>
        <w:rPr/>
      </w:pPr>
      <w:r>
        <w:rPr/>
        <w:t>            </w:t>
      </w:r>
      <w:r>
        <w:rPr>
          <w:sz w:val="17"/>
        </w:rPr>
        <w:t xml:space="preserve">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operation with the investment and development opportunities of our real estate development operation, our business strategy is unique among public companies. </w:t>
      </w:r>
    </w:p>
    <w:p>
      <w:pPr>
        <w:pStyle w:val="TextBody"/>
        <w:spacing w:before="0" w:after="200"/>
        <w:ind w:left="1440" w:right="0" w:hanging="0"/>
        <w:jc w:val="both"/>
        <w:rPr>
          <w:sz w:val="17"/>
        </w:rPr>
      </w:pPr>
      <w:r>
        <w:rPr>
          <w:sz w:val="17"/>
          <w:u w:val="single"/>
        </w:rPr>
        <w:t>Liquidity and Capital Resources</w:t>
      </w:r>
      <w:r>
        <w:rPr>
          <w:sz w:val="17"/>
        </w:rPr>
        <w:t xml:space="preserve"> </w:t>
      </w:r>
    </w:p>
    <w:p>
      <w:pPr>
        <w:pStyle w:val="TextBody"/>
        <w:spacing w:before="0" w:after="200"/>
        <w:ind w:left="1440" w:right="0" w:hanging="0"/>
        <w:jc w:val="both"/>
        <w:rPr/>
      </w:pPr>
      <w:r>
        <w:rPr/>
        <w:t>            </w:t>
      </w:r>
      <w:r>
        <w:rPr>
          <w:sz w:val="17"/>
        </w:rPr>
        <w:t xml:space="preserve">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  </w:t>
      </w:r>
    </w:p>
    <w:p>
      <w:pPr>
        <w:pStyle w:val="TextBody"/>
        <w:spacing w:before="0" w:after="200"/>
        <w:ind w:left="1440" w:right="0" w:firstLine="720"/>
        <w:jc w:val="both"/>
        <w:rPr>
          <w:sz w:val="17"/>
        </w:rPr>
      </w:pPr>
      <w:r>
        <w:rPr>
          <w:sz w:val="17"/>
        </w:rPr>
        <w:t xml:space="preserve">Currently, our liquidity needs continue to arise mainly from: </w:t>
      </w:r>
    </w:p>
    <w:tbl>
      <w:tblPr>
        <w:tblW w:w="2260" w:type="dxa"/>
        <w:jc w:val="left"/>
        <w:tblInd w:w="1440" w:type="dxa"/>
        <w:tblCellMar>
          <w:top w:w="0" w:type="dxa"/>
          <w:left w:w="0" w:type="dxa"/>
          <w:bottom w:w="0" w:type="dxa"/>
          <w:right w:w="0" w:type="dxa"/>
        </w:tblCellMar>
      </w:tblPr>
      <w:tblGrid>
        <w:gridCol w:w="155"/>
        <w:gridCol w:w="210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105" w:type="dxa"/>
            <w:tcBorders/>
            <w:shd w:fill="auto" w:val="clear"/>
          </w:tcPr>
          <w:p>
            <w:pPr>
              <w:pStyle w:val="TableContents"/>
              <w:pBdr/>
              <w:spacing w:before="0" w:after="283"/>
              <w:jc w:val="both"/>
              <w:rPr>
                <w:sz w:val="17"/>
              </w:rPr>
            </w:pPr>
            <w:r>
              <w:rPr>
                <w:sz w:val="17"/>
              </w:rPr>
              <w:t>working capital requirements;</w:t>
            </w:r>
          </w:p>
        </w:tc>
      </w:tr>
    </w:tbl>
    <w:tbl>
      <w:tblPr>
        <w:tblW w:w="1915" w:type="dxa"/>
        <w:jc w:val="left"/>
        <w:tblInd w:w="1440" w:type="dxa"/>
        <w:tblCellMar>
          <w:top w:w="0" w:type="dxa"/>
          <w:left w:w="0" w:type="dxa"/>
          <w:bottom w:w="0" w:type="dxa"/>
          <w:right w:w="0" w:type="dxa"/>
        </w:tblCellMar>
      </w:tblPr>
      <w:tblGrid>
        <w:gridCol w:w="155"/>
        <w:gridCol w:w="17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1760" w:type="dxa"/>
            <w:tcBorders/>
            <w:shd w:fill="auto" w:val="clear"/>
          </w:tcPr>
          <w:p>
            <w:pPr>
              <w:pStyle w:val="TableContents"/>
              <w:pBdr/>
              <w:spacing w:before="0" w:after="283"/>
              <w:jc w:val="both"/>
              <w:rPr>
                <w:sz w:val="17"/>
              </w:rPr>
            </w:pPr>
            <w:r>
              <w:rPr>
                <w:sz w:val="17"/>
              </w:rPr>
              <w:t>capital expenditures; and</w:t>
            </w:r>
          </w:p>
        </w:tc>
      </w:tr>
    </w:tbl>
    <w:tbl>
      <w:tblPr>
        <w:tblW w:w="2155" w:type="dxa"/>
        <w:jc w:val="left"/>
        <w:tblInd w:w="1440" w:type="dxa"/>
        <w:tblCellMar>
          <w:top w:w="0" w:type="dxa"/>
          <w:left w:w="0" w:type="dxa"/>
          <w:bottom w:w="0" w:type="dxa"/>
          <w:right w:w="0" w:type="dxa"/>
        </w:tblCellMar>
      </w:tblPr>
      <w:tblGrid>
        <w:gridCol w:w="155"/>
        <w:gridCol w:w="200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000" w:type="dxa"/>
            <w:tcBorders/>
            <w:shd w:fill="auto" w:val="clear"/>
          </w:tcPr>
          <w:p>
            <w:pPr>
              <w:pStyle w:val="TableContents"/>
              <w:pBdr/>
              <w:spacing w:before="0" w:after="283"/>
              <w:jc w:val="both"/>
              <w:rPr>
                <w:sz w:val="17"/>
              </w:rPr>
            </w:pPr>
            <w:r>
              <w:rPr>
                <w:sz w:val="17"/>
              </w:rPr>
              <w:t>debt servicing requirements.</w:t>
            </w:r>
          </w:p>
        </w:tc>
      </w:tr>
    </w:tbl>
    <w:p>
      <w:pPr>
        <w:pStyle w:val="TextBody"/>
        <w:spacing w:before="200" w:after="200"/>
        <w:ind w:left="1440" w:right="0" w:firstLine="720"/>
        <w:jc w:val="both"/>
        <w:rPr>
          <w:sz w:val="17"/>
        </w:rPr>
      </w:pPr>
      <w:r>
        <w:rPr>
          <w:sz w:val="17"/>
        </w:rPr>
        <w:t xml:space="preserve">With the changes to the worldwide credit markets, the business community is concerned that credit will be more difficult to obtain especially for potentially risky ventures like business and asset acquisitions.  However, we believe that our acquisitions over the past few years coupled with our strengthening operational cash flows demonstrate our ability to improve our profitability.  We believe that this business model will help us to demonstrate to lending institutions our ability not only to digitize our cinema circuit and make strategic acquisitions but also to service the associated debt.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u w:val="single"/>
        </w:rPr>
        <w:t>Discussion of Our Statement of Cash Flows</w:t>
      </w:r>
      <w:r>
        <w:rPr>
          <w:sz w:val="17"/>
        </w:rPr>
        <w:t xml:space="preserve"> </w:t>
      </w:r>
    </w:p>
    <w:p>
      <w:pPr>
        <w:pStyle w:val="TextBody"/>
        <w:spacing w:before="0" w:after="200"/>
        <w:ind w:left="1440" w:right="0" w:hanging="0"/>
        <w:jc w:val="both"/>
        <w:rPr/>
      </w:pPr>
      <w:r>
        <w:rPr/>
        <w:t>            </w:t>
      </w:r>
      <w:r>
        <w:rPr>
          <w:sz w:val="17"/>
        </w:rPr>
        <w:t xml:space="preserve">The following discussion compares the changes in our cash flows over the past three years.  </w:t>
      </w:r>
    </w:p>
    <w:p>
      <w:pPr>
        <w:pStyle w:val="TextBody"/>
        <w:spacing w:before="0" w:after="200"/>
        <w:ind w:left="1440" w:right="0" w:hanging="0"/>
        <w:jc w:val="both"/>
        <w:rPr>
          <w:sz w:val="17"/>
        </w:rPr>
      </w:pPr>
      <w:r>
        <w:rPr>
          <w:i/>
          <w:sz w:val="17"/>
        </w:rPr>
        <w:t>Operating Activities</w:t>
      </w:r>
      <w:r>
        <w:rPr>
          <w:sz w:val="17"/>
        </w:rPr>
        <w:t xml:space="preserve"> </w:t>
      </w:r>
    </w:p>
    <w:p>
      <w:pPr>
        <w:pStyle w:val="TextBody"/>
        <w:spacing w:before="0" w:after="200"/>
        <w:ind w:left="1440" w:right="0" w:firstLine="720"/>
        <w:jc w:val="both"/>
        <w:rPr>
          <w:sz w:val="17"/>
        </w:rPr>
      </w:pPr>
      <w:r>
        <w:rPr>
          <w:sz w:val="17"/>
          <w:u w:val="single"/>
        </w:rPr>
        <w:t>2012 Compared to 2011</w:t>
      </w:r>
      <w:r>
        <w:rPr>
          <w:sz w:val="17"/>
        </w:rPr>
        <w:t xml:space="preserve">.  Cash provided by operations was $25.5 million in 2012 compared to $24.3 million in the 2011.  The increase in cash provided by operations of $1.2 million was due primarily to a $4.4 million increase in operational cash flows; offset by, a $3.2 million decrease in cash from changes in operating assets and liabilities </w:t>
      </w:r>
    </w:p>
    <w:p>
      <w:pPr>
        <w:pStyle w:val="TextBody"/>
        <w:spacing w:before="0" w:after="200"/>
        <w:ind w:left="1440" w:right="0" w:firstLine="720"/>
        <w:jc w:val="both"/>
        <w:rPr>
          <w:sz w:val="17"/>
        </w:rPr>
      </w:pPr>
      <w:r>
        <w:rPr>
          <w:sz w:val="17"/>
          <w:u w:val="single"/>
        </w:rPr>
        <w:t>2011 Compared to 2010</w:t>
      </w:r>
      <w:r>
        <w:rPr>
          <w:sz w:val="17"/>
        </w:rPr>
        <w:t xml:space="preserve">.  Cash provided by operations was $24.3 million in 2011 compared to $22.8 million in the 2010.  The increase in cash provided by operations of $1.5 million was due primarily to $4.5 million from changes in operating assets and liabilities (excluding a $12.7 million change in accrual for our tax litigation settlement) offset by a $3.1 million decrease in operational cash flows. </w:t>
      </w:r>
    </w:p>
    <w:p>
      <w:pPr>
        <w:pStyle w:val="TextBody"/>
        <w:spacing w:before="0" w:after="200"/>
        <w:ind w:left="1440" w:right="0" w:hanging="0"/>
        <w:jc w:val="both"/>
        <w:rPr>
          <w:sz w:val="17"/>
        </w:rPr>
      </w:pPr>
      <w:r>
        <w:rPr>
          <w:i/>
          <w:sz w:val="17"/>
        </w:rPr>
        <w:t>Investing Activities</w:t>
      </w:r>
      <w:r>
        <w:rPr>
          <w:sz w:val="17"/>
        </w:rPr>
        <w:t xml:space="preserve"> </w:t>
      </w:r>
    </w:p>
    <w:p>
      <w:pPr>
        <w:pStyle w:val="TextBody"/>
        <w:spacing w:before="0" w:after="200"/>
        <w:ind w:left="1440" w:right="0" w:hanging="0"/>
        <w:jc w:val="both"/>
        <w:rPr/>
      </w:pPr>
      <w:r>
        <w:rPr/>
        <w:t>            </w:t>
      </w:r>
      <w:r>
        <w:rPr>
          <w:sz w:val="17"/>
        </w:rPr>
        <w:t xml:space="preserve">Cash used in investing activities was $6.1 million in 2012, $3.8 million in 2011, and $21.0 million in 2010.  The following summarizes our discretionary investing activities for each of the three years ending December 31, 2012: </w:t>
      </w:r>
    </w:p>
    <w:p>
      <w:pPr>
        <w:pStyle w:val="TextBody"/>
        <w:spacing w:before="0" w:after="200"/>
        <w:ind w:left="1440" w:right="0" w:firstLine="720"/>
        <w:jc w:val="both"/>
        <w:rPr>
          <w:sz w:val="17"/>
        </w:rPr>
      </w:pPr>
      <w:r>
        <w:rPr>
          <w:sz w:val="17"/>
        </w:rPr>
        <w:t xml:space="preserve">The $6.1 million cash used in 2012 was primarily related to: </w:t>
      </w:r>
    </w:p>
    <w:tbl>
      <w:tblPr>
        <w:tblW w:w="4720" w:type="dxa"/>
        <w:jc w:val="left"/>
        <w:tblInd w:w="1440" w:type="dxa"/>
        <w:tblCellMar>
          <w:top w:w="0" w:type="dxa"/>
          <w:left w:w="0" w:type="dxa"/>
          <w:bottom w:w="0" w:type="dxa"/>
          <w:right w:w="0" w:type="dxa"/>
        </w:tblCellMar>
      </w:tblPr>
      <w:tblGrid>
        <w:gridCol w:w="155"/>
        <w:gridCol w:w="456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565" w:type="dxa"/>
            <w:tcBorders/>
            <w:shd w:fill="auto" w:val="clear"/>
          </w:tcPr>
          <w:p>
            <w:pPr>
              <w:pStyle w:val="TableContents"/>
              <w:pBdr/>
              <w:spacing w:before="0" w:after="283"/>
              <w:jc w:val="both"/>
              <w:rPr>
                <w:sz w:val="17"/>
              </w:rPr>
            </w:pPr>
            <w:r>
              <w:rPr>
                <w:sz w:val="17"/>
              </w:rPr>
              <w:t>$8.2 million in property enhancements to our existing properties;</w:t>
            </w:r>
          </w:p>
        </w:tc>
      </w:tr>
    </w:tbl>
    <w:tbl>
      <w:tblPr>
        <w:tblW w:w="2875" w:type="dxa"/>
        <w:jc w:val="left"/>
        <w:tblInd w:w="1440" w:type="dxa"/>
        <w:tblCellMar>
          <w:top w:w="0" w:type="dxa"/>
          <w:left w:w="0" w:type="dxa"/>
          <w:bottom w:w="0" w:type="dxa"/>
          <w:right w:w="0" w:type="dxa"/>
        </w:tblCellMar>
      </w:tblPr>
      <w:tblGrid>
        <w:gridCol w:w="155"/>
        <w:gridCol w:w="272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720" w:type="dxa"/>
            <w:tcBorders/>
            <w:shd w:fill="auto" w:val="clear"/>
          </w:tcPr>
          <w:p>
            <w:pPr>
              <w:pStyle w:val="TableContents"/>
              <w:pBdr/>
              <w:spacing w:before="0" w:after="283"/>
              <w:jc w:val="both"/>
              <w:rPr>
                <w:sz w:val="17"/>
              </w:rPr>
            </w:pPr>
            <w:r>
              <w:rPr>
                <w:sz w:val="17"/>
              </w:rPr>
              <w:t>$8.0 million to purchase time deposits;</w:t>
            </w:r>
          </w:p>
        </w:tc>
      </w:tr>
    </w:tbl>
    <w:tbl>
      <w:tblPr>
        <w:tblW w:w="3445" w:type="dxa"/>
        <w:jc w:val="left"/>
        <w:tblInd w:w="1440" w:type="dxa"/>
        <w:tblCellMar>
          <w:top w:w="0" w:type="dxa"/>
          <w:left w:w="0" w:type="dxa"/>
          <w:bottom w:w="0" w:type="dxa"/>
          <w:right w:w="0" w:type="dxa"/>
        </w:tblCellMar>
      </w:tblPr>
      <w:tblGrid>
        <w:gridCol w:w="155"/>
        <w:gridCol w:w="32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290" w:type="dxa"/>
            <w:tcBorders/>
            <w:shd w:fill="auto" w:val="clear"/>
          </w:tcPr>
          <w:p>
            <w:pPr>
              <w:pStyle w:val="TableContents"/>
              <w:pBdr/>
              <w:spacing w:before="0" w:after="283"/>
              <w:jc w:val="both"/>
              <w:rPr>
                <w:sz w:val="17"/>
              </w:rPr>
            </w:pPr>
            <w:r>
              <w:rPr>
                <w:sz w:val="17"/>
              </w:rPr>
              <w:t>$1.8 million to purchase a note receivable; and</w:t>
            </w:r>
          </w:p>
        </w:tc>
      </w:tr>
    </w:tbl>
    <w:tbl>
      <w:tblPr>
        <w:tblW w:w="4615" w:type="dxa"/>
        <w:jc w:val="left"/>
        <w:tblInd w:w="1440" w:type="dxa"/>
        <w:tblCellMar>
          <w:top w:w="0" w:type="dxa"/>
          <w:left w:w="0" w:type="dxa"/>
          <w:bottom w:w="0" w:type="dxa"/>
          <w:right w:w="0" w:type="dxa"/>
        </w:tblCellMar>
      </w:tblPr>
      <w:tblGrid>
        <w:gridCol w:w="155"/>
        <w:gridCol w:w="44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460" w:type="dxa"/>
            <w:tcBorders/>
            <w:shd w:fill="auto" w:val="clear"/>
          </w:tcPr>
          <w:p>
            <w:pPr>
              <w:pStyle w:val="TableContents"/>
              <w:pBdr/>
              <w:spacing w:before="0" w:after="283"/>
              <w:jc w:val="both"/>
              <w:rPr>
                <w:sz w:val="17"/>
              </w:rPr>
            </w:pPr>
            <w:r>
              <w:rPr>
                <w:sz w:val="17"/>
              </w:rPr>
              <w:t xml:space="preserve">$5.5 million for the purchase of the Coachella land acquisition; </w:t>
            </w:r>
          </w:p>
        </w:tc>
      </w:tr>
    </w:tbl>
    <w:p>
      <w:pPr>
        <w:pStyle w:val="TextBody"/>
        <w:spacing w:before="200" w:after="200"/>
        <w:ind w:left="1440" w:right="0" w:firstLine="720"/>
        <w:jc w:val="both"/>
        <w:rPr>
          <w:sz w:val="17"/>
        </w:rPr>
      </w:pPr>
      <w:r>
        <w:rPr>
          <w:sz w:val="17"/>
        </w:rPr>
        <w:t xml:space="preserve">offset by, </w:t>
      </w:r>
    </w:p>
    <w:tbl>
      <w:tblPr>
        <w:tblW w:w="6145" w:type="dxa"/>
        <w:jc w:val="left"/>
        <w:tblInd w:w="1440" w:type="dxa"/>
        <w:tblCellMar>
          <w:top w:w="0" w:type="dxa"/>
          <w:left w:w="0" w:type="dxa"/>
          <w:bottom w:w="0" w:type="dxa"/>
          <w:right w:w="0" w:type="dxa"/>
        </w:tblCellMar>
      </w:tblPr>
      <w:tblGrid>
        <w:gridCol w:w="155"/>
        <w:gridCol w:w="59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990" w:type="dxa"/>
            <w:tcBorders/>
            <w:shd w:fill="auto" w:val="clear"/>
          </w:tcPr>
          <w:p>
            <w:pPr>
              <w:pStyle w:val="TableContents"/>
              <w:pBdr/>
              <w:spacing w:before="0" w:after="283"/>
              <w:jc w:val="both"/>
              <w:rPr>
                <w:sz w:val="17"/>
              </w:rPr>
            </w:pPr>
            <w:r>
              <w:rPr>
                <w:sz w:val="17"/>
              </w:rPr>
              <w:t xml:space="preserve">$14.1 million of proceeds from the sale of our Taringa and Indooroopilly properties; </w:t>
            </w:r>
          </w:p>
        </w:tc>
      </w:tr>
    </w:tbl>
    <w:tbl>
      <w:tblPr>
        <w:tblW w:w="4645" w:type="dxa"/>
        <w:jc w:val="left"/>
        <w:tblInd w:w="1440" w:type="dxa"/>
        <w:tblCellMar>
          <w:top w:w="0" w:type="dxa"/>
          <w:left w:w="0" w:type="dxa"/>
          <w:bottom w:w="0" w:type="dxa"/>
          <w:right w:w="0" w:type="dxa"/>
        </w:tblCellMar>
      </w:tblPr>
      <w:tblGrid>
        <w:gridCol w:w="155"/>
        <w:gridCol w:w="44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490" w:type="dxa"/>
            <w:tcBorders/>
            <w:shd w:fill="auto" w:val="clear"/>
          </w:tcPr>
          <w:p>
            <w:pPr>
              <w:pStyle w:val="TableContents"/>
              <w:pBdr/>
              <w:spacing w:before="0" w:after="283"/>
              <w:jc w:val="both"/>
              <w:rPr>
                <w:sz w:val="17"/>
              </w:rPr>
            </w:pPr>
            <w:r>
              <w:rPr>
                <w:sz w:val="17"/>
              </w:rPr>
              <w:t>$382,000 in return of investment in unconsolidated entities; and</w:t>
            </w:r>
          </w:p>
        </w:tc>
      </w:tr>
    </w:tbl>
    <w:tbl>
      <w:tblPr>
        <w:tblW w:w="4570" w:type="dxa"/>
        <w:jc w:val="left"/>
        <w:tblInd w:w="1440" w:type="dxa"/>
        <w:tblCellMar>
          <w:top w:w="0" w:type="dxa"/>
          <w:left w:w="0" w:type="dxa"/>
          <w:bottom w:w="0" w:type="dxa"/>
          <w:right w:w="0" w:type="dxa"/>
        </w:tblCellMar>
      </w:tblPr>
      <w:tblGrid>
        <w:gridCol w:w="155"/>
        <w:gridCol w:w="44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415" w:type="dxa"/>
            <w:tcBorders/>
            <w:shd w:fill="auto" w:val="clear"/>
          </w:tcPr>
          <w:p>
            <w:pPr>
              <w:pStyle w:val="TableContents"/>
              <w:pBdr/>
              <w:spacing w:before="0" w:after="283"/>
              <w:jc w:val="both"/>
              <w:rPr>
                <w:sz w:val="17"/>
              </w:rPr>
            </w:pPr>
            <w:r>
              <w:rPr>
                <w:sz w:val="17"/>
              </w:rPr>
              <w:t>$3.0 million of proceeds from the sale of marketable securities.</w:t>
            </w:r>
          </w:p>
        </w:tc>
      </w:tr>
    </w:tbl>
    <w:p>
      <w:pPr>
        <w:pStyle w:val="TextBody"/>
        <w:spacing w:before="200" w:after="200"/>
        <w:ind w:left="1440" w:right="0" w:firstLine="720"/>
        <w:jc w:val="both"/>
        <w:rPr>
          <w:sz w:val="17"/>
        </w:rPr>
      </w:pPr>
      <w:r>
        <w:rPr>
          <w:sz w:val="17"/>
        </w:rPr>
        <w:t xml:space="preserve">The $3.8 million cash used in 2011 was primarily related to: </w:t>
      </w:r>
    </w:p>
    <w:tbl>
      <w:tblPr>
        <w:tblW w:w="3910" w:type="dxa"/>
        <w:jc w:val="left"/>
        <w:tblInd w:w="1440" w:type="dxa"/>
        <w:tblCellMar>
          <w:top w:w="0" w:type="dxa"/>
          <w:left w:w="0" w:type="dxa"/>
          <w:bottom w:w="0" w:type="dxa"/>
          <w:right w:w="0" w:type="dxa"/>
        </w:tblCellMar>
      </w:tblPr>
      <w:tblGrid>
        <w:gridCol w:w="155"/>
        <w:gridCol w:w="375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755" w:type="dxa"/>
            <w:tcBorders/>
            <w:shd w:fill="auto" w:val="clear"/>
          </w:tcPr>
          <w:p>
            <w:pPr>
              <w:pStyle w:val="TableContents"/>
              <w:pBdr/>
              <w:spacing w:before="0" w:after="283"/>
              <w:jc w:val="both"/>
              <w:rPr>
                <w:sz w:val="17"/>
              </w:rPr>
            </w:pPr>
            <w:r>
              <w:rPr>
                <w:sz w:val="17"/>
              </w:rPr>
              <w:t xml:space="preserve">$3.9 million for the purchase of the CalOaks cinema; </w:t>
            </w:r>
          </w:p>
        </w:tc>
      </w:tr>
    </w:tbl>
    <w:tbl>
      <w:tblPr>
        <w:tblW w:w="4765" w:type="dxa"/>
        <w:jc w:val="left"/>
        <w:tblInd w:w="1440" w:type="dxa"/>
        <w:tblCellMar>
          <w:top w:w="0" w:type="dxa"/>
          <w:left w:w="0" w:type="dxa"/>
          <w:bottom w:w="0" w:type="dxa"/>
          <w:right w:w="0" w:type="dxa"/>
        </w:tblCellMar>
      </w:tblPr>
      <w:tblGrid>
        <w:gridCol w:w="155"/>
        <w:gridCol w:w="461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610" w:type="dxa"/>
            <w:tcBorders/>
            <w:shd w:fill="auto" w:val="clear"/>
          </w:tcPr>
          <w:p>
            <w:pPr>
              <w:pStyle w:val="TableContents"/>
              <w:pBdr/>
              <w:spacing w:before="0" w:after="283"/>
              <w:jc w:val="both"/>
              <w:rPr>
                <w:sz w:val="17"/>
              </w:rPr>
            </w:pPr>
            <w:r>
              <w:rPr>
                <w:sz w:val="17"/>
              </w:rPr>
              <w:t xml:space="preserve">$5.5 million in property enhancements to our existing properties; </w:t>
            </w:r>
          </w:p>
        </w:tc>
      </w:tr>
    </w:tbl>
    <w:tbl>
      <w:tblPr>
        <w:tblW w:w="3265" w:type="dxa"/>
        <w:jc w:val="left"/>
        <w:tblInd w:w="1440" w:type="dxa"/>
        <w:tblCellMar>
          <w:top w:w="0" w:type="dxa"/>
          <w:left w:w="0" w:type="dxa"/>
          <w:bottom w:w="0" w:type="dxa"/>
          <w:right w:w="0" w:type="dxa"/>
        </w:tblCellMar>
      </w:tblPr>
      <w:tblGrid>
        <w:gridCol w:w="155"/>
        <w:gridCol w:w="311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110" w:type="dxa"/>
            <w:tcBorders/>
            <w:shd w:fill="auto" w:val="clear"/>
          </w:tcPr>
          <w:p>
            <w:pPr>
              <w:pStyle w:val="TableContents"/>
              <w:pBdr/>
              <w:spacing w:before="0" w:after="283"/>
              <w:jc w:val="both"/>
              <w:rPr>
                <w:sz w:val="17"/>
              </w:rPr>
            </w:pPr>
            <w:r>
              <w:rPr>
                <w:sz w:val="17"/>
              </w:rPr>
              <w:t>$168,000 of a change in restricted cash; and</w:t>
            </w:r>
          </w:p>
        </w:tc>
      </w:tr>
    </w:tbl>
    <w:tbl>
      <w:tblPr>
        <w:tblW w:w="4360" w:type="dxa"/>
        <w:jc w:val="left"/>
        <w:tblInd w:w="1440" w:type="dxa"/>
        <w:tblCellMar>
          <w:top w:w="0" w:type="dxa"/>
          <w:left w:w="0" w:type="dxa"/>
          <w:bottom w:w="0" w:type="dxa"/>
          <w:right w:w="0" w:type="dxa"/>
        </w:tblCellMar>
      </w:tblPr>
      <w:tblGrid>
        <w:gridCol w:w="155"/>
        <w:gridCol w:w="420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205" w:type="dxa"/>
            <w:tcBorders/>
            <w:shd w:fill="auto" w:val="clear"/>
          </w:tcPr>
          <w:p>
            <w:pPr>
              <w:pStyle w:val="TableContents"/>
              <w:pBdr/>
              <w:spacing w:before="0" w:after="283"/>
              <w:jc w:val="both"/>
              <w:rPr>
                <w:sz w:val="17"/>
              </w:rPr>
            </w:pPr>
            <w:r>
              <w:rPr>
                <w:sz w:val="17"/>
              </w:rPr>
              <w:t xml:space="preserve">$2.8 million for the purchase of mortgage notes receivable; </w:t>
            </w:r>
          </w:p>
        </w:tc>
      </w:tr>
    </w:tbl>
    <w:p>
      <w:pPr>
        <w:pStyle w:val="TextBody"/>
        <w:spacing w:before="200" w:after="200"/>
        <w:ind w:left="1440" w:right="0" w:firstLine="720"/>
        <w:jc w:val="both"/>
        <w:rPr>
          <w:sz w:val="17"/>
        </w:rPr>
      </w:pPr>
      <w:r>
        <w:rPr>
          <w:sz w:val="17"/>
        </w:rPr>
        <w:t xml:space="preserve">offset by, </w:t>
      </w:r>
    </w:p>
    <w:tbl>
      <w:tblPr>
        <w:tblW w:w="8765" w:type="dxa"/>
        <w:jc w:val="left"/>
        <w:tblInd w:w="1440" w:type="dxa"/>
        <w:tblCellMar>
          <w:top w:w="0" w:type="dxa"/>
          <w:left w:w="0" w:type="dxa"/>
          <w:bottom w:w="0" w:type="dxa"/>
          <w:right w:w="0" w:type="dxa"/>
        </w:tblCellMar>
      </w:tblPr>
      <w:tblGrid>
        <w:gridCol w:w="149"/>
        <w:gridCol w:w="8616"/>
      </w:tblGrid>
      <w:tr>
        <w:trPr/>
        <w:tc>
          <w:tcPr>
            <w:tcW w:w="14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6" w:type="dxa"/>
            <w:tcBorders/>
            <w:shd w:fill="auto" w:val="clear"/>
          </w:tcPr>
          <w:p>
            <w:pPr>
              <w:pStyle w:val="TableContents"/>
              <w:pBdr/>
              <w:spacing w:before="0" w:after="283"/>
              <w:jc w:val="both"/>
              <w:rPr>
                <w:sz w:val="17"/>
              </w:rPr>
            </w:pPr>
            <w:r>
              <w:rPr>
                <w:sz w:val="17"/>
              </w:rPr>
              <w:t>$1.9 million of net proceeds from the sale of our 66.7% share of the 5-screen Elsternwick Classic cinema located in Melbourne, Australia;</w:t>
            </w:r>
          </w:p>
        </w:tc>
      </w:tr>
    </w:tbl>
    <w:tbl>
      <w:tblPr>
        <w:tblW w:w="4690" w:type="dxa"/>
        <w:jc w:val="left"/>
        <w:tblInd w:w="1440" w:type="dxa"/>
        <w:tblCellMar>
          <w:top w:w="0" w:type="dxa"/>
          <w:left w:w="0" w:type="dxa"/>
          <w:bottom w:w="0" w:type="dxa"/>
          <w:right w:w="0" w:type="dxa"/>
        </w:tblCellMar>
      </w:tblPr>
      <w:tblGrid>
        <w:gridCol w:w="155"/>
        <w:gridCol w:w="453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535" w:type="dxa"/>
            <w:tcBorders/>
            <w:shd w:fill="auto" w:val="clear"/>
          </w:tcPr>
          <w:p>
            <w:pPr>
              <w:pStyle w:val="TableContents"/>
              <w:pBdr/>
              <w:spacing w:before="0" w:after="283"/>
              <w:jc w:val="both"/>
              <w:rPr>
                <w:sz w:val="17"/>
              </w:rPr>
            </w:pPr>
            <w:r>
              <w:rPr>
                <w:sz w:val="17"/>
              </w:rPr>
              <w:t>$143,000 of proceeds from the sale of marketable securities; and</w:t>
            </w:r>
          </w:p>
        </w:tc>
      </w:tr>
    </w:tbl>
    <w:tbl>
      <w:tblPr>
        <w:tblW w:w="8170" w:type="dxa"/>
        <w:jc w:val="left"/>
        <w:tblInd w:w="1440" w:type="dxa"/>
        <w:tblCellMar>
          <w:top w:w="0" w:type="dxa"/>
          <w:left w:w="0" w:type="dxa"/>
          <w:bottom w:w="0" w:type="dxa"/>
          <w:right w:w="0" w:type="dxa"/>
        </w:tblCellMar>
      </w:tblPr>
      <w:tblGrid>
        <w:gridCol w:w="155"/>
        <w:gridCol w:w="80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015" w:type="dxa"/>
            <w:tcBorders/>
            <w:shd w:fill="auto" w:val="clear"/>
          </w:tcPr>
          <w:p>
            <w:pPr>
              <w:pStyle w:val="TableContents"/>
              <w:pBdr/>
              <w:spacing w:before="0" w:after="283"/>
              <w:jc w:val="both"/>
              <w:rPr>
                <w:sz w:val="17"/>
              </w:rPr>
            </w:pPr>
            <w:r>
              <w:rPr>
                <w:sz w:val="17"/>
              </w:rPr>
              <w:t>$6.8 million of proceeds from the pay off of a long-term other receivable associated with our Malulani investment.</w:t>
            </w:r>
          </w:p>
        </w:tc>
      </w:tr>
    </w:tbl>
    <w:p>
      <w:pPr>
        <w:pStyle w:val="TextBody"/>
        <w:spacing w:before="200" w:after="200"/>
        <w:ind w:left="1440" w:right="0" w:firstLine="720"/>
        <w:jc w:val="both"/>
        <w:rPr>
          <w:sz w:val="17"/>
        </w:rPr>
      </w:pPr>
      <w:r>
        <w:rPr>
          <w:sz w:val="17"/>
        </w:rPr>
        <w:t xml:space="preserve">The $21.0 million cash used in 2010 was primarily related to: </w:t>
      </w:r>
    </w:p>
    <w:tbl>
      <w:tblPr>
        <w:tblW w:w="4855" w:type="dxa"/>
        <w:jc w:val="left"/>
        <w:tblInd w:w="1440" w:type="dxa"/>
        <w:tblCellMar>
          <w:top w:w="0" w:type="dxa"/>
          <w:left w:w="0" w:type="dxa"/>
          <w:bottom w:w="0" w:type="dxa"/>
          <w:right w:w="0" w:type="dxa"/>
        </w:tblCellMar>
      </w:tblPr>
      <w:tblGrid>
        <w:gridCol w:w="155"/>
        <w:gridCol w:w="470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00" w:type="dxa"/>
            <w:tcBorders/>
            <w:shd w:fill="auto" w:val="clear"/>
          </w:tcPr>
          <w:p>
            <w:pPr>
              <w:pStyle w:val="TableContents"/>
              <w:pBdr/>
              <w:spacing w:before="0" w:after="283"/>
              <w:jc w:val="both"/>
              <w:rPr>
                <w:sz w:val="17"/>
              </w:rPr>
            </w:pPr>
            <w:r>
              <w:rPr>
                <w:sz w:val="17"/>
              </w:rPr>
              <w:t xml:space="preserve">$14.1 million in property enhancements to our existing properties; </w:t>
            </w:r>
          </w:p>
        </w:tc>
      </w:tr>
    </w:tbl>
    <w:tbl>
      <w:tblPr>
        <w:tblW w:w="2425" w:type="dxa"/>
        <w:jc w:val="left"/>
        <w:tblInd w:w="1440" w:type="dxa"/>
        <w:tblCellMar>
          <w:top w:w="0" w:type="dxa"/>
          <w:left w:w="0" w:type="dxa"/>
          <w:bottom w:w="0" w:type="dxa"/>
          <w:right w:w="0" w:type="dxa"/>
        </w:tblCellMar>
      </w:tblPr>
      <w:tblGrid>
        <w:gridCol w:w="155"/>
        <w:gridCol w:w="227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270" w:type="dxa"/>
            <w:tcBorders/>
            <w:shd w:fill="auto" w:val="clear"/>
          </w:tcPr>
          <w:p>
            <w:pPr>
              <w:pStyle w:val="TableContents"/>
              <w:pBdr/>
              <w:spacing w:before="0" w:after="283"/>
              <w:jc w:val="both"/>
              <w:rPr>
                <w:sz w:val="17"/>
              </w:rPr>
            </w:pPr>
            <w:r>
              <w:rPr>
                <w:sz w:val="17"/>
              </w:rPr>
              <w:t>$5.3 million in acquisitions; and</w:t>
            </w:r>
          </w:p>
        </w:tc>
      </w:tr>
    </w:tbl>
    <w:tbl>
      <w:tblPr>
        <w:tblW w:w="2980" w:type="dxa"/>
        <w:jc w:val="left"/>
        <w:tblInd w:w="1440" w:type="dxa"/>
        <w:tblCellMar>
          <w:top w:w="0" w:type="dxa"/>
          <w:left w:w="0" w:type="dxa"/>
          <w:bottom w:w="0" w:type="dxa"/>
          <w:right w:w="0" w:type="dxa"/>
        </w:tblCellMar>
      </w:tblPr>
      <w:tblGrid>
        <w:gridCol w:w="155"/>
        <w:gridCol w:w="282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825" w:type="dxa"/>
            <w:tcBorders/>
            <w:shd w:fill="auto" w:val="clear"/>
          </w:tcPr>
          <w:p>
            <w:pPr>
              <w:pStyle w:val="TableContents"/>
              <w:pBdr/>
              <w:spacing w:before="0" w:after="283"/>
              <w:jc w:val="both"/>
              <w:rPr>
                <w:sz w:val="17"/>
              </w:rPr>
            </w:pPr>
            <w:r>
              <w:rPr>
                <w:sz w:val="17"/>
              </w:rPr>
              <w:t>$1.8 million of change in restricted cash</w:t>
            </w:r>
          </w:p>
        </w:tc>
      </w:tr>
    </w:tbl>
    <w:p>
      <w:pPr>
        <w:pStyle w:val="TextBody"/>
        <w:spacing w:before="200" w:after="200"/>
        <w:ind w:left="1440" w:right="0" w:firstLine="720"/>
        <w:jc w:val="both"/>
        <w:rPr>
          <w:sz w:val="17"/>
        </w:rPr>
      </w:pPr>
      <w:r>
        <w:rPr>
          <w:sz w:val="17"/>
        </w:rPr>
        <w:t xml:space="preserve">offset by,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4360" w:type="dxa"/>
        <w:jc w:val="left"/>
        <w:tblInd w:w="1440" w:type="dxa"/>
        <w:tblCellMar>
          <w:top w:w="0" w:type="dxa"/>
          <w:left w:w="0" w:type="dxa"/>
          <w:bottom w:w="0" w:type="dxa"/>
          <w:right w:w="0" w:type="dxa"/>
        </w:tblCellMar>
      </w:tblPr>
      <w:tblGrid>
        <w:gridCol w:w="155"/>
        <w:gridCol w:w="4205"/>
      </w:tblGrid>
      <w:tr>
        <w:trPr/>
        <w:tc>
          <w:tcPr>
            <w:tcW w:w="155" w:type="dxa"/>
            <w:tcBorders/>
            <w:shd w:fill="auto" w:val="clear"/>
          </w:tcPr>
          <w:p>
            <w:pPr>
              <w:pStyle w:val="TableContents"/>
              <w:spacing w:before="0" w:after="0"/>
              <w:ind w:left="360" w:right="0" w:hanging="0"/>
              <w:jc w:val="both"/>
              <w:rPr>
                <w:sz w:val="17"/>
              </w:rPr>
            </w:pPr>
            <w:r>
              <w:rPr>
                <w:rFonts w:ascii="Symbol" w:hAnsi="Symbol"/>
                <w:sz w:val="17"/>
              </w:rPr>
              <w:t>·</w:t>
            </w:r>
            <w:r>
              <w:rPr>
                <w:sz w:val="17"/>
              </w:rPr>
              <w:t xml:space="preserve"> </w:t>
            </w:r>
          </w:p>
        </w:tc>
        <w:tc>
          <w:tcPr>
            <w:tcW w:w="4205" w:type="dxa"/>
            <w:tcBorders/>
            <w:shd w:fill="auto" w:val="clear"/>
          </w:tcPr>
          <w:p>
            <w:pPr>
              <w:pStyle w:val="TableContents"/>
              <w:spacing w:before="0" w:after="283"/>
              <w:jc w:val="both"/>
              <w:rPr>
                <w:sz w:val="17"/>
              </w:rPr>
            </w:pPr>
            <w:r>
              <w:rPr>
                <w:sz w:val="17"/>
              </w:rPr>
              <w:t>$229,000 in return of investment of unconsolidated entities.</w:t>
            </w:r>
          </w:p>
        </w:tc>
      </w:tr>
    </w:tbl>
    <w:p>
      <w:pPr>
        <w:pStyle w:val="TextBody"/>
        <w:spacing w:before="200" w:after="200"/>
        <w:ind w:left="1440" w:right="0" w:hanging="0"/>
        <w:jc w:val="both"/>
        <w:rPr>
          <w:sz w:val="17"/>
        </w:rPr>
      </w:pPr>
      <w:r>
        <w:rPr>
          <w:i/>
          <w:sz w:val="17"/>
        </w:rPr>
        <w:t>Financing Activities</w:t>
      </w:r>
      <w:r>
        <w:rPr>
          <w:sz w:val="17"/>
        </w:rPr>
        <w:t xml:space="preserve"> </w:t>
      </w:r>
    </w:p>
    <w:p>
      <w:pPr>
        <w:pStyle w:val="TextBody"/>
        <w:spacing w:before="0" w:after="200"/>
        <w:ind w:left="1440" w:right="0" w:hanging="0"/>
        <w:jc w:val="both"/>
        <w:rPr/>
      </w:pPr>
      <w:r>
        <w:rPr/>
        <w:t>            </w:t>
      </w:r>
      <w:r>
        <w:rPr>
          <w:sz w:val="17"/>
        </w:rPr>
        <w:t xml:space="preserve">Cash used in financing activities for 2012 was $12.7 million and $23.4 million in 2011 compared to cash provided by financing activities of $5.5 million in 2010.  The following summarizes our financing activities for each of the three years ending December 31, 2012: </w:t>
      </w:r>
    </w:p>
    <w:p>
      <w:pPr>
        <w:pStyle w:val="TextBody"/>
        <w:spacing w:before="0" w:after="200"/>
        <w:ind w:left="1800" w:right="0" w:firstLine="360"/>
        <w:jc w:val="both"/>
        <w:rPr>
          <w:sz w:val="17"/>
        </w:rPr>
      </w:pPr>
      <w:r>
        <w:rPr>
          <w:sz w:val="17"/>
        </w:rPr>
        <w:t xml:space="preserve">The $12.7 million cash used in 2012 was primarily related to: </w:t>
      </w:r>
    </w:p>
    <w:tbl>
      <w:tblPr>
        <w:tblW w:w="8765" w:type="dxa"/>
        <w:jc w:val="left"/>
        <w:tblInd w:w="1440" w:type="dxa"/>
        <w:tblCellMar>
          <w:top w:w="0" w:type="dxa"/>
          <w:left w:w="0" w:type="dxa"/>
          <w:bottom w:w="0" w:type="dxa"/>
          <w:right w:w="0" w:type="dxa"/>
        </w:tblCellMar>
      </w:tblPr>
      <w:tblGrid>
        <w:gridCol w:w="135"/>
        <w:gridCol w:w="8630"/>
      </w:tblGrid>
      <w:tr>
        <w:trPr/>
        <w:tc>
          <w:tcPr>
            <w:tcW w:w="135" w:type="dxa"/>
            <w:tcBorders/>
            <w:shd w:fill="auto" w:val="clear"/>
          </w:tcPr>
          <w:p>
            <w:pPr>
              <w:pStyle w:val="TableContents"/>
              <w:spacing w:before="0" w:after="0"/>
              <w:ind w:left="360" w:right="0" w:hanging="0"/>
              <w:jc w:val="both"/>
              <w:rPr>
                <w:sz w:val="17"/>
              </w:rPr>
            </w:pPr>
            <w:r>
              <w:rPr>
                <w:rFonts w:ascii="Symbol" w:hAnsi="Symbol"/>
                <w:sz w:val="17"/>
              </w:rPr>
              <w:t>·</w:t>
            </w:r>
            <w:r>
              <w:rPr>
                <w:sz w:val="17"/>
              </w:rPr>
              <w:t xml:space="preserve"> </w:t>
            </w:r>
          </w:p>
        </w:tc>
        <w:tc>
          <w:tcPr>
            <w:tcW w:w="8630" w:type="dxa"/>
            <w:tcBorders/>
            <w:shd w:fill="auto" w:val="clear"/>
          </w:tcPr>
          <w:p>
            <w:pPr>
              <w:pStyle w:val="TableContents"/>
              <w:spacing w:before="0" w:after="283"/>
              <w:jc w:val="both"/>
              <w:rPr>
                <w:sz w:val="17"/>
              </w:rPr>
            </w:pPr>
            <w:r>
              <w:rPr>
                <w:sz w:val="17"/>
              </w:rPr>
              <w:t>$62.6 million of loan repayments including $15.0 million to pay off our Eurohypo Cinemas 1, 2, 3 loan, $32.2 million to pay off our GE Capital Loan, and $14.8 million in payments on our NAB term debt;</w:t>
            </w:r>
          </w:p>
        </w:tc>
      </w:tr>
    </w:tbl>
    <w:p>
      <w:pPr>
        <w:pStyle w:val="TextBody"/>
        <w:spacing w:before="200" w:after="200"/>
        <w:ind w:left="1440" w:right="0" w:firstLine="720"/>
        <w:jc w:val="both"/>
        <w:rPr>
          <w:sz w:val="17"/>
        </w:rPr>
      </w:pPr>
      <w:r>
        <w:rPr>
          <w:sz w:val="17"/>
        </w:rPr>
        <w:t xml:space="preserve">offset by, </w:t>
      </w:r>
    </w:p>
    <w:tbl>
      <w:tblPr>
        <w:tblW w:w="8765" w:type="dxa"/>
        <w:jc w:val="left"/>
        <w:tblInd w:w="1440" w:type="dxa"/>
        <w:tblCellMar>
          <w:top w:w="0" w:type="dxa"/>
          <w:left w:w="0" w:type="dxa"/>
          <w:bottom w:w="0" w:type="dxa"/>
          <w:right w:w="0" w:type="dxa"/>
        </w:tblCellMar>
      </w:tblPr>
      <w:tblGrid>
        <w:gridCol w:w="125"/>
        <w:gridCol w:w="8640"/>
      </w:tblGrid>
      <w:tr>
        <w:trPr/>
        <w:tc>
          <w:tcPr>
            <w:tcW w:w="12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0" w:type="dxa"/>
            <w:tcBorders/>
            <w:shd w:fill="auto" w:val="clear"/>
          </w:tcPr>
          <w:p>
            <w:pPr>
              <w:pStyle w:val="TableContents"/>
              <w:pBdr/>
              <w:spacing w:before="0" w:after="283"/>
              <w:jc w:val="both"/>
              <w:rPr>
                <w:sz w:val="17"/>
              </w:rPr>
            </w:pPr>
            <w:r>
              <w:rPr>
                <w:sz w:val="17"/>
              </w:rPr>
              <w:t>$47.0 million of new borrowing including $30.0 million of loan proceeds from our new Bank of America U.S. Credit Facility and $15.0 million of loan proceeds from our new Cinemas 1, 2, 3 loan (both offset by a total of $782,000 of capitalized borrowing cost) and $2.0 million of borrowing from our Bank of America line of credit;</w:t>
            </w:r>
          </w:p>
        </w:tc>
      </w:tr>
    </w:tbl>
    <w:tbl>
      <w:tblPr>
        <w:tblW w:w="4270" w:type="dxa"/>
        <w:jc w:val="left"/>
        <w:tblInd w:w="1440" w:type="dxa"/>
        <w:tblCellMar>
          <w:top w:w="0" w:type="dxa"/>
          <w:left w:w="0" w:type="dxa"/>
          <w:bottom w:w="0" w:type="dxa"/>
          <w:right w:w="0" w:type="dxa"/>
        </w:tblCellMar>
      </w:tblPr>
      <w:tblGrid>
        <w:gridCol w:w="155"/>
        <w:gridCol w:w="41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115" w:type="dxa"/>
            <w:tcBorders/>
            <w:shd w:fill="auto" w:val="clear"/>
          </w:tcPr>
          <w:p>
            <w:pPr>
              <w:pStyle w:val="TableContents"/>
              <w:pBdr/>
              <w:spacing w:before="0" w:after="283"/>
              <w:jc w:val="both"/>
              <w:rPr>
                <w:sz w:val="17"/>
              </w:rPr>
            </w:pPr>
            <w:r>
              <w:rPr>
                <w:sz w:val="17"/>
              </w:rPr>
              <w:t>$3.4 million in noncontrolling interests’ contributions; and</w:t>
            </w:r>
          </w:p>
        </w:tc>
      </w:tr>
    </w:tbl>
    <w:tbl>
      <w:tblPr>
        <w:tblW w:w="4885" w:type="dxa"/>
        <w:jc w:val="left"/>
        <w:tblInd w:w="1440" w:type="dxa"/>
        <w:tblCellMar>
          <w:top w:w="0" w:type="dxa"/>
          <w:left w:w="0" w:type="dxa"/>
          <w:bottom w:w="0" w:type="dxa"/>
          <w:right w:w="0" w:type="dxa"/>
        </w:tblCellMar>
      </w:tblPr>
      <w:tblGrid>
        <w:gridCol w:w="155"/>
        <w:gridCol w:w="473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30" w:type="dxa"/>
            <w:tcBorders/>
            <w:shd w:fill="auto" w:val="clear"/>
          </w:tcPr>
          <w:p>
            <w:pPr>
              <w:pStyle w:val="TableContents"/>
              <w:pBdr/>
              <w:spacing w:before="0" w:after="283"/>
              <w:jc w:val="both"/>
              <w:rPr>
                <w:sz w:val="17"/>
              </w:rPr>
            </w:pPr>
            <w:r>
              <w:rPr>
                <w:sz w:val="17"/>
              </w:rPr>
              <w:t>$308,000 of proceeds from the exercise of employee stock options.</w:t>
            </w:r>
          </w:p>
        </w:tc>
      </w:tr>
    </w:tbl>
    <w:p>
      <w:pPr>
        <w:pStyle w:val="TextBody"/>
        <w:spacing w:before="200" w:after="200"/>
        <w:ind w:left="1440" w:right="0" w:firstLine="720"/>
        <w:jc w:val="both"/>
        <w:rPr>
          <w:sz w:val="17"/>
        </w:rPr>
      </w:pPr>
      <w:r>
        <w:rPr>
          <w:sz w:val="17"/>
        </w:rPr>
        <w:t xml:space="preserve">The $23.4 million cash used in 2011 was primarily related to: </w:t>
      </w:r>
    </w:p>
    <w:tbl>
      <w:tblPr>
        <w:tblW w:w="8765" w:type="dxa"/>
        <w:jc w:val="left"/>
        <w:tblInd w:w="1440" w:type="dxa"/>
        <w:tblCellMar>
          <w:top w:w="0" w:type="dxa"/>
          <w:left w:w="0" w:type="dxa"/>
          <w:bottom w:w="0" w:type="dxa"/>
          <w:right w:w="0" w:type="dxa"/>
        </w:tblCellMar>
      </w:tblPr>
      <w:tblGrid>
        <w:gridCol w:w="127"/>
        <w:gridCol w:w="8638"/>
      </w:tblGrid>
      <w:tr>
        <w:trPr/>
        <w:tc>
          <w:tcPr>
            <w:tcW w:w="127"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8" w:type="dxa"/>
            <w:tcBorders/>
            <w:shd w:fill="auto" w:val="clear"/>
          </w:tcPr>
          <w:p>
            <w:pPr>
              <w:pStyle w:val="TableContents"/>
              <w:pBdr/>
              <w:spacing w:before="0" w:after="283"/>
              <w:jc w:val="both"/>
              <w:rPr>
                <w:sz w:val="17"/>
              </w:rPr>
            </w:pPr>
            <w:r>
              <w:rPr>
                <w:sz w:val="17"/>
              </w:rPr>
              <w:t>$126.8 million of loan repayments including the $105.8 million payoff of our Australian BOSI loan, $5.3 million in loan repayment on our GE Capital Loan, $9.7 million payoff of our NAB revolver, $3.4 million loan repayment of our NAB term debt, and $2.0 million pay down of our Nationwide Notes;</w:t>
            </w:r>
          </w:p>
        </w:tc>
      </w:tr>
    </w:tbl>
    <w:tbl>
      <w:tblPr>
        <w:tblW w:w="4945" w:type="dxa"/>
        <w:jc w:val="left"/>
        <w:tblInd w:w="1440" w:type="dxa"/>
        <w:tblCellMar>
          <w:top w:w="0" w:type="dxa"/>
          <w:left w:w="0" w:type="dxa"/>
          <w:bottom w:w="0" w:type="dxa"/>
          <w:right w:w="0" w:type="dxa"/>
        </w:tblCellMar>
      </w:tblPr>
      <w:tblGrid>
        <w:gridCol w:w="155"/>
        <w:gridCol w:w="47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90" w:type="dxa"/>
            <w:tcBorders/>
            <w:shd w:fill="auto" w:val="clear"/>
          </w:tcPr>
          <w:p>
            <w:pPr>
              <w:pStyle w:val="TableContents"/>
              <w:pBdr/>
              <w:spacing w:before="0" w:after="283"/>
              <w:jc w:val="both"/>
              <w:rPr>
                <w:sz w:val="17"/>
              </w:rPr>
            </w:pPr>
            <w:r>
              <w:rPr>
                <w:sz w:val="17"/>
              </w:rPr>
              <w:t>$747,000 to repurchase our Class A Nonvoting Common Stock; and</w:t>
            </w:r>
          </w:p>
        </w:tc>
      </w:tr>
    </w:tbl>
    <w:tbl>
      <w:tblPr>
        <w:tblW w:w="3730" w:type="dxa"/>
        <w:jc w:val="left"/>
        <w:tblInd w:w="1440" w:type="dxa"/>
        <w:tblCellMar>
          <w:top w:w="0" w:type="dxa"/>
          <w:left w:w="0" w:type="dxa"/>
          <w:bottom w:w="0" w:type="dxa"/>
          <w:right w:w="0" w:type="dxa"/>
        </w:tblCellMar>
      </w:tblPr>
      <w:tblGrid>
        <w:gridCol w:w="155"/>
        <w:gridCol w:w="357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575" w:type="dxa"/>
            <w:tcBorders/>
            <w:shd w:fill="auto" w:val="clear"/>
          </w:tcPr>
          <w:p>
            <w:pPr>
              <w:pStyle w:val="TableContents"/>
              <w:pBdr/>
              <w:spacing w:before="0" w:after="283"/>
              <w:jc w:val="both"/>
              <w:rPr>
                <w:sz w:val="17"/>
              </w:rPr>
            </w:pPr>
            <w:r>
              <w:rPr>
                <w:sz w:val="17"/>
              </w:rPr>
              <w:t>$654,000 in noncontrolling interests’ distributions.</w:t>
            </w:r>
          </w:p>
        </w:tc>
      </w:tr>
    </w:tbl>
    <w:p>
      <w:pPr>
        <w:pStyle w:val="TextBody"/>
        <w:spacing w:before="200" w:after="200"/>
        <w:ind w:left="1440" w:right="0" w:firstLine="720"/>
        <w:jc w:val="both"/>
        <w:rPr>
          <w:sz w:val="17"/>
        </w:rPr>
      </w:pPr>
      <w:r>
        <w:rPr>
          <w:sz w:val="17"/>
        </w:rPr>
        <w:t xml:space="preserve">offset by, </w:t>
      </w:r>
    </w:p>
    <w:tbl>
      <w:tblPr>
        <w:tblW w:w="8765" w:type="dxa"/>
        <w:jc w:val="left"/>
        <w:tblInd w:w="1440" w:type="dxa"/>
        <w:tblCellMar>
          <w:top w:w="0" w:type="dxa"/>
          <w:left w:w="0" w:type="dxa"/>
          <w:bottom w:w="0" w:type="dxa"/>
          <w:right w:w="0" w:type="dxa"/>
        </w:tblCellMar>
      </w:tblPr>
      <w:tblGrid>
        <w:gridCol w:w="133"/>
        <w:gridCol w:w="8632"/>
      </w:tblGrid>
      <w:tr>
        <w:trPr/>
        <w:tc>
          <w:tcPr>
            <w:tcW w:w="13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2" w:type="dxa"/>
            <w:tcBorders/>
            <w:shd w:fill="auto" w:val="clear"/>
          </w:tcPr>
          <w:p>
            <w:pPr>
              <w:pStyle w:val="TableContents"/>
              <w:pBdr/>
              <w:spacing w:before="0" w:after="283"/>
              <w:jc w:val="both"/>
              <w:rPr>
                <w:sz w:val="17"/>
              </w:rPr>
            </w:pPr>
            <w:r>
              <w:rPr>
                <w:sz w:val="17"/>
              </w:rPr>
              <w:t>$105.3 million of new borrowing including $104.2 million of loan proceeds from our new NAB loan net of $774,000 of capitalized borrowing costs and $1.1 million of borrowing from our New Zealand credit facility; and</w:t>
            </w:r>
          </w:p>
        </w:tc>
      </w:tr>
    </w:tbl>
    <w:tbl>
      <w:tblPr>
        <w:tblW w:w="3790" w:type="dxa"/>
        <w:jc w:val="left"/>
        <w:tblInd w:w="1440" w:type="dxa"/>
        <w:tblCellMar>
          <w:top w:w="0" w:type="dxa"/>
          <w:left w:w="0" w:type="dxa"/>
          <w:bottom w:w="0" w:type="dxa"/>
          <w:right w:w="0" w:type="dxa"/>
        </w:tblCellMar>
      </w:tblPr>
      <w:tblGrid>
        <w:gridCol w:w="155"/>
        <w:gridCol w:w="363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3635" w:type="dxa"/>
            <w:tcBorders/>
            <w:shd w:fill="auto" w:val="clear"/>
          </w:tcPr>
          <w:p>
            <w:pPr>
              <w:pStyle w:val="TableContents"/>
              <w:pBdr/>
              <w:spacing w:before="0" w:after="283"/>
              <w:jc w:val="both"/>
              <w:rPr>
                <w:sz w:val="17"/>
              </w:rPr>
            </w:pPr>
            <w:r>
              <w:rPr>
                <w:sz w:val="17"/>
              </w:rPr>
              <w:t>$233,000 in noncontrolling interests’ contributions.</w:t>
            </w:r>
          </w:p>
        </w:tc>
      </w:tr>
    </w:tbl>
    <w:p>
      <w:pPr>
        <w:pStyle w:val="TextBody"/>
        <w:spacing w:before="200" w:after="200"/>
        <w:ind w:left="1440" w:right="0" w:firstLine="720"/>
        <w:jc w:val="both"/>
        <w:rPr>
          <w:sz w:val="17"/>
        </w:rPr>
      </w:pPr>
      <w:r>
        <w:rPr>
          <w:sz w:val="17"/>
        </w:rPr>
        <w:t xml:space="preserve">The $5.5 million cash provided in 2010 was primarily related to: </w:t>
      </w:r>
    </w:p>
    <w:tbl>
      <w:tblPr>
        <w:tblW w:w="4540" w:type="dxa"/>
        <w:jc w:val="left"/>
        <w:tblInd w:w="1440" w:type="dxa"/>
        <w:tblCellMar>
          <w:top w:w="0" w:type="dxa"/>
          <w:left w:w="0" w:type="dxa"/>
          <w:bottom w:w="0" w:type="dxa"/>
          <w:right w:w="0" w:type="dxa"/>
        </w:tblCellMar>
      </w:tblPr>
      <w:tblGrid>
        <w:gridCol w:w="155"/>
        <w:gridCol w:w="438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385" w:type="dxa"/>
            <w:tcBorders/>
            <w:shd w:fill="auto" w:val="clear"/>
          </w:tcPr>
          <w:p>
            <w:pPr>
              <w:pStyle w:val="TableContents"/>
              <w:pBdr/>
              <w:spacing w:before="0" w:after="283"/>
              <w:jc w:val="both"/>
              <w:rPr>
                <w:sz w:val="17"/>
              </w:rPr>
            </w:pPr>
            <w:r>
              <w:rPr>
                <w:sz w:val="17"/>
              </w:rPr>
              <w:t xml:space="preserve">$8.0 million of borrowing on our New Zealand credit facility; </w:t>
            </w:r>
          </w:p>
        </w:tc>
      </w:tr>
    </w:tbl>
    <w:tbl>
      <w:tblPr>
        <w:tblW w:w="8515" w:type="dxa"/>
        <w:jc w:val="left"/>
        <w:tblInd w:w="1440" w:type="dxa"/>
        <w:tblCellMar>
          <w:top w:w="0" w:type="dxa"/>
          <w:left w:w="0" w:type="dxa"/>
          <w:bottom w:w="0" w:type="dxa"/>
          <w:right w:w="0" w:type="dxa"/>
        </w:tblCellMar>
      </w:tblPr>
      <w:tblGrid>
        <w:gridCol w:w="155"/>
        <w:gridCol w:w="83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360" w:type="dxa"/>
            <w:tcBorders/>
            <w:shd w:fill="auto" w:val="clear"/>
          </w:tcPr>
          <w:p>
            <w:pPr>
              <w:pStyle w:val="TableContents"/>
              <w:pBdr/>
              <w:spacing w:before="0" w:after="283"/>
              <w:jc w:val="both"/>
              <w:rPr>
                <w:sz w:val="17"/>
              </w:rPr>
            </w:pPr>
            <w:r>
              <w:rPr>
                <w:sz w:val="17"/>
              </w:rPr>
              <w:t>$7.2 million of borrowing proceeds from our new Union Square Theater Term Loan net of capitalized borrowing costs;</w:t>
            </w:r>
          </w:p>
        </w:tc>
      </w:tr>
    </w:tbl>
    <w:tbl>
      <w:tblPr>
        <w:tblW w:w="8125" w:type="dxa"/>
        <w:jc w:val="left"/>
        <w:tblInd w:w="1440" w:type="dxa"/>
        <w:tblCellMar>
          <w:top w:w="0" w:type="dxa"/>
          <w:left w:w="0" w:type="dxa"/>
          <w:bottom w:w="0" w:type="dxa"/>
          <w:right w:w="0" w:type="dxa"/>
        </w:tblCellMar>
      </w:tblPr>
      <w:tblGrid>
        <w:gridCol w:w="155"/>
        <w:gridCol w:w="797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970" w:type="dxa"/>
            <w:tcBorders/>
            <w:shd w:fill="auto" w:val="clear"/>
          </w:tcPr>
          <w:p>
            <w:pPr>
              <w:pStyle w:val="TableContents"/>
              <w:pBdr/>
              <w:spacing w:before="0" w:after="283"/>
              <w:jc w:val="both"/>
              <w:rPr>
                <w:sz w:val="17"/>
              </w:rPr>
            </w:pPr>
            <w:r>
              <w:rPr>
                <w:sz w:val="17"/>
              </w:rPr>
              <w:t>$7.0 million of new borrowings from our recently renegotiated GE capital loan net of capitalized borrowing costs;</w:t>
            </w:r>
          </w:p>
        </w:tc>
      </w:tr>
    </w:tbl>
    <w:tbl>
      <w:tblPr>
        <w:tblW w:w="4435" w:type="dxa"/>
        <w:jc w:val="left"/>
        <w:tblInd w:w="1440" w:type="dxa"/>
        <w:tblCellMar>
          <w:top w:w="0" w:type="dxa"/>
          <w:left w:w="0" w:type="dxa"/>
          <w:bottom w:w="0" w:type="dxa"/>
          <w:right w:w="0" w:type="dxa"/>
        </w:tblCellMar>
      </w:tblPr>
      <w:tblGrid>
        <w:gridCol w:w="155"/>
        <w:gridCol w:w="428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280" w:type="dxa"/>
            <w:tcBorders/>
            <w:shd w:fill="auto" w:val="clear"/>
          </w:tcPr>
          <w:p>
            <w:pPr>
              <w:pStyle w:val="TableContents"/>
              <w:pBdr/>
              <w:spacing w:before="0" w:after="283"/>
              <w:jc w:val="both"/>
              <w:rPr>
                <w:sz w:val="17"/>
              </w:rPr>
            </w:pPr>
            <w:r>
              <w:rPr>
                <w:sz w:val="17"/>
              </w:rPr>
              <w:t>$225,000 of contributions from noncontrolling interests; and</w:t>
            </w:r>
          </w:p>
        </w:tc>
      </w:tr>
    </w:tbl>
    <w:tbl>
      <w:tblPr>
        <w:tblW w:w="4885" w:type="dxa"/>
        <w:jc w:val="left"/>
        <w:tblInd w:w="1440" w:type="dxa"/>
        <w:tblCellMar>
          <w:top w:w="0" w:type="dxa"/>
          <w:left w:w="0" w:type="dxa"/>
          <w:bottom w:w="0" w:type="dxa"/>
          <w:right w:w="0" w:type="dxa"/>
        </w:tblCellMar>
      </w:tblPr>
      <w:tblGrid>
        <w:gridCol w:w="155"/>
        <w:gridCol w:w="473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30" w:type="dxa"/>
            <w:tcBorders/>
            <w:shd w:fill="auto" w:val="clear"/>
          </w:tcPr>
          <w:p>
            <w:pPr>
              <w:pStyle w:val="TableContents"/>
              <w:pBdr/>
              <w:spacing w:before="0" w:after="283"/>
              <w:jc w:val="both"/>
              <w:rPr>
                <w:sz w:val="17"/>
              </w:rPr>
            </w:pPr>
            <w:r>
              <w:rPr>
                <w:sz w:val="17"/>
              </w:rPr>
              <w:t>$248,000 of proceeds from the exercise of employee stock options;</w:t>
            </w:r>
          </w:p>
        </w:tc>
      </w:tr>
    </w:tbl>
    <w:p>
      <w:pPr>
        <w:pStyle w:val="TextBody"/>
        <w:spacing w:before="200" w:after="200"/>
        <w:ind w:left="1440" w:right="0" w:firstLine="720"/>
        <w:jc w:val="both"/>
        <w:rPr>
          <w:sz w:val="17"/>
        </w:rPr>
      </w:pPr>
      <w:r>
        <w:rPr>
          <w:sz w:val="17"/>
        </w:rPr>
        <w:t xml:space="preserve">offset by, </w:t>
      </w:r>
    </w:p>
    <w:tbl>
      <w:tblPr>
        <w:tblW w:w="8765" w:type="dxa"/>
        <w:jc w:val="left"/>
        <w:tblInd w:w="1440" w:type="dxa"/>
        <w:tblCellMar>
          <w:top w:w="0" w:type="dxa"/>
          <w:left w:w="0" w:type="dxa"/>
          <w:bottom w:w="0" w:type="dxa"/>
          <w:right w:w="0" w:type="dxa"/>
        </w:tblCellMar>
      </w:tblPr>
      <w:tblGrid>
        <w:gridCol w:w="135"/>
        <w:gridCol w:w="8630"/>
      </w:tblGrid>
      <w:tr>
        <w:trPr/>
        <w:tc>
          <w:tcPr>
            <w:tcW w:w="13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0" w:type="dxa"/>
            <w:tcBorders/>
            <w:shd w:fill="auto" w:val="clear"/>
          </w:tcPr>
          <w:p>
            <w:pPr>
              <w:pStyle w:val="TableContents"/>
              <w:pBdr/>
              <w:spacing w:before="0" w:after="283"/>
              <w:jc w:val="both"/>
              <w:rPr>
                <w:sz w:val="17"/>
              </w:rPr>
            </w:pPr>
            <w:r>
              <w:rPr>
                <w:sz w:val="17"/>
              </w:rPr>
              <w:t xml:space="preserve">$15.5 million of loan repayments including $6.9 million for the pay off of our Union Square Term Loan, $5.0 million for the pay off of our SHC Loan, and $3.2 million pay down of our GE Capital Loan; </w:t>
            </w:r>
          </w:p>
        </w:tc>
      </w:tr>
    </w:tbl>
    <w:tbl>
      <w:tblPr>
        <w:tblW w:w="4870" w:type="dxa"/>
        <w:jc w:val="left"/>
        <w:tblInd w:w="1440" w:type="dxa"/>
        <w:tblCellMar>
          <w:top w:w="0" w:type="dxa"/>
          <w:left w:w="0" w:type="dxa"/>
          <w:bottom w:w="0" w:type="dxa"/>
          <w:right w:w="0" w:type="dxa"/>
        </w:tblCellMar>
      </w:tblPr>
      <w:tblGrid>
        <w:gridCol w:w="155"/>
        <w:gridCol w:w="47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15" w:type="dxa"/>
            <w:tcBorders/>
            <w:shd w:fill="auto" w:val="clear"/>
          </w:tcPr>
          <w:p>
            <w:pPr>
              <w:pStyle w:val="TableContents"/>
              <w:pBdr/>
              <w:spacing w:before="0" w:after="283"/>
              <w:jc w:val="both"/>
              <w:rPr>
                <w:sz w:val="17"/>
              </w:rPr>
            </w:pPr>
            <w:r>
              <w:rPr>
                <w:sz w:val="17"/>
              </w:rPr>
              <w:t>$251,000 of repurchase of Class A Nonvoting Common Stock; and</w:t>
            </w:r>
          </w:p>
        </w:tc>
      </w:tr>
    </w:tbl>
    <w:tbl>
      <w:tblPr>
        <w:tblW w:w="3790" w:type="dxa"/>
        <w:jc w:val="left"/>
        <w:tblInd w:w="1440" w:type="dxa"/>
        <w:tblCellMar>
          <w:top w:w="0" w:type="dxa"/>
          <w:left w:w="0" w:type="dxa"/>
          <w:bottom w:w="0" w:type="dxa"/>
          <w:right w:w="0" w:type="dxa"/>
        </w:tblCellMar>
      </w:tblPr>
      <w:tblGrid>
        <w:gridCol w:w="155"/>
        <w:gridCol w:w="3635"/>
      </w:tblGrid>
      <w:tr>
        <w:trPr/>
        <w:tc>
          <w:tcPr>
            <w:tcW w:w="155" w:type="dxa"/>
            <w:tcBorders/>
            <w:shd w:fill="auto" w:val="clear"/>
          </w:tcPr>
          <w:p>
            <w:pPr>
              <w:pStyle w:val="TableContents"/>
              <w:pBdr/>
              <w:spacing w:before="200" w:after="0"/>
              <w:ind w:left="360" w:right="0" w:hanging="0"/>
              <w:jc w:val="both"/>
              <w:rPr>
                <w:sz w:val="17"/>
              </w:rPr>
            </w:pPr>
            <w:r>
              <w:rPr>
                <w:rFonts w:ascii="Symbol" w:hAnsi="Symbol"/>
                <w:sz w:val="17"/>
              </w:rPr>
              <w:t>·</w:t>
            </w:r>
            <w:r>
              <w:rPr>
                <w:sz w:val="17"/>
              </w:rPr>
              <w:t xml:space="preserve"> </w:t>
            </w:r>
          </w:p>
        </w:tc>
        <w:tc>
          <w:tcPr>
            <w:tcW w:w="3635" w:type="dxa"/>
            <w:tcBorders/>
            <w:shd w:fill="auto" w:val="clear"/>
          </w:tcPr>
          <w:p>
            <w:pPr>
              <w:pStyle w:val="TableContents"/>
              <w:pBdr/>
              <w:spacing w:before="0" w:after="283"/>
              <w:jc w:val="both"/>
              <w:rPr>
                <w:sz w:val="17"/>
              </w:rPr>
            </w:pPr>
            <w:r>
              <w:rPr>
                <w:sz w:val="17"/>
              </w:rPr>
              <w:t>$1.4 million in noncontrolling interest distributions.</w:t>
            </w:r>
          </w:p>
        </w:tc>
      </w:tr>
    </w:tbl>
    <w:p>
      <w:pPr>
        <w:pStyle w:val="TextBody"/>
        <w:spacing w:before="200" w:after="0"/>
        <w:ind w:left="1440" w:right="0" w:hanging="0"/>
        <w:jc w:val="both"/>
        <w:rPr/>
      </w:pPr>
      <w:r>
        <w:rPr>
          <w:u w:val="single"/>
        </w:rPr>
        <w:t> </w:t>
      </w: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200" w:after="0"/>
        <w:ind w:left="1440" w:right="0" w:hanging="0"/>
        <w:jc w:val="both"/>
        <w:rPr>
          <w:sz w:val="17"/>
        </w:rPr>
      </w:pPr>
      <w:r>
        <w:rPr>
          <w:sz w:val="17"/>
          <w:u w:val="single"/>
        </w:rPr>
        <w:t>Future Liquidity and Capital Resources</w:t>
      </w:r>
      <w:r>
        <w:rPr>
          <w:sz w:val="17"/>
        </w:rPr>
        <w:t xml:space="preserve"> </w:t>
      </w:r>
    </w:p>
    <w:p>
      <w:pPr>
        <w:pStyle w:val="TextBody"/>
        <w:spacing w:before="200" w:after="200"/>
        <w:ind w:left="1440" w:right="0" w:firstLine="720"/>
        <w:jc w:val="both"/>
        <w:rPr>
          <w:sz w:val="17"/>
        </w:rPr>
      </w:pPr>
      <w:r>
        <w:rPr>
          <w:sz w:val="17"/>
        </w:rPr>
        <w:t xml:space="preserve">During the past 24 months, we have put into place several measures that currently have or will have a positive effect on our overall liquidity, including: </w:t>
      </w:r>
    </w:p>
    <w:tbl>
      <w:tblPr>
        <w:tblW w:w="8765" w:type="dxa"/>
        <w:jc w:val="left"/>
        <w:tblInd w:w="1440" w:type="dxa"/>
        <w:tblCellMar>
          <w:top w:w="0" w:type="dxa"/>
          <w:left w:w="0" w:type="dxa"/>
          <w:bottom w:w="0" w:type="dxa"/>
          <w:right w:w="0" w:type="dxa"/>
        </w:tblCellMar>
      </w:tblPr>
      <w:tblGrid>
        <w:gridCol w:w="130"/>
        <w:gridCol w:w="8635"/>
      </w:tblGrid>
      <w:tr>
        <w:trPr/>
        <w:tc>
          <w:tcPr>
            <w:tcW w:w="130"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5" w:type="dxa"/>
            <w:tcBorders/>
            <w:shd w:fill="auto" w:val="clear"/>
          </w:tcPr>
          <w:p>
            <w:pPr>
              <w:pStyle w:val="TableContents"/>
              <w:pBdr/>
              <w:spacing w:before="0" w:after="283"/>
              <w:jc w:val="both"/>
              <w:rPr>
                <w:sz w:val="17"/>
              </w:rPr>
            </w:pPr>
            <w:r>
              <w:rPr>
                <w:sz w:val="17"/>
              </w:rPr>
              <w:t>replacing our GE Capital Term Loan of $27.7 million with a new revolving line of credit from Bank of America (the “BofA Revolver”) of $30.0 million which has significantly lower principal payments than those of our former GE Capital Term Loan.</w:t>
            </w:r>
          </w:p>
        </w:tc>
      </w:tr>
    </w:tbl>
    <w:tbl>
      <w:tblPr>
        <w:tblW w:w="7330" w:type="dxa"/>
        <w:jc w:val="left"/>
        <w:tblInd w:w="1440" w:type="dxa"/>
        <w:tblCellMar>
          <w:top w:w="0" w:type="dxa"/>
          <w:left w:w="0" w:type="dxa"/>
          <w:bottom w:w="0" w:type="dxa"/>
          <w:right w:w="0" w:type="dxa"/>
        </w:tblCellMar>
      </w:tblPr>
      <w:tblGrid>
        <w:gridCol w:w="155"/>
        <w:gridCol w:w="717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175" w:type="dxa"/>
            <w:tcBorders/>
            <w:shd w:fill="auto" w:val="clear"/>
          </w:tcPr>
          <w:p>
            <w:pPr>
              <w:pStyle w:val="TableContents"/>
              <w:pBdr/>
              <w:spacing w:before="0" w:after="283"/>
              <w:jc w:val="both"/>
              <w:rPr>
                <w:sz w:val="17"/>
              </w:rPr>
            </w:pPr>
            <w:r>
              <w:rPr>
                <w:sz w:val="17"/>
              </w:rPr>
              <w:t xml:space="preserve">renewing and increasing our existing $3.0 million line of credit with Bank of America to $5.0 million. </w:t>
            </w:r>
          </w:p>
        </w:tc>
      </w:tr>
    </w:tbl>
    <w:tbl>
      <w:tblPr>
        <w:tblW w:w="8765" w:type="dxa"/>
        <w:jc w:val="left"/>
        <w:tblInd w:w="1440" w:type="dxa"/>
        <w:tblCellMar>
          <w:top w:w="0" w:type="dxa"/>
          <w:left w:w="0" w:type="dxa"/>
          <w:bottom w:w="0" w:type="dxa"/>
          <w:right w:w="0" w:type="dxa"/>
        </w:tblCellMar>
      </w:tblPr>
      <w:tblGrid>
        <w:gridCol w:w="135"/>
        <w:gridCol w:w="8630"/>
      </w:tblGrid>
      <w:tr>
        <w:trPr/>
        <w:tc>
          <w:tcPr>
            <w:tcW w:w="13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0" w:type="dxa"/>
            <w:tcBorders/>
            <w:shd w:fill="auto" w:val="clear"/>
          </w:tcPr>
          <w:p>
            <w:pPr>
              <w:pStyle w:val="TableContents"/>
              <w:pBdr/>
              <w:spacing w:before="0" w:after="283"/>
              <w:jc w:val="both"/>
              <w:rPr>
                <w:sz w:val="17"/>
              </w:rPr>
            </w:pPr>
            <w:r>
              <w:rPr>
                <w:sz w:val="17"/>
              </w:rPr>
              <w:t xml:space="preserve">replacing our Eurohypo AG, New York Branch loan with a new $15.0 million Sovereign Bank, N.A. term loan having a one-year term ending on June 27, 2013, with a one year extension option to June 26, 2014. </w:t>
            </w:r>
          </w:p>
        </w:tc>
      </w:tr>
    </w:tbl>
    <w:tbl>
      <w:tblPr>
        <w:tblW w:w="8765" w:type="dxa"/>
        <w:jc w:val="left"/>
        <w:tblInd w:w="1440" w:type="dxa"/>
        <w:tblCellMar>
          <w:top w:w="0" w:type="dxa"/>
          <w:left w:w="0" w:type="dxa"/>
          <w:bottom w:w="0" w:type="dxa"/>
          <w:right w:w="0" w:type="dxa"/>
        </w:tblCellMar>
      </w:tblPr>
      <w:tblGrid>
        <w:gridCol w:w="134"/>
        <w:gridCol w:w="8631"/>
      </w:tblGrid>
      <w:tr>
        <w:trPr/>
        <w:tc>
          <w:tcPr>
            <w:tcW w:w="134"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1" w:type="dxa"/>
            <w:tcBorders/>
            <w:shd w:fill="auto" w:val="clear"/>
          </w:tcPr>
          <w:p>
            <w:pPr>
              <w:pStyle w:val="TableContents"/>
              <w:pBdr/>
              <w:spacing w:before="0" w:after="283"/>
              <w:jc w:val="both"/>
              <w:rPr>
                <w:sz w:val="17"/>
              </w:rPr>
            </w:pPr>
            <w:r>
              <w:rPr>
                <w:sz w:val="17"/>
              </w:rPr>
              <w:t>receiving, on February 8, 2012, an approved amendment from Westpac renewing our existing $36.9 million (NZ$45.0 million) New Zealand credit facility with a 3-year $32.8 million (NZ$40.0 million) credit facility.</w:t>
            </w:r>
          </w:p>
        </w:tc>
      </w:tr>
    </w:tbl>
    <w:tbl>
      <w:tblPr>
        <w:tblW w:w="8765" w:type="dxa"/>
        <w:jc w:val="left"/>
        <w:tblInd w:w="1440" w:type="dxa"/>
        <w:tblCellMar>
          <w:top w:w="0" w:type="dxa"/>
          <w:left w:w="0" w:type="dxa"/>
          <w:bottom w:w="0" w:type="dxa"/>
          <w:right w:w="0" w:type="dxa"/>
        </w:tblCellMar>
      </w:tblPr>
      <w:tblGrid>
        <w:gridCol w:w="125"/>
        <w:gridCol w:w="8640"/>
      </w:tblGrid>
      <w:tr>
        <w:trPr/>
        <w:tc>
          <w:tcPr>
            <w:tcW w:w="12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40" w:type="dxa"/>
            <w:tcBorders/>
            <w:shd w:fill="auto" w:val="clear"/>
          </w:tcPr>
          <w:p>
            <w:pPr>
              <w:pStyle w:val="TableContents"/>
              <w:pBdr/>
              <w:spacing w:before="0" w:after="283"/>
              <w:jc w:val="both"/>
              <w:rPr>
                <w:sz w:val="17"/>
              </w:rPr>
            </w:pPr>
            <w:r>
              <w:rPr>
                <w:sz w:val="17"/>
              </w:rPr>
              <w:t xml:space="preserve">replacing our Australia Corporate Credit Facility with a new facility from National Australia Bank comprising, at December 31, 2012, a $75.3 million (AUS$72.5 million) term loan; a $10.4 million (AUS$10.0 million) revolving facility which was unused at December 31, 2012; and a $5.2 million (AUS$5.0 million) guarantee facility. </w:t>
            </w:r>
          </w:p>
        </w:tc>
      </w:tr>
    </w:tbl>
    <w:p>
      <w:pPr>
        <w:pStyle w:val="TextBody"/>
        <w:spacing w:before="200" w:after="200"/>
        <w:ind w:left="1440" w:right="0" w:firstLine="720"/>
        <w:jc w:val="both"/>
        <w:rPr>
          <w:sz w:val="17"/>
        </w:rPr>
      </w:pPr>
      <w:r>
        <w:rPr>
          <w:sz w:val="17"/>
        </w:rPr>
        <w:t xml:space="preserve">We believe that we have sufficient borrowing capacity to meet our short-term working capital requirements.  To meet our current and future liquidity requirements, we have the following external sources of unused liquidity: </w:t>
      </w:r>
    </w:p>
    <w:tbl>
      <w:tblPr>
        <w:tblW w:w="7060" w:type="dxa"/>
        <w:jc w:val="left"/>
        <w:tblInd w:w="1440" w:type="dxa"/>
        <w:tblCellMar>
          <w:top w:w="0" w:type="dxa"/>
          <w:left w:w="0" w:type="dxa"/>
          <w:bottom w:w="0" w:type="dxa"/>
          <w:right w:w="0" w:type="dxa"/>
        </w:tblCellMar>
      </w:tblPr>
      <w:tblGrid>
        <w:gridCol w:w="155"/>
        <w:gridCol w:w="690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6905" w:type="dxa"/>
            <w:tcBorders/>
            <w:shd w:fill="auto" w:val="clear"/>
          </w:tcPr>
          <w:p>
            <w:pPr>
              <w:pStyle w:val="TableContents"/>
              <w:pBdr/>
              <w:spacing w:before="0" w:after="283"/>
              <w:jc w:val="both"/>
              <w:rPr>
                <w:sz w:val="17"/>
              </w:rPr>
            </w:pPr>
            <w:r>
              <w:rPr>
                <w:sz w:val="17"/>
              </w:rPr>
              <w:t>$9.9 million (NZ$12.0 million) is available on our renewed New Zealand Corporate Credit facility;</w:t>
            </w:r>
          </w:p>
        </w:tc>
      </w:tr>
    </w:tbl>
    <w:tbl>
      <w:tblPr>
        <w:tblW w:w="6115" w:type="dxa"/>
        <w:jc w:val="left"/>
        <w:tblInd w:w="1440" w:type="dxa"/>
        <w:tblCellMar>
          <w:top w:w="0" w:type="dxa"/>
          <w:left w:w="0" w:type="dxa"/>
          <w:bottom w:w="0" w:type="dxa"/>
          <w:right w:w="0" w:type="dxa"/>
        </w:tblCellMar>
      </w:tblPr>
      <w:tblGrid>
        <w:gridCol w:w="155"/>
        <w:gridCol w:w="59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960" w:type="dxa"/>
            <w:tcBorders/>
            <w:shd w:fill="auto" w:val="clear"/>
          </w:tcPr>
          <w:p>
            <w:pPr>
              <w:pStyle w:val="TableContents"/>
              <w:pBdr/>
              <w:spacing w:before="0" w:after="283"/>
              <w:jc w:val="both"/>
              <w:rPr>
                <w:sz w:val="17"/>
              </w:rPr>
            </w:pPr>
            <w:r>
              <w:rPr>
                <w:sz w:val="17"/>
              </w:rPr>
              <w:t>$10.4 million (AUS$10.0 million) is available on our new NAB revolver facility; and</w:t>
            </w:r>
          </w:p>
        </w:tc>
      </w:tr>
    </w:tbl>
    <w:tbl>
      <w:tblPr>
        <w:tblW w:w="4660" w:type="dxa"/>
        <w:jc w:val="left"/>
        <w:tblInd w:w="1440" w:type="dxa"/>
        <w:tblCellMar>
          <w:top w:w="0" w:type="dxa"/>
          <w:left w:w="0" w:type="dxa"/>
          <w:bottom w:w="0" w:type="dxa"/>
          <w:right w:w="0" w:type="dxa"/>
        </w:tblCellMar>
      </w:tblPr>
      <w:tblGrid>
        <w:gridCol w:w="155"/>
        <w:gridCol w:w="450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505" w:type="dxa"/>
            <w:tcBorders/>
            <w:shd w:fill="auto" w:val="clear"/>
          </w:tcPr>
          <w:p>
            <w:pPr>
              <w:pStyle w:val="TableContents"/>
              <w:pBdr/>
              <w:spacing w:before="0" w:after="283"/>
              <w:jc w:val="both"/>
              <w:rPr>
                <w:sz w:val="17"/>
              </w:rPr>
            </w:pPr>
            <w:r>
              <w:rPr>
                <w:sz w:val="17"/>
              </w:rPr>
              <w:t>$3.0 million is available on our Bank of America Line of Credit.</w:t>
            </w:r>
          </w:p>
        </w:tc>
      </w:tr>
    </w:tbl>
    <w:p>
      <w:pPr>
        <w:pStyle w:val="TextBody"/>
        <w:spacing w:before="200" w:after="200"/>
        <w:ind w:left="1440" w:right="0" w:firstLine="720"/>
        <w:jc w:val="both"/>
        <w:rPr>
          <w:sz w:val="17"/>
        </w:rPr>
      </w:pPr>
      <w:r>
        <w:rPr>
          <w:sz w:val="17"/>
        </w:rPr>
        <w:t xml:space="preserve">Potential uses for funds during 2013 that would reduce our liquidity, other than those relating to working capital needs and debt service requirements include:  </w:t>
      </w:r>
    </w:p>
    <w:tbl>
      <w:tblPr>
        <w:tblW w:w="6730" w:type="dxa"/>
        <w:jc w:val="left"/>
        <w:tblInd w:w="1440" w:type="dxa"/>
        <w:tblCellMar>
          <w:top w:w="0" w:type="dxa"/>
          <w:left w:w="0" w:type="dxa"/>
          <w:bottom w:w="0" w:type="dxa"/>
          <w:right w:w="0" w:type="dxa"/>
        </w:tblCellMar>
      </w:tblPr>
      <w:tblGrid>
        <w:gridCol w:w="155"/>
        <w:gridCol w:w="657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6575" w:type="dxa"/>
            <w:tcBorders/>
            <w:shd w:fill="auto" w:val="clear"/>
          </w:tcPr>
          <w:p>
            <w:pPr>
              <w:pStyle w:val="TableContents"/>
              <w:pBdr/>
              <w:spacing w:before="0" w:after="283"/>
              <w:jc w:val="both"/>
              <w:rPr>
                <w:sz w:val="17"/>
              </w:rPr>
            </w:pPr>
            <w:r>
              <w:rPr>
                <w:sz w:val="17"/>
              </w:rPr>
              <w:t>Securing digital and digital 3D projectors for our Australian and New Zealand cinema circuits;</w:t>
            </w:r>
          </w:p>
        </w:tc>
      </w:tr>
    </w:tbl>
    <w:tbl>
      <w:tblPr>
        <w:tblW w:w="7945" w:type="dxa"/>
        <w:jc w:val="left"/>
        <w:tblInd w:w="1440" w:type="dxa"/>
        <w:tblCellMar>
          <w:top w:w="0" w:type="dxa"/>
          <w:left w:w="0" w:type="dxa"/>
          <w:bottom w:w="0" w:type="dxa"/>
          <w:right w:w="0" w:type="dxa"/>
        </w:tblCellMar>
      </w:tblPr>
      <w:tblGrid>
        <w:gridCol w:w="155"/>
        <w:gridCol w:w="779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790" w:type="dxa"/>
            <w:tcBorders/>
            <w:shd w:fill="auto" w:val="clear"/>
          </w:tcPr>
          <w:p>
            <w:pPr>
              <w:pStyle w:val="TableContents"/>
              <w:pBdr/>
              <w:spacing w:before="0" w:after="283"/>
              <w:jc w:val="both"/>
              <w:rPr>
                <w:sz w:val="17"/>
              </w:rPr>
            </w:pPr>
            <w:r>
              <w:rPr>
                <w:sz w:val="17"/>
              </w:rPr>
              <w:t>payment of our legal settlement obligation for the Tax/Audit Litigation based on a recently negotiated schedule;</w:t>
            </w:r>
          </w:p>
        </w:tc>
      </w:tr>
    </w:tbl>
    <w:tbl>
      <w:tblPr>
        <w:tblW w:w="5605" w:type="dxa"/>
        <w:jc w:val="left"/>
        <w:tblInd w:w="1440" w:type="dxa"/>
        <w:tblCellMar>
          <w:top w:w="0" w:type="dxa"/>
          <w:left w:w="0" w:type="dxa"/>
          <w:bottom w:w="0" w:type="dxa"/>
          <w:right w:w="0" w:type="dxa"/>
        </w:tblCellMar>
      </w:tblPr>
      <w:tblGrid>
        <w:gridCol w:w="155"/>
        <w:gridCol w:w="545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450" w:type="dxa"/>
            <w:tcBorders/>
            <w:shd w:fill="auto" w:val="clear"/>
          </w:tcPr>
          <w:p>
            <w:pPr>
              <w:pStyle w:val="TableContents"/>
              <w:pBdr/>
              <w:spacing w:before="0" w:after="283"/>
              <w:jc w:val="both"/>
              <w:rPr>
                <w:sz w:val="17"/>
              </w:rPr>
            </w:pPr>
            <w:r>
              <w:rPr>
                <w:sz w:val="17"/>
              </w:rPr>
              <w:t>the selective development of our currently held for development projects; and</w:t>
            </w:r>
          </w:p>
        </w:tc>
      </w:tr>
    </w:tbl>
    <w:tbl>
      <w:tblPr>
        <w:tblW w:w="7855" w:type="dxa"/>
        <w:jc w:val="left"/>
        <w:tblInd w:w="1440" w:type="dxa"/>
        <w:tblCellMar>
          <w:top w:w="0" w:type="dxa"/>
          <w:left w:w="0" w:type="dxa"/>
          <w:bottom w:w="0" w:type="dxa"/>
          <w:right w:w="0" w:type="dxa"/>
        </w:tblCellMar>
      </w:tblPr>
      <w:tblGrid>
        <w:gridCol w:w="155"/>
        <w:gridCol w:w="770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700" w:type="dxa"/>
            <w:tcBorders/>
            <w:shd w:fill="auto" w:val="clear"/>
          </w:tcPr>
          <w:p>
            <w:pPr>
              <w:pStyle w:val="TableContents"/>
              <w:pBdr/>
              <w:spacing w:before="0" w:after="283"/>
              <w:jc w:val="both"/>
              <w:rPr>
                <w:sz w:val="17"/>
              </w:rPr>
            </w:pPr>
            <w:r>
              <w:rPr>
                <w:sz w:val="17"/>
              </w:rPr>
              <w:t>the acquisition of assets with proven cash flow that we believe to be resistant to the current recessionary trends.</w:t>
            </w:r>
          </w:p>
        </w:tc>
      </w:tr>
    </w:tbl>
    <w:p>
      <w:pPr>
        <w:pStyle w:val="TextBody"/>
        <w:spacing w:before="200" w:after="200"/>
        <w:ind w:left="1440" w:right="0" w:firstLine="720"/>
        <w:jc w:val="both"/>
        <w:rPr>
          <w:sz w:val="17"/>
        </w:rPr>
      </w:pPr>
      <w:r>
        <w:rPr>
          <w:sz w:val="17"/>
        </w:rPr>
        <w:t xml:space="preserve">Our worldwide cash position at December 31, 2012 was $46.5 million including an $8.0 million time deposit in Australia.  Of the $46.5 million, $17.5 million was in Australia, $22.7 million was in the U.S., and $6.3 million was in New Zealand.  As part of our main credit facilities in Australia, New Zealand and the U.S., we are subject to certain debt covenants which limit the transfer or use of cash outside of the various regional subsidiaries in which the cash is held.  As such, at December 31, 2012, we have approximately $7.5 million of cash that is not restricted by loan covenants. </w:t>
      </w:r>
    </w:p>
    <w:p>
      <w:pPr>
        <w:pStyle w:val="TextBody"/>
        <w:spacing w:before="0" w:after="200"/>
        <w:ind w:left="1440" w:right="0" w:hanging="0"/>
        <w:jc w:val="both"/>
        <w:rPr/>
      </w:pPr>
      <w:r>
        <w:rPr/>
        <w:t>            </w:t>
      </w:r>
      <w:r>
        <w:rPr>
          <w:sz w:val="17"/>
        </w:rPr>
        <w:t xml:space="preserve">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principal repayments, interest payments, and short-term debt maturities plus any other debt service obligations, working capital, capital expenditures and other operating needs.  </w:t>
      </w:r>
    </w:p>
    <w:p>
      <w:pPr>
        <w:pStyle w:val="TextBody"/>
        <w:spacing w:before="0" w:after="200"/>
        <w:ind w:left="1440" w:right="0" w:firstLine="720"/>
        <w:jc w:val="both"/>
        <w:rPr>
          <w:sz w:val="17"/>
        </w:rPr>
      </w:pPr>
      <w:r>
        <w:rPr>
          <w:sz w:val="17"/>
        </w:rPr>
        <w:t xml:space="preserve">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5770" w:type="dxa"/>
        <w:jc w:val="left"/>
        <w:tblInd w:w="1440" w:type="dxa"/>
        <w:tblCellMar>
          <w:top w:w="0" w:type="dxa"/>
          <w:left w:w="0" w:type="dxa"/>
          <w:bottom w:w="0" w:type="dxa"/>
          <w:right w:w="0" w:type="dxa"/>
        </w:tblCellMar>
      </w:tblPr>
      <w:tblGrid>
        <w:gridCol w:w="155"/>
        <w:gridCol w:w="561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615" w:type="dxa"/>
            <w:tcBorders/>
            <w:shd w:fill="auto" w:val="clear"/>
          </w:tcPr>
          <w:p>
            <w:pPr>
              <w:pStyle w:val="TableContents"/>
              <w:pBdr/>
              <w:spacing w:before="0" w:after="283"/>
              <w:jc w:val="both"/>
              <w:rPr>
                <w:sz w:val="17"/>
              </w:rPr>
            </w:pPr>
            <w:r>
              <w:rPr>
                <w:sz w:val="17"/>
              </w:rPr>
              <w:t>to defer construction of projects currently slated for land presently owned by us;</w:t>
            </w:r>
          </w:p>
        </w:tc>
      </w:tr>
    </w:tbl>
    <w:tbl>
      <w:tblPr>
        <w:tblW w:w="5890" w:type="dxa"/>
        <w:jc w:val="left"/>
        <w:tblInd w:w="1440" w:type="dxa"/>
        <w:tblCellMar>
          <w:top w:w="0" w:type="dxa"/>
          <w:left w:w="0" w:type="dxa"/>
          <w:bottom w:w="0" w:type="dxa"/>
          <w:right w:w="0" w:type="dxa"/>
        </w:tblCellMar>
      </w:tblPr>
      <w:tblGrid>
        <w:gridCol w:w="155"/>
        <w:gridCol w:w="573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735" w:type="dxa"/>
            <w:tcBorders/>
            <w:shd w:fill="auto" w:val="clear"/>
          </w:tcPr>
          <w:p>
            <w:pPr>
              <w:pStyle w:val="TableContents"/>
              <w:pBdr/>
              <w:spacing w:before="0" w:after="283"/>
              <w:jc w:val="both"/>
              <w:rPr>
                <w:sz w:val="17"/>
              </w:rPr>
            </w:pPr>
            <w:r>
              <w:rPr>
                <w:sz w:val="17"/>
              </w:rPr>
              <w:t>to take on joint venture partners with respect to such development projects; and/or</w:t>
            </w:r>
          </w:p>
        </w:tc>
      </w:tr>
    </w:tbl>
    <w:tbl>
      <w:tblPr>
        <w:tblW w:w="1150" w:type="dxa"/>
        <w:jc w:val="left"/>
        <w:tblInd w:w="1440" w:type="dxa"/>
        <w:tblCellMar>
          <w:top w:w="0" w:type="dxa"/>
          <w:left w:w="0" w:type="dxa"/>
          <w:bottom w:w="0" w:type="dxa"/>
          <w:right w:w="0" w:type="dxa"/>
        </w:tblCellMar>
      </w:tblPr>
      <w:tblGrid>
        <w:gridCol w:w="155"/>
        <w:gridCol w:w="99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995" w:type="dxa"/>
            <w:tcBorders/>
            <w:shd w:fill="auto" w:val="clear"/>
          </w:tcPr>
          <w:p>
            <w:pPr>
              <w:pStyle w:val="TableContents"/>
              <w:pBdr/>
              <w:spacing w:before="0" w:after="283"/>
              <w:jc w:val="both"/>
              <w:rPr>
                <w:sz w:val="17"/>
              </w:rPr>
            </w:pPr>
            <w:r>
              <w:rPr>
                <w:sz w:val="17"/>
              </w:rPr>
              <w:t xml:space="preserve">to sell assets.  </w:t>
            </w:r>
          </w:p>
        </w:tc>
      </w:tr>
    </w:tbl>
    <w:p>
      <w:pPr>
        <w:pStyle w:val="TextBody"/>
        <w:spacing w:before="200" w:after="200"/>
        <w:ind w:left="1440" w:right="0" w:hanging="0"/>
        <w:jc w:val="both"/>
        <w:rPr>
          <w:sz w:val="17"/>
          <w:u w:val="single"/>
        </w:rPr>
      </w:pPr>
      <w:r>
        <w:rPr>
          <w:sz w:val="17"/>
          <w:u w:val="single"/>
        </w:rPr>
        <w:t xml:space="preserve">Contractual Obligations </w:t>
      </w:r>
    </w:p>
    <w:p>
      <w:pPr>
        <w:pStyle w:val="TextBody"/>
        <w:spacing w:before="0" w:after="200"/>
        <w:ind w:left="1440" w:right="0" w:firstLine="720"/>
        <w:jc w:val="both"/>
        <w:rPr>
          <w:sz w:val="17"/>
        </w:rPr>
      </w:pPr>
      <w:r>
        <w:rPr>
          <w:sz w:val="17"/>
        </w:rPr>
        <w:t xml:space="preserve">The following table provides information with respect to the maturities and scheduled principal repayments of our secured debt and lease obligations at December 31, 2012 (in thousands): </w:t>
      </w:r>
    </w:p>
    <w:p>
      <w:pPr>
        <w:pStyle w:val="TextBody"/>
        <w:spacing w:before="0" w:after="0"/>
        <w:ind w:left="1440" w:right="0" w:firstLine="720"/>
        <w:jc w:val="both"/>
        <w:rPr/>
      </w:pPr>
      <w:r>
        <w:rPr/>
        <w:t xml:space="preserve">  </w:t>
      </w:r>
    </w:p>
    <w:tbl>
      <w:tblPr>
        <w:tblW w:w="8035" w:type="dxa"/>
        <w:jc w:val="left"/>
        <w:tblInd w:w="1440" w:type="dxa"/>
        <w:tblCellMar>
          <w:top w:w="0" w:type="dxa"/>
          <w:left w:w="0" w:type="dxa"/>
          <w:bottom w:w="0" w:type="dxa"/>
          <w:right w:w="0" w:type="dxa"/>
        </w:tblCellMar>
      </w:tblPr>
      <w:tblGrid>
        <w:gridCol w:w="2750"/>
        <w:gridCol w:w="180"/>
        <w:gridCol w:w="530"/>
        <w:gridCol w:w="180"/>
        <w:gridCol w:w="605"/>
        <w:gridCol w:w="180"/>
        <w:gridCol w:w="530"/>
        <w:gridCol w:w="180"/>
        <w:gridCol w:w="530"/>
        <w:gridCol w:w="180"/>
        <w:gridCol w:w="530"/>
        <w:gridCol w:w="180"/>
        <w:gridCol w:w="680"/>
        <w:gridCol w:w="180"/>
        <w:gridCol w:w="620"/>
      </w:tblGrid>
      <w:tr>
        <w:trPr/>
        <w:tc>
          <w:tcPr>
            <w:tcW w:w="275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5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8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5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8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2013</w:t>
            </w:r>
          </w:p>
        </w:tc>
        <w:tc>
          <w:tcPr>
            <w:tcW w:w="18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2014</w:t>
            </w:r>
          </w:p>
        </w:tc>
        <w:tc>
          <w:tcPr>
            <w:tcW w:w="18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2015</w:t>
            </w:r>
          </w:p>
        </w:tc>
        <w:tc>
          <w:tcPr>
            <w:tcW w:w="18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2016</w:t>
            </w:r>
          </w:p>
        </w:tc>
        <w:tc>
          <w:tcPr>
            <w:tcW w:w="18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2017</w:t>
            </w:r>
          </w:p>
        </w:tc>
        <w:tc>
          <w:tcPr>
            <w:tcW w:w="18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80" w:type="dxa"/>
            <w:tcBorders>
              <w:bottom w:val="single" w:sz="12" w:space="0" w:color="000000"/>
            </w:tcBorders>
            <w:shd w:fill="auto" w:val="clear"/>
            <w:tcMar>
              <w:bottom w:w="28" w:type="dxa"/>
            </w:tcMar>
          </w:tcPr>
          <w:p>
            <w:pPr>
              <w:pStyle w:val="TableContents"/>
              <w:spacing w:before="0" w:after="1"/>
              <w:ind w:left="0" w:right="0" w:hanging="0"/>
              <w:jc w:val="center"/>
              <w:rPr>
                <w:b/>
                <w:sz w:val="15"/>
              </w:rPr>
            </w:pPr>
            <w:r>
              <w:rPr>
                <w:b/>
                <w:sz w:val="15"/>
              </w:rPr>
              <w:t>Thereafter</w:t>
            </w:r>
          </w:p>
        </w:tc>
        <w:tc>
          <w:tcPr>
            <w:tcW w:w="18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750" w:type="dxa"/>
            <w:tcBorders>
              <w:top w:val="single" w:sz="12" w:space="0" w:color="000000"/>
            </w:tcBorders>
            <w:shd w:fill="CCEEFF" w:val="clear"/>
            <w:tcMar>
              <w:top w:w="28" w:type="dxa"/>
            </w:tcMar>
          </w:tcPr>
          <w:p>
            <w:pPr>
              <w:pStyle w:val="TableContents"/>
              <w:spacing w:before="0" w:after="1"/>
              <w:ind w:left="120" w:right="0" w:hanging="0"/>
              <w:jc w:val="both"/>
              <w:rPr>
                <w:sz w:val="15"/>
              </w:rPr>
            </w:pPr>
            <w:r>
              <w:rPr>
                <w:sz w:val="15"/>
              </w:rPr>
              <w:t xml:space="preserve">Debt </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19,714  </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86,357  </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32,613  </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3,000  </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18,000  </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80"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159,684  </w:t>
            </w:r>
          </w:p>
        </w:tc>
      </w:tr>
      <w:tr>
        <w:trPr/>
        <w:tc>
          <w:tcPr>
            <w:tcW w:w="2750" w:type="dxa"/>
            <w:tcBorders/>
            <w:shd w:fill="FFFFFF" w:val="clear"/>
          </w:tcPr>
          <w:p>
            <w:pPr>
              <w:pStyle w:val="TableContents"/>
              <w:spacing w:before="0" w:after="1"/>
              <w:ind w:left="120" w:right="0" w:hanging="0"/>
              <w:jc w:val="both"/>
              <w:rPr>
                <w:sz w:val="15"/>
              </w:rPr>
            </w:pPr>
            <w:r>
              <w:rPr>
                <w:sz w:val="15"/>
              </w:rPr>
              <w:t>Notes payable to related parties</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9,000  </w:t>
            </w:r>
          </w:p>
        </w:tc>
        <w:tc>
          <w:tcPr>
            <w:tcW w:w="180" w:type="dxa"/>
            <w:tcBorders/>
            <w:shd w:fill="FFFFFF" w:val="clear"/>
            <w:vAlign w:val="bottom"/>
          </w:tcPr>
          <w:p>
            <w:pPr>
              <w:pStyle w:val="TableContents"/>
              <w:spacing w:before="0" w:after="1"/>
              <w:ind w:left="0" w:right="120" w:hanging="0"/>
              <w:jc w:val="right"/>
              <w:rPr/>
            </w:pPr>
            <w:r>
              <w:rPr/>
              <w:t> </w:t>
            </w:r>
          </w:p>
        </w:tc>
        <w:tc>
          <w:tcPr>
            <w:tcW w:w="605"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68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9,000  </w:t>
            </w:r>
          </w:p>
        </w:tc>
      </w:tr>
      <w:tr>
        <w:trPr/>
        <w:tc>
          <w:tcPr>
            <w:tcW w:w="2750" w:type="dxa"/>
            <w:tcBorders/>
            <w:shd w:fill="CCEEFF" w:val="clear"/>
          </w:tcPr>
          <w:p>
            <w:pPr>
              <w:pStyle w:val="TableContents"/>
              <w:spacing w:before="0" w:after="1"/>
              <w:ind w:left="120" w:right="0" w:hanging="0"/>
              <w:jc w:val="both"/>
              <w:rPr>
                <w:sz w:val="15"/>
              </w:rPr>
            </w:pPr>
            <w:r>
              <w:rPr>
                <w:sz w:val="15"/>
              </w:rPr>
              <w:t>Subordinated notes (trust preferred securities)</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1"/>
              <w:ind w:left="0" w:right="0" w:hanging="0"/>
              <w:jc w:val="right"/>
              <w:rPr>
                <w:sz w:val="15"/>
              </w:rPr>
            </w:pPr>
            <w:r>
              <w:rPr>
                <w:sz w:val="15"/>
              </w:rPr>
              <w:t>--</w:t>
            </w:r>
          </w:p>
        </w:tc>
        <w:tc>
          <w:tcPr>
            <w:tcW w:w="180" w:type="dxa"/>
            <w:tcBorders/>
            <w:shd w:fill="CCEEFF" w:val="clear"/>
            <w:vAlign w:val="bottom"/>
          </w:tcPr>
          <w:p>
            <w:pPr>
              <w:pStyle w:val="TableContents"/>
              <w:spacing w:before="0" w:after="1"/>
              <w:ind w:left="0" w:right="120" w:hanging="0"/>
              <w:jc w:val="right"/>
              <w:rPr/>
            </w:pPr>
            <w:r>
              <w:rPr/>
              <w:t> </w:t>
            </w:r>
          </w:p>
        </w:tc>
        <w:tc>
          <w:tcPr>
            <w:tcW w:w="605" w:type="dxa"/>
            <w:tcBorders/>
            <w:shd w:fill="CCEEFF" w:val="clear"/>
            <w:vAlign w:val="bottom"/>
          </w:tcPr>
          <w:p>
            <w:pPr>
              <w:pStyle w:val="TableContents"/>
              <w:spacing w:before="0" w:after="1"/>
              <w:ind w:left="0" w:right="0" w:hanging="0"/>
              <w:jc w:val="right"/>
              <w:rPr>
                <w:sz w:val="15"/>
              </w:rPr>
            </w:pPr>
            <w:r>
              <w:rPr>
                <w:sz w:val="15"/>
              </w:rPr>
              <w:t>--</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1"/>
              <w:ind w:left="0" w:right="0" w:hanging="0"/>
              <w:jc w:val="right"/>
              <w:rPr>
                <w:sz w:val="15"/>
              </w:rPr>
            </w:pPr>
            <w:r>
              <w:rPr>
                <w:sz w:val="15"/>
              </w:rPr>
              <w:t>--</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1"/>
              <w:ind w:left="0" w:right="0" w:hanging="0"/>
              <w:jc w:val="right"/>
              <w:rPr>
                <w:sz w:val="15"/>
              </w:rPr>
            </w:pPr>
            <w:r>
              <w:rPr>
                <w:sz w:val="15"/>
              </w:rPr>
              <w:t>--</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1"/>
              <w:ind w:left="0" w:right="0" w:hanging="0"/>
              <w:jc w:val="right"/>
              <w:rPr>
                <w:sz w:val="15"/>
              </w:rPr>
            </w:pPr>
            <w:r>
              <w:rPr>
                <w:sz w:val="15"/>
              </w:rPr>
              <w:t>--</w:t>
            </w:r>
          </w:p>
        </w:tc>
        <w:tc>
          <w:tcPr>
            <w:tcW w:w="180" w:type="dxa"/>
            <w:tcBorders/>
            <w:shd w:fill="CCEEFF" w:val="clear"/>
            <w:vAlign w:val="bottom"/>
          </w:tcPr>
          <w:p>
            <w:pPr>
              <w:pStyle w:val="TableContents"/>
              <w:spacing w:before="0" w:after="1"/>
              <w:ind w:left="0" w:right="120" w:hanging="0"/>
              <w:jc w:val="right"/>
              <w:rPr/>
            </w:pPr>
            <w:r>
              <w:rPr/>
              <w:t> </w:t>
            </w:r>
          </w:p>
        </w:tc>
        <w:tc>
          <w:tcPr>
            <w:tcW w:w="680" w:type="dxa"/>
            <w:tcBorders/>
            <w:shd w:fill="CCEEFF" w:val="clear"/>
            <w:vAlign w:val="bottom"/>
          </w:tcPr>
          <w:p>
            <w:pPr>
              <w:pStyle w:val="TableContents"/>
              <w:spacing w:before="0" w:after="283"/>
              <w:jc w:val="right"/>
              <w:rPr>
                <w:sz w:val="15"/>
              </w:rPr>
            </w:pPr>
            <w:r>
              <w:rPr>
                <w:sz w:val="15"/>
              </w:rPr>
              <w:t xml:space="preserve">27,913  </w:t>
            </w:r>
          </w:p>
        </w:tc>
        <w:tc>
          <w:tcPr>
            <w:tcW w:w="180" w:type="dxa"/>
            <w:tcBorders/>
            <w:shd w:fill="CCEEFF" w:val="clear"/>
            <w:vAlign w:val="bottom"/>
          </w:tcPr>
          <w:p>
            <w:pPr>
              <w:pStyle w:val="TableContents"/>
              <w:spacing w:before="0" w:after="1"/>
              <w:ind w:left="0" w:right="12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27,913  </w:t>
            </w:r>
          </w:p>
        </w:tc>
      </w:tr>
      <w:tr>
        <w:trPr/>
        <w:tc>
          <w:tcPr>
            <w:tcW w:w="2750" w:type="dxa"/>
            <w:tcBorders/>
            <w:shd w:fill="FFFFFF" w:val="clear"/>
          </w:tcPr>
          <w:p>
            <w:pPr>
              <w:pStyle w:val="TableContents"/>
              <w:spacing w:before="0" w:after="1"/>
              <w:ind w:left="120" w:right="0" w:hanging="0"/>
              <w:jc w:val="both"/>
              <w:rPr>
                <w:sz w:val="15"/>
              </w:rPr>
            </w:pPr>
            <w:r>
              <w:rPr>
                <w:sz w:val="15"/>
              </w:rPr>
              <w:t>Tax settlement liability</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3,480  </w:t>
            </w:r>
          </w:p>
        </w:tc>
        <w:tc>
          <w:tcPr>
            <w:tcW w:w="180" w:type="dxa"/>
            <w:tcBorders/>
            <w:shd w:fill="FFFFFF" w:val="clear"/>
            <w:vAlign w:val="bottom"/>
          </w:tcPr>
          <w:p>
            <w:pPr>
              <w:pStyle w:val="TableContents"/>
              <w:spacing w:before="0" w:after="1"/>
              <w:ind w:left="0" w:right="120" w:hanging="0"/>
              <w:jc w:val="right"/>
              <w:rPr/>
            </w:pPr>
            <w:r>
              <w:rPr/>
              <w:t> </w:t>
            </w:r>
          </w:p>
        </w:tc>
        <w:tc>
          <w:tcPr>
            <w:tcW w:w="605" w:type="dxa"/>
            <w:tcBorders/>
            <w:shd w:fill="FFFFFF" w:val="clear"/>
            <w:vAlign w:val="bottom"/>
          </w:tcPr>
          <w:p>
            <w:pPr>
              <w:pStyle w:val="TableContents"/>
              <w:spacing w:before="0" w:after="283"/>
              <w:jc w:val="right"/>
              <w:rPr>
                <w:sz w:val="15"/>
              </w:rPr>
            </w:pPr>
            <w:r>
              <w:rPr>
                <w:sz w:val="15"/>
              </w:rPr>
              <w:t xml:space="preserve">3,480  </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2,301  </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680" w:type="dxa"/>
            <w:tcBorders/>
            <w:shd w:fill="FFFFFF" w:val="clear"/>
            <w:vAlign w:val="bottom"/>
          </w:tcPr>
          <w:p>
            <w:pPr>
              <w:pStyle w:val="TableContents"/>
              <w:spacing w:before="0" w:after="1"/>
              <w:ind w:left="0" w:right="0" w:hanging="0"/>
              <w:jc w:val="right"/>
              <w:rPr>
                <w:sz w:val="15"/>
              </w:rPr>
            </w:pPr>
            <w:r>
              <w:rPr>
                <w:sz w:val="15"/>
              </w:rPr>
              <w:t>--</w:t>
            </w:r>
          </w:p>
        </w:tc>
        <w:tc>
          <w:tcPr>
            <w:tcW w:w="180" w:type="dxa"/>
            <w:tcBorders/>
            <w:shd w:fill="FFFFFF" w:val="clear"/>
            <w:vAlign w:val="bottom"/>
          </w:tcPr>
          <w:p>
            <w:pPr>
              <w:pStyle w:val="TableContents"/>
              <w:spacing w:before="0" w:after="1"/>
              <w:ind w:left="0" w:right="12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9,261  </w:t>
            </w:r>
          </w:p>
        </w:tc>
      </w:tr>
      <w:tr>
        <w:trPr/>
        <w:tc>
          <w:tcPr>
            <w:tcW w:w="2750" w:type="dxa"/>
            <w:tcBorders/>
            <w:shd w:fill="CCEEFF" w:val="clear"/>
          </w:tcPr>
          <w:p>
            <w:pPr>
              <w:pStyle w:val="TableContents"/>
              <w:spacing w:before="0" w:after="1"/>
              <w:ind w:left="120" w:right="0" w:hanging="0"/>
              <w:jc w:val="both"/>
              <w:rPr>
                <w:sz w:val="15"/>
              </w:rPr>
            </w:pPr>
            <w:r>
              <w:rPr>
                <w:sz w:val="15"/>
              </w:rPr>
              <w:t>Pension liability</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283"/>
              <w:jc w:val="right"/>
              <w:rPr>
                <w:sz w:val="15"/>
              </w:rPr>
            </w:pPr>
            <w:r>
              <w:rPr>
                <w:sz w:val="15"/>
              </w:rPr>
              <w:t xml:space="preserve">13  </w:t>
            </w:r>
          </w:p>
        </w:tc>
        <w:tc>
          <w:tcPr>
            <w:tcW w:w="180" w:type="dxa"/>
            <w:tcBorders/>
            <w:shd w:fill="CCEEFF" w:val="clear"/>
            <w:vAlign w:val="bottom"/>
          </w:tcPr>
          <w:p>
            <w:pPr>
              <w:pStyle w:val="TableContents"/>
              <w:spacing w:before="0" w:after="1"/>
              <w:ind w:left="0" w:right="120" w:hanging="0"/>
              <w:jc w:val="right"/>
              <w:rPr/>
            </w:pPr>
            <w:r>
              <w:rPr/>
              <w:t> </w:t>
            </w:r>
          </w:p>
        </w:tc>
        <w:tc>
          <w:tcPr>
            <w:tcW w:w="605" w:type="dxa"/>
            <w:tcBorders/>
            <w:shd w:fill="CCEEFF" w:val="clear"/>
            <w:vAlign w:val="bottom"/>
          </w:tcPr>
          <w:p>
            <w:pPr>
              <w:pStyle w:val="TableContents"/>
              <w:spacing w:before="0" w:after="283"/>
              <w:jc w:val="right"/>
              <w:rPr>
                <w:sz w:val="15"/>
              </w:rPr>
            </w:pPr>
            <w:r>
              <w:rPr>
                <w:sz w:val="15"/>
              </w:rPr>
              <w:t xml:space="preserve">27  </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283"/>
              <w:jc w:val="right"/>
              <w:rPr>
                <w:sz w:val="15"/>
              </w:rPr>
            </w:pPr>
            <w:r>
              <w:rPr>
                <w:sz w:val="15"/>
              </w:rPr>
              <w:t xml:space="preserve">44  </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283"/>
              <w:jc w:val="right"/>
              <w:rPr>
                <w:sz w:val="15"/>
              </w:rPr>
            </w:pPr>
            <w:r>
              <w:rPr>
                <w:sz w:val="15"/>
              </w:rPr>
              <w:t xml:space="preserve">61  </w:t>
            </w:r>
          </w:p>
        </w:tc>
        <w:tc>
          <w:tcPr>
            <w:tcW w:w="180" w:type="dxa"/>
            <w:tcBorders/>
            <w:shd w:fill="CCEEFF" w:val="clear"/>
            <w:vAlign w:val="bottom"/>
          </w:tcPr>
          <w:p>
            <w:pPr>
              <w:pStyle w:val="TableContents"/>
              <w:spacing w:before="0" w:after="1"/>
              <w:ind w:left="0" w:right="120" w:hanging="0"/>
              <w:jc w:val="right"/>
              <w:rPr/>
            </w:pPr>
            <w:r>
              <w:rPr/>
              <w:t> </w:t>
            </w:r>
          </w:p>
        </w:tc>
        <w:tc>
          <w:tcPr>
            <w:tcW w:w="530" w:type="dxa"/>
            <w:tcBorders/>
            <w:shd w:fill="CCEEFF" w:val="clear"/>
            <w:vAlign w:val="bottom"/>
          </w:tcPr>
          <w:p>
            <w:pPr>
              <w:pStyle w:val="TableContents"/>
              <w:spacing w:before="0" w:after="283"/>
              <w:jc w:val="right"/>
              <w:rPr>
                <w:sz w:val="15"/>
              </w:rPr>
            </w:pPr>
            <w:r>
              <w:rPr>
                <w:sz w:val="15"/>
              </w:rPr>
              <w:t xml:space="preserve">481  </w:t>
            </w:r>
          </w:p>
        </w:tc>
        <w:tc>
          <w:tcPr>
            <w:tcW w:w="180" w:type="dxa"/>
            <w:tcBorders/>
            <w:shd w:fill="CCEEFF" w:val="clear"/>
            <w:vAlign w:val="bottom"/>
          </w:tcPr>
          <w:p>
            <w:pPr>
              <w:pStyle w:val="TableContents"/>
              <w:spacing w:before="0" w:after="1"/>
              <w:ind w:left="0" w:right="120" w:hanging="0"/>
              <w:jc w:val="right"/>
              <w:rPr/>
            </w:pPr>
            <w:r>
              <w:rPr/>
              <w:t> </w:t>
            </w:r>
          </w:p>
        </w:tc>
        <w:tc>
          <w:tcPr>
            <w:tcW w:w="680" w:type="dxa"/>
            <w:tcBorders/>
            <w:shd w:fill="CCEEFF" w:val="clear"/>
            <w:vAlign w:val="bottom"/>
          </w:tcPr>
          <w:p>
            <w:pPr>
              <w:pStyle w:val="TableContents"/>
              <w:spacing w:before="0" w:after="283"/>
              <w:jc w:val="right"/>
              <w:rPr>
                <w:sz w:val="15"/>
              </w:rPr>
            </w:pPr>
            <w:r>
              <w:rPr>
                <w:sz w:val="15"/>
              </w:rPr>
              <w:t xml:space="preserve">6,350  </w:t>
            </w:r>
          </w:p>
        </w:tc>
        <w:tc>
          <w:tcPr>
            <w:tcW w:w="180" w:type="dxa"/>
            <w:tcBorders/>
            <w:shd w:fill="CCEEFF" w:val="clear"/>
            <w:vAlign w:val="bottom"/>
          </w:tcPr>
          <w:p>
            <w:pPr>
              <w:pStyle w:val="TableContents"/>
              <w:spacing w:before="0" w:after="1"/>
              <w:ind w:left="0" w:right="12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6,976  </w:t>
            </w:r>
          </w:p>
        </w:tc>
      </w:tr>
      <w:tr>
        <w:trPr/>
        <w:tc>
          <w:tcPr>
            <w:tcW w:w="2750" w:type="dxa"/>
            <w:tcBorders/>
            <w:shd w:fill="FFFFFF" w:val="clear"/>
          </w:tcPr>
          <w:p>
            <w:pPr>
              <w:pStyle w:val="TableContents"/>
              <w:spacing w:before="0" w:after="1"/>
              <w:ind w:left="120" w:right="0" w:hanging="0"/>
              <w:jc w:val="both"/>
              <w:rPr>
                <w:sz w:val="15"/>
              </w:rPr>
            </w:pPr>
            <w:r>
              <w:rPr>
                <w:sz w:val="15"/>
              </w:rPr>
              <w:t xml:space="preserve">Lease obligations </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34,388  </w:t>
            </w:r>
          </w:p>
        </w:tc>
        <w:tc>
          <w:tcPr>
            <w:tcW w:w="180" w:type="dxa"/>
            <w:tcBorders/>
            <w:shd w:fill="FFFFFF" w:val="clear"/>
            <w:vAlign w:val="bottom"/>
          </w:tcPr>
          <w:p>
            <w:pPr>
              <w:pStyle w:val="TableContents"/>
              <w:spacing w:before="0" w:after="1"/>
              <w:ind w:left="0" w:right="120" w:hanging="0"/>
              <w:jc w:val="right"/>
              <w:rPr/>
            </w:pPr>
            <w:r>
              <w:rPr/>
              <w:t> </w:t>
            </w:r>
          </w:p>
        </w:tc>
        <w:tc>
          <w:tcPr>
            <w:tcW w:w="605" w:type="dxa"/>
            <w:tcBorders/>
            <w:shd w:fill="FFFFFF" w:val="clear"/>
            <w:vAlign w:val="bottom"/>
          </w:tcPr>
          <w:p>
            <w:pPr>
              <w:pStyle w:val="TableContents"/>
              <w:spacing w:before="0" w:after="283"/>
              <w:jc w:val="right"/>
              <w:rPr>
                <w:sz w:val="15"/>
              </w:rPr>
            </w:pPr>
            <w:r>
              <w:rPr>
                <w:sz w:val="15"/>
              </w:rPr>
              <w:t xml:space="preserve">30,543  </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26,424  </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22,574  </w:t>
            </w:r>
          </w:p>
        </w:tc>
        <w:tc>
          <w:tcPr>
            <w:tcW w:w="180" w:type="dxa"/>
            <w:tcBorders/>
            <w:shd w:fill="FFFFFF" w:val="clear"/>
            <w:vAlign w:val="bottom"/>
          </w:tcPr>
          <w:p>
            <w:pPr>
              <w:pStyle w:val="TableContents"/>
              <w:spacing w:before="0" w:after="1"/>
              <w:ind w:left="0" w:right="12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19,688  </w:t>
            </w:r>
          </w:p>
        </w:tc>
        <w:tc>
          <w:tcPr>
            <w:tcW w:w="180" w:type="dxa"/>
            <w:tcBorders/>
            <w:shd w:fill="FFFFFF" w:val="clear"/>
            <w:vAlign w:val="bottom"/>
          </w:tcPr>
          <w:p>
            <w:pPr>
              <w:pStyle w:val="TableContents"/>
              <w:spacing w:before="0" w:after="1"/>
              <w:ind w:left="0" w:right="120" w:hanging="0"/>
              <w:jc w:val="right"/>
              <w:rPr/>
            </w:pPr>
            <w:r>
              <w:rPr/>
              <w:t> </w:t>
            </w:r>
          </w:p>
        </w:tc>
        <w:tc>
          <w:tcPr>
            <w:tcW w:w="680" w:type="dxa"/>
            <w:tcBorders/>
            <w:shd w:fill="FFFFFF" w:val="clear"/>
            <w:vAlign w:val="bottom"/>
          </w:tcPr>
          <w:p>
            <w:pPr>
              <w:pStyle w:val="TableContents"/>
              <w:spacing w:before="0" w:after="283"/>
              <w:jc w:val="right"/>
              <w:rPr>
                <w:sz w:val="15"/>
              </w:rPr>
            </w:pPr>
            <w:r>
              <w:rPr>
                <w:sz w:val="15"/>
              </w:rPr>
              <w:t xml:space="preserve">76,271  </w:t>
            </w:r>
          </w:p>
        </w:tc>
        <w:tc>
          <w:tcPr>
            <w:tcW w:w="180" w:type="dxa"/>
            <w:tcBorders/>
            <w:shd w:fill="FFFFFF" w:val="clear"/>
            <w:vAlign w:val="bottom"/>
          </w:tcPr>
          <w:p>
            <w:pPr>
              <w:pStyle w:val="TableContents"/>
              <w:spacing w:before="0" w:after="1"/>
              <w:ind w:left="0" w:right="12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209,888  </w:t>
            </w:r>
          </w:p>
        </w:tc>
      </w:tr>
      <w:tr>
        <w:trPr/>
        <w:tc>
          <w:tcPr>
            <w:tcW w:w="2750" w:type="dxa"/>
            <w:tcBorders>
              <w:bottom w:val="single" w:sz="8" w:space="0" w:color="000000"/>
            </w:tcBorders>
            <w:shd w:fill="CCEEFF" w:val="clear"/>
            <w:tcMar>
              <w:bottom w:w="28" w:type="dxa"/>
            </w:tcMar>
          </w:tcPr>
          <w:p>
            <w:pPr>
              <w:pStyle w:val="TableContents"/>
              <w:spacing w:before="0" w:after="1"/>
              <w:ind w:left="120" w:right="0" w:hanging="0"/>
              <w:jc w:val="both"/>
              <w:rPr>
                <w:sz w:val="15"/>
              </w:rPr>
            </w:pPr>
            <w:r>
              <w:rPr>
                <w:sz w:val="15"/>
              </w:rPr>
              <w:t>Estimated interest on debt</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9,536  </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60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5,835  </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3,621  </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2,894  </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1,715  </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68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10,900  </w:t>
            </w:r>
          </w:p>
        </w:tc>
        <w:tc>
          <w:tcPr>
            <w:tcW w:w="180" w:type="dxa"/>
            <w:tcBorders>
              <w:bottom w:val="single" w:sz="8" w:space="0" w:color="000000"/>
            </w:tcBorders>
            <w:shd w:fill="CCEEFF" w:val="clear"/>
            <w:tcMar>
              <w:bottom w:w="28" w:type="dxa"/>
            </w:tcMar>
            <w:vAlign w:val="bottom"/>
          </w:tcPr>
          <w:p>
            <w:pPr>
              <w:pStyle w:val="TableContents"/>
              <w:spacing w:before="0" w:after="1"/>
              <w:ind w:left="0" w:right="12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34,501  </w:t>
            </w:r>
          </w:p>
        </w:tc>
      </w:tr>
      <w:tr>
        <w:trPr/>
        <w:tc>
          <w:tcPr>
            <w:tcW w:w="27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600" w:right="0" w:hanging="0"/>
              <w:jc w:val="both"/>
              <w:rPr>
                <w:sz w:val="15"/>
              </w:rPr>
            </w:pPr>
            <w:r>
              <w:rPr>
                <w:sz w:val="15"/>
              </w:rPr>
              <w:t xml:space="preserve">Total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76,131 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0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126,242 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65,003 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28,529 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39,884 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121,434  </w:t>
            </w:r>
          </w:p>
        </w:tc>
        <w:tc>
          <w:tcPr>
            <w:tcW w:w="1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457,223  </w:t>
            </w:r>
          </w:p>
        </w:tc>
      </w:tr>
    </w:tbl>
    <w:p>
      <w:pPr>
        <w:pStyle w:val="TextBody"/>
        <w:spacing w:before="0" w:after="200"/>
        <w:ind w:left="1440" w:right="0" w:firstLine="720"/>
        <w:jc w:val="both"/>
        <w:rPr>
          <w:sz w:val="17"/>
        </w:rPr>
      </w:pPr>
      <w:r>
        <w:rPr>
          <w:sz w:val="17"/>
        </w:rPr>
        <w:t xml:space="preserve">Estimated interest on long-term debt is based on the anticipated loan balances for future periods calculated against current fixed and variable interest rates. </w:t>
      </w:r>
    </w:p>
    <w:p>
      <w:pPr>
        <w:pStyle w:val="TextBody"/>
        <w:spacing w:before="0" w:after="200"/>
        <w:ind w:left="1440" w:right="0" w:firstLine="720"/>
        <w:jc w:val="both"/>
        <w:rPr>
          <w:sz w:val="17"/>
        </w:rPr>
      </w:pPr>
      <w:r>
        <w:rPr>
          <w:sz w:val="17"/>
        </w:rPr>
        <w:t xml:space="preserve">We adopted FASB ASC 740-10-25 – </w:t>
      </w:r>
      <w:r>
        <w:rPr>
          <w:i/>
          <w:sz w:val="17"/>
        </w:rPr>
        <w:t>Income Taxes - Uncertain Tax Positions</w:t>
      </w:r>
      <w:r>
        <w:rPr>
          <w:sz w:val="17"/>
        </w:rPr>
        <w:t xml:space="preserve"> on January 1, 2007.  As of adoption, the total amount of gross unrecognized tax benefits for uncertain tax positions was $12.5 million increasing to $13.7 million, to $14.5 million, and to $15.3 million as of December 31, 2007, 2008, and 2009, respectively.  As of December 31 2010, the gross unrecognized tax benefit increased to $20.6 million, substantially as a result of having settled our Tax Audit/Litigation case (see Note 19 – </w:t>
      </w:r>
      <w:r>
        <w:rPr>
          <w:i/>
          <w:sz w:val="17"/>
        </w:rPr>
        <w:t>Commitments and Contingencies</w:t>
      </w:r>
      <w:r>
        <w:rPr>
          <w:sz w:val="17"/>
        </w:rPr>
        <w:t xml:space="preserve"> to our 2012 Consolidated Financial Statements).  As of December 31, 2011, the gross unrecognized tax benefit decreased to $4.1 million largely because the Tax Audit/Litigation matter is no longer in the nature of an uncertain tax position governed by FASB ASC 740-10-25, but is a fixed and determinable tax liability.  As of December 31, 2012, the gross unrecognized tax benefit increased to $5.3 million.  We do not expect a significant tax payment related to the $5.3 million in uncertain tax positions within the next 12 months. </w:t>
      </w:r>
    </w:p>
    <w:p>
      <w:pPr>
        <w:pStyle w:val="TextBody"/>
        <w:spacing w:before="0" w:after="200"/>
        <w:ind w:left="1440" w:right="0" w:hanging="0"/>
        <w:jc w:val="both"/>
        <w:rPr>
          <w:sz w:val="17"/>
        </w:rPr>
      </w:pPr>
      <w:r>
        <w:rPr>
          <w:sz w:val="17"/>
          <w:u w:val="single"/>
        </w:rPr>
        <w:t>Unconsolidated Joint Venture Debt</w:t>
      </w:r>
      <w:r>
        <w:rPr>
          <w:sz w:val="17"/>
        </w:rPr>
        <w:t xml:space="preserve"> </w:t>
      </w:r>
    </w:p>
    <w:p>
      <w:pPr>
        <w:pStyle w:val="TextBody"/>
        <w:spacing w:before="0" w:after="200"/>
        <w:ind w:left="1440" w:right="0" w:hanging="0"/>
        <w:jc w:val="both"/>
        <w:rPr/>
      </w:pPr>
      <w:r>
        <w:rPr/>
        <w:t>            </w:t>
      </w:r>
      <w:r>
        <w:rPr>
          <w:sz w:val="17"/>
        </w:rPr>
        <w:t xml:space="preserve">Total debt of unconsolidated joint ventures was $703,000 and $663,000 as of December 31, 2012 and December 31, 2011, respectively.  Our share of unconsolidated debt, based on our ownership percentage, was $234,000 and $221,000 as of December 31, 2012 and December 31, 2011, respectively.  This loan is guaranteed by one of our subsidiaries to the extent of our ownership percentage. </w:t>
      </w:r>
    </w:p>
    <w:p>
      <w:pPr>
        <w:pStyle w:val="TextBody"/>
        <w:spacing w:before="0" w:after="200"/>
        <w:ind w:left="1440" w:right="0" w:hanging="0"/>
        <w:jc w:val="both"/>
        <w:rPr>
          <w:sz w:val="17"/>
          <w:u w:val="single"/>
        </w:rPr>
      </w:pPr>
      <w:r>
        <w:rPr>
          <w:sz w:val="17"/>
          <w:u w:val="single"/>
        </w:rPr>
        <w:t xml:space="preserve">Off-Balance Sheet Arrangements </w:t>
      </w:r>
    </w:p>
    <w:p>
      <w:pPr>
        <w:pStyle w:val="TextBody"/>
        <w:spacing w:before="0" w:after="200"/>
        <w:ind w:left="1440" w:right="0" w:firstLine="720"/>
        <w:jc w:val="both"/>
        <w:rPr>
          <w:sz w:val="17"/>
        </w:rPr>
      </w:pPr>
      <w:r>
        <w:rPr>
          <w:sz w:val="17"/>
        </w:rPr>
        <w:t xml:space="preserve">There are no off-balance sheet transactions,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spacing w:before="0" w:after="200"/>
        <w:ind w:left="1440" w:right="0" w:hanging="0"/>
        <w:jc w:val="both"/>
        <w:rPr>
          <w:sz w:val="17"/>
        </w:rPr>
      </w:pPr>
      <w:r>
        <w:rPr>
          <w:sz w:val="17"/>
          <w:u w:val="single"/>
        </w:rPr>
        <w:t>Financial Risk Management</w:t>
      </w:r>
      <w:r>
        <w:rPr>
          <w:sz w:val="17"/>
        </w:rPr>
        <w:t xml:space="preserve"> </w:t>
      </w:r>
    </w:p>
    <w:p>
      <w:pPr>
        <w:pStyle w:val="TextBody"/>
        <w:spacing w:before="0" w:after="200"/>
        <w:ind w:left="1440" w:right="0" w:firstLine="720"/>
        <w:jc w:val="both"/>
        <w:rPr>
          <w:sz w:val="17"/>
        </w:rPr>
      </w:pPr>
      <w:r>
        <w:rPr>
          <w:sz w:val="17"/>
        </w:rPr>
        <w:t xml:space="preserve">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  </w:t>
      </w:r>
    </w:p>
    <w:p>
      <w:pPr>
        <w:pStyle w:val="TextBody"/>
        <w:spacing w:before="0" w:after="200"/>
        <w:ind w:left="1440" w:right="0" w:hanging="0"/>
        <w:jc w:val="both"/>
        <w:rPr/>
      </w:pPr>
      <w:r>
        <w:rPr/>
        <w:t>            </w:t>
      </w:r>
      <w:r>
        <w:rPr>
          <w:sz w:val="17"/>
        </w:rPr>
        <w:t xml:space="preserve">If our operational focus shifts more to Australia and New Zealand, unrealized foreign currency translation gains and losses could materially affect our financial position.  Historically, we managed our currency exposure by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sz w:val="17"/>
        </w:rPr>
      </w:pPr>
      <w:r>
        <w:rPr>
          <w:sz w:val="17"/>
        </w:rPr>
        <w:t xml:space="preserve">creating natural hedges in Australia and New Zealand.  This involves local country sourcing of goods and services as well as borrowing in local currencies.  During 2012, we deviated somewhat from this practice by purchasing $8.0 million in time deposits denominated in U.S. dollars and held by an Australian bank.  Additionally, by paying off our New Zealand debt and paying down on our Australian debt with the proceeds of our TPS, we have added an increased element of currency risk to our Company.  We believe that this currency risk is mitigated by the long-term nature of the fully subordinated notes and our recent ability to repurchase, at a discount, some of these securities. </w:t>
      </w:r>
    </w:p>
    <w:p>
      <w:pPr>
        <w:pStyle w:val="TextBody"/>
        <w:spacing w:before="0" w:after="200"/>
        <w:ind w:left="1440" w:right="0" w:firstLine="720"/>
        <w:jc w:val="both"/>
        <w:rPr>
          <w:sz w:val="17"/>
        </w:rPr>
      </w:pPr>
      <w:r>
        <w:rPr>
          <w:sz w:val="17"/>
        </w:rPr>
        <w:t xml:space="preserve">In the first quarter 2009, we took advantage of current market illiquidity for securities such as our TPS to repurchase $22.9 million of those securities for $11.5 million.  In addition, in December 2008 we secured a waiver of all financial covenants with respect to our TPS for a period of nine years (through December 2017), in consideration of the payment of $1.6 million, consisting of an initial payment of $1.1 million, a payment of $270,000 made in December 2011, and a contractual obligation to pay $270,000 in December 2014.  In the event that the remaining payment is not made, the only remedy is the termination of the waiver.  Because of this transaction, which was partially funded with borrowings against our New Zealand line-of-credit, we once again have substantially matched the currency in which we have financed our developments with the jurisdictions in which these developments are located. </w:t>
      </w:r>
    </w:p>
    <w:p>
      <w:pPr>
        <w:pStyle w:val="TextBody"/>
        <w:spacing w:before="0" w:after="200"/>
        <w:ind w:left="1440" w:right="0" w:firstLine="720"/>
        <w:jc w:val="both"/>
        <w:rPr>
          <w:sz w:val="17"/>
        </w:rPr>
      </w:pPr>
      <w:r>
        <w:rPr>
          <w:sz w:val="17"/>
        </w:rPr>
        <w:t xml:space="preserve">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Bank Bill Swap Bid Rate (BBSY bid rate), but requires that not less than 75% of the loan be swapped into fixed rate obligations but we have elected to swap 100% of the balance.  On October 31, 2012, we replaced our GE Capital Term Loan of $27.7 million with a new credit facility from Bank of America of $30.0 million.  Although the new credit facility does not require a fixed interest swap agreement, we will continue to use our existing fixed interest rate swap of $29.1 million until its term date of December 31, 2013 (see Note 12 – </w:t>
      </w:r>
      <w:r>
        <w:rPr>
          <w:i/>
          <w:sz w:val="17"/>
        </w:rPr>
        <w:t>Notes Payable</w:t>
      </w:r>
      <w:r>
        <w:rPr>
          <w:sz w:val="17"/>
        </w:rPr>
        <w:t xml:space="preserve"> to our 2012 Consolidated Financial Statements). </w:t>
      </w:r>
    </w:p>
    <w:p>
      <w:pPr>
        <w:pStyle w:val="TextBody"/>
        <w:spacing w:before="0" w:after="200"/>
        <w:ind w:left="1440" w:right="0" w:hanging="0"/>
        <w:jc w:val="both"/>
        <w:rPr/>
      </w:pPr>
      <w:r>
        <w:rPr/>
        <w:t>            </w:t>
      </w:r>
      <w:r>
        <w:rPr>
          <w:sz w:val="17"/>
        </w:rPr>
        <w:t xml:space="preserve">In accordance with FASB ASC 815-20 – </w:t>
      </w:r>
      <w:r>
        <w:rPr>
          <w:i/>
          <w:sz w:val="17"/>
        </w:rPr>
        <w:t>Derivatives and Hedging</w:t>
      </w:r>
      <w:r>
        <w:rPr>
          <w:sz w:val="17"/>
        </w:rPr>
        <w:t xml:space="preserve">, we marked our interest swap instruments to market on the consolidated balance sheet resulting in a $1.1 million increase to interest expense during 2012, a $5.0 million increase to interest expense during 2011, and a $284,000 decrease to interest expense during 2010. </w:t>
      </w:r>
    </w:p>
    <w:p>
      <w:pPr>
        <w:pStyle w:val="TextBody"/>
        <w:spacing w:before="0" w:after="200"/>
        <w:ind w:left="1440" w:right="0" w:hanging="0"/>
        <w:jc w:val="both"/>
        <w:rPr>
          <w:sz w:val="17"/>
        </w:rPr>
      </w:pPr>
      <w:r>
        <w:rPr>
          <w:sz w:val="17"/>
          <w:u w:val="single"/>
        </w:rPr>
        <w:t>Inflation</w:t>
      </w:r>
      <w:r>
        <w:rPr>
          <w:sz w:val="17"/>
        </w:rPr>
        <w:t xml:space="preserve"> </w:t>
      </w:r>
    </w:p>
    <w:p>
      <w:pPr>
        <w:pStyle w:val="TextBody"/>
        <w:spacing w:before="0" w:after="200"/>
        <w:ind w:left="1440" w:right="0" w:firstLine="720"/>
        <w:jc w:val="both"/>
        <w:rPr>
          <w:sz w:val="17"/>
        </w:rPr>
      </w:pPr>
      <w:r>
        <w:rPr>
          <w:sz w:val="17"/>
        </w:rPr>
        <w:t xml:space="preserve">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 </w:t>
      </w:r>
    </w:p>
    <w:p>
      <w:pPr>
        <w:pStyle w:val="TextBody"/>
        <w:spacing w:before="0" w:after="200"/>
        <w:ind w:left="1440" w:right="0" w:hanging="0"/>
        <w:jc w:val="both"/>
        <w:rPr>
          <w:sz w:val="17"/>
        </w:rPr>
      </w:pPr>
      <w:r>
        <w:rPr>
          <w:sz w:val="17"/>
          <w:u w:val="single"/>
        </w:rPr>
        <w:t>Accounting Pronouncements Adopted During 2012</w:t>
      </w:r>
      <w:r>
        <w:rPr>
          <w:sz w:val="17"/>
        </w:rPr>
        <w:t xml:space="preserve"> </w:t>
      </w:r>
    </w:p>
    <w:p>
      <w:pPr>
        <w:pStyle w:val="TextBody"/>
        <w:spacing w:before="0" w:after="200"/>
        <w:ind w:left="1440" w:right="0" w:firstLine="720"/>
        <w:jc w:val="both"/>
        <w:rPr>
          <w:sz w:val="17"/>
        </w:rPr>
      </w:pPr>
      <w:r>
        <w:rPr>
          <w:sz w:val="17"/>
        </w:rPr>
        <w:t xml:space="preserve">Please see Note 2 – </w:t>
      </w:r>
      <w:r>
        <w:rPr>
          <w:i/>
          <w:sz w:val="17"/>
        </w:rPr>
        <w:t>Summary of Significant Accounting Policies</w:t>
      </w:r>
      <w:r>
        <w:rPr>
          <w:sz w:val="17"/>
        </w:rPr>
        <w:t xml:space="preserve"> to our 2012 Consolidated Financial Statements. </w:t>
      </w:r>
    </w:p>
    <w:p>
      <w:pPr>
        <w:pStyle w:val="TextBody"/>
        <w:spacing w:before="0" w:after="200"/>
        <w:ind w:left="1440" w:right="0" w:hanging="0"/>
        <w:jc w:val="both"/>
        <w:rPr>
          <w:sz w:val="17"/>
        </w:rPr>
      </w:pPr>
      <w:r>
        <w:rPr>
          <w:sz w:val="17"/>
          <w:u w:val="single"/>
        </w:rPr>
        <w:t>New Accounting Pronouncements</w:t>
      </w:r>
      <w:r>
        <w:rPr>
          <w:sz w:val="17"/>
        </w:rPr>
        <w:t xml:space="preserve"> </w:t>
      </w:r>
    </w:p>
    <w:p>
      <w:pPr>
        <w:pStyle w:val="TextBody"/>
        <w:spacing w:before="0" w:after="200"/>
        <w:ind w:left="1440" w:right="0" w:hanging="0"/>
        <w:jc w:val="both"/>
        <w:rPr/>
      </w:pPr>
      <w:r>
        <w:rPr/>
        <w:t>            </w:t>
      </w:r>
      <w:r>
        <w:rPr>
          <w:sz w:val="17"/>
        </w:rPr>
        <w:t xml:space="preserve">Please see Note 2 – </w:t>
      </w:r>
      <w:r>
        <w:rPr>
          <w:i/>
          <w:sz w:val="17"/>
        </w:rPr>
        <w:t>Summary of Significant Accounting</w:t>
      </w:r>
      <w:r>
        <w:rPr>
          <w:sz w:val="17"/>
        </w:rPr>
        <w:t xml:space="preserve"> Policies to our 2012 Consolidated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49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u w:val="single"/>
        </w:rPr>
        <w:t>Forward-Looking Statements</w:t>
      </w:r>
      <w:r>
        <w:rPr>
          <w:sz w:val="17"/>
        </w:rPr>
        <w:t xml:space="preserve"> </w:t>
      </w:r>
    </w:p>
    <w:p>
      <w:pPr>
        <w:pStyle w:val="TextBody"/>
        <w:spacing w:before="0" w:after="200"/>
        <w:ind w:left="1440" w:right="0" w:firstLine="720"/>
        <w:jc w:val="both"/>
        <w:rPr>
          <w:sz w:val="17"/>
        </w:rPr>
      </w:pPr>
      <w:r>
        <w:rPr>
          <w:sz w:val="17"/>
        </w:rPr>
        <w:t xml:space="preserve">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 </w:t>
      </w:r>
    </w:p>
    <w:p>
      <w:pPr>
        <w:pStyle w:val="TextBody"/>
        <w:spacing w:before="0" w:after="200"/>
        <w:ind w:left="1440" w:right="0" w:firstLine="720"/>
        <w:jc w:val="both"/>
        <w:rPr>
          <w:sz w:val="17"/>
        </w:rPr>
      </w:pPr>
      <w:r>
        <w:rPr>
          <w:sz w:val="17"/>
        </w:rPr>
        <w:t xml:space="preserve">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 </w:t>
      </w:r>
    </w:p>
    <w:p>
      <w:pPr>
        <w:pStyle w:val="TextBody"/>
        <w:spacing w:before="0" w:after="200"/>
        <w:ind w:left="1440" w:right="0" w:firstLine="720"/>
        <w:jc w:val="both"/>
        <w:rPr>
          <w:sz w:val="17"/>
        </w:rPr>
      </w:pPr>
      <w:r>
        <w:rPr>
          <w:sz w:val="17"/>
        </w:rPr>
        <w:t xml:space="preserve">Among the factors that could cause actual results to differ materially from those expressed in or underlying our forward-looking statements are the following: </w:t>
      </w:r>
    </w:p>
    <w:tbl>
      <w:tblPr>
        <w:tblW w:w="2830" w:type="dxa"/>
        <w:jc w:val="left"/>
        <w:tblInd w:w="1440" w:type="dxa"/>
        <w:tblCellMar>
          <w:top w:w="0" w:type="dxa"/>
          <w:left w:w="0" w:type="dxa"/>
          <w:bottom w:w="0" w:type="dxa"/>
          <w:right w:w="0" w:type="dxa"/>
        </w:tblCellMar>
      </w:tblPr>
      <w:tblGrid>
        <w:gridCol w:w="155"/>
        <w:gridCol w:w="267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675" w:type="dxa"/>
            <w:tcBorders/>
            <w:shd w:fill="auto" w:val="clear"/>
          </w:tcPr>
          <w:p>
            <w:pPr>
              <w:pStyle w:val="TableContents"/>
              <w:pBdr/>
              <w:spacing w:before="0" w:after="283"/>
              <w:jc w:val="both"/>
              <w:rPr>
                <w:sz w:val="17"/>
              </w:rPr>
            </w:pPr>
            <w:r>
              <w:rPr>
                <w:sz w:val="17"/>
              </w:rPr>
              <w:t>with respect to our cinema operations:</w:t>
            </w:r>
          </w:p>
        </w:tc>
      </w:tr>
    </w:tbl>
    <w:tbl>
      <w:tblPr>
        <w:tblW w:w="6040" w:type="dxa"/>
        <w:jc w:val="left"/>
        <w:tblInd w:w="1440" w:type="dxa"/>
        <w:tblCellMar>
          <w:top w:w="0" w:type="dxa"/>
          <w:left w:w="0" w:type="dxa"/>
          <w:bottom w:w="0" w:type="dxa"/>
          <w:right w:w="0" w:type="dxa"/>
        </w:tblCellMar>
      </w:tblPr>
      <w:tblGrid>
        <w:gridCol w:w="185"/>
        <w:gridCol w:w="5855"/>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5855" w:type="dxa"/>
            <w:tcBorders/>
            <w:shd w:fill="auto" w:val="clear"/>
          </w:tcPr>
          <w:p>
            <w:pPr>
              <w:pStyle w:val="TableContents"/>
              <w:pBdr/>
              <w:spacing w:before="0" w:after="283"/>
              <w:jc w:val="both"/>
              <w:rPr>
                <w:sz w:val="17"/>
              </w:rPr>
            </w:pPr>
            <w:r>
              <w:rPr>
                <w:sz w:val="17"/>
              </w:rPr>
              <w:t>the number and attractiveness to movie goers of the films released in future periods;</w:t>
            </w:r>
          </w:p>
        </w:tc>
      </w:tr>
    </w:tbl>
    <w:tbl>
      <w:tblPr>
        <w:tblW w:w="5845" w:type="dxa"/>
        <w:jc w:val="left"/>
        <w:tblInd w:w="1440" w:type="dxa"/>
        <w:tblCellMar>
          <w:top w:w="0" w:type="dxa"/>
          <w:left w:w="0" w:type="dxa"/>
          <w:bottom w:w="0" w:type="dxa"/>
          <w:right w:w="0" w:type="dxa"/>
        </w:tblCellMar>
      </w:tblPr>
      <w:tblGrid>
        <w:gridCol w:w="185"/>
        <w:gridCol w:w="566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5660" w:type="dxa"/>
            <w:tcBorders/>
            <w:shd w:fill="auto" w:val="clear"/>
          </w:tcPr>
          <w:p>
            <w:pPr>
              <w:pStyle w:val="TableContents"/>
              <w:pBdr/>
              <w:spacing w:before="0" w:after="283"/>
              <w:jc w:val="both"/>
              <w:rPr>
                <w:sz w:val="17"/>
              </w:rPr>
            </w:pPr>
            <w:r>
              <w:rPr>
                <w:sz w:val="17"/>
              </w:rPr>
              <w:t>the amount of money spent by film distributors to promote their motion pictures;</w:t>
            </w:r>
          </w:p>
        </w:tc>
      </w:tr>
    </w:tbl>
    <w:tbl>
      <w:tblPr>
        <w:tblW w:w="8425" w:type="dxa"/>
        <w:jc w:val="left"/>
        <w:tblInd w:w="1440" w:type="dxa"/>
        <w:tblCellMar>
          <w:top w:w="0" w:type="dxa"/>
          <w:left w:w="0" w:type="dxa"/>
          <w:bottom w:w="0" w:type="dxa"/>
          <w:right w:w="0" w:type="dxa"/>
        </w:tblCellMar>
      </w:tblPr>
      <w:tblGrid>
        <w:gridCol w:w="185"/>
        <w:gridCol w:w="824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240" w:type="dxa"/>
            <w:tcBorders/>
            <w:shd w:fill="auto" w:val="clear"/>
          </w:tcPr>
          <w:p>
            <w:pPr>
              <w:pStyle w:val="TableContents"/>
              <w:pBdr/>
              <w:spacing w:before="0" w:after="283"/>
              <w:jc w:val="both"/>
              <w:rPr>
                <w:sz w:val="17"/>
              </w:rPr>
            </w:pPr>
            <w:r>
              <w:rPr>
                <w:sz w:val="17"/>
              </w:rPr>
              <w:t>the licensing fees and terms required by film distributors from motion picture exhibitors in order to exhibit their films;</w:t>
            </w:r>
          </w:p>
        </w:tc>
      </w:tr>
    </w:tbl>
    <w:tbl>
      <w:tblPr>
        <w:tblW w:w="8765" w:type="dxa"/>
        <w:jc w:val="left"/>
        <w:tblInd w:w="1440" w:type="dxa"/>
        <w:tblCellMar>
          <w:top w:w="0" w:type="dxa"/>
          <w:left w:w="0" w:type="dxa"/>
          <w:bottom w:w="0" w:type="dxa"/>
          <w:right w:w="0" w:type="dxa"/>
        </w:tblCellMar>
      </w:tblPr>
      <w:tblGrid>
        <w:gridCol w:w="160"/>
        <w:gridCol w:w="8605"/>
      </w:tblGrid>
      <w:tr>
        <w:trPr/>
        <w:tc>
          <w:tcPr>
            <w:tcW w:w="160"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05" w:type="dxa"/>
            <w:tcBorders/>
            <w:shd w:fill="auto" w:val="clear"/>
          </w:tcPr>
          <w:p>
            <w:pPr>
              <w:pStyle w:val="TableContents"/>
              <w:pBdr/>
              <w:spacing w:before="0" w:after="283"/>
              <w:jc w:val="both"/>
              <w:rPr>
                <w:sz w:val="17"/>
              </w:rPr>
            </w:pPr>
            <w:r>
              <w:rPr>
                <w:sz w:val="17"/>
              </w:rPr>
              <w:t>the comparative attractiveness of motion pictures as a source of entertainment and willingness and/or ability of consumers (i) to spend their dollars on entertainment and (ii) to spend their entertainment dollars on movies in an outside the home environment;</w:t>
            </w:r>
          </w:p>
        </w:tc>
      </w:tr>
    </w:tbl>
    <w:tbl>
      <w:tblPr>
        <w:tblW w:w="8765" w:type="dxa"/>
        <w:jc w:val="left"/>
        <w:tblInd w:w="1440" w:type="dxa"/>
        <w:tblCellMar>
          <w:top w:w="0" w:type="dxa"/>
          <w:left w:w="0" w:type="dxa"/>
          <w:bottom w:w="0" w:type="dxa"/>
          <w:right w:w="0" w:type="dxa"/>
        </w:tblCellMar>
      </w:tblPr>
      <w:tblGrid>
        <w:gridCol w:w="153"/>
        <w:gridCol w:w="8612"/>
      </w:tblGrid>
      <w:tr>
        <w:trPr/>
        <w:tc>
          <w:tcPr>
            <w:tcW w:w="153"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2" w:type="dxa"/>
            <w:tcBorders/>
            <w:shd w:fill="auto" w:val="clear"/>
          </w:tcPr>
          <w:p>
            <w:pPr>
              <w:pStyle w:val="TableContents"/>
              <w:pBdr/>
              <w:spacing w:before="0" w:after="283"/>
              <w:jc w:val="both"/>
              <w:rPr>
                <w:sz w:val="17"/>
              </w:rPr>
            </w:pPr>
            <w:r>
              <w:rPr>
                <w:sz w:val="17"/>
              </w:rPr>
              <w:t xml:space="preserve">the extent to which we encounter competition from other cinema exhibitors, from other sources of outside of the home entertainment, and from inside the home entertainment options, such as “home theaters” and competitive film product distribution technology such as, by way of example, cable, satellite broadcast, DVD and VHS rentals and sales, and so called “movies on demand;” </w:t>
            </w:r>
          </w:p>
        </w:tc>
      </w:tr>
    </w:tbl>
    <w:tbl>
      <w:tblPr>
        <w:tblW w:w="6445" w:type="dxa"/>
        <w:jc w:val="left"/>
        <w:tblInd w:w="1440" w:type="dxa"/>
        <w:tblCellMar>
          <w:top w:w="0" w:type="dxa"/>
          <w:left w:w="0" w:type="dxa"/>
          <w:bottom w:w="0" w:type="dxa"/>
          <w:right w:w="0" w:type="dxa"/>
        </w:tblCellMar>
      </w:tblPr>
      <w:tblGrid>
        <w:gridCol w:w="185"/>
        <w:gridCol w:w="626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6260" w:type="dxa"/>
            <w:tcBorders/>
            <w:shd w:fill="auto" w:val="clear"/>
          </w:tcPr>
          <w:p>
            <w:pPr>
              <w:pStyle w:val="TableContents"/>
              <w:pBdr/>
              <w:spacing w:before="0" w:after="283"/>
              <w:jc w:val="both"/>
              <w:rPr>
                <w:sz w:val="17"/>
              </w:rPr>
            </w:pPr>
            <w:r>
              <w:rPr>
                <w:sz w:val="17"/>
              </w:rPr>
              <w:t>the extent to which we can digitalize our cinema circuit compared to our competitors; and</w:t>
            </w:r>
          </w:p>
        </w:tc>
      </w:tr>
    </w:tbl>
    <w:tbl>
      <w:tblPr>
        <w:tblW w:w="8765" w:type="dxa"/>
        <w:jc w:val="left"/>
        <w:tblInd w:w="1440" w:type="dxa"/>
        <w:tblCellMar>
          <w:top w:w="0" w:type="dxa"/>
          <w:left w:w="0" w:type="dxa"/>
          <w:bottom w:w="0" w:type="dxa"/>
          <w:right w:w="0" w:type="dxa"/>
        </w:tblCellMar>
      </w:tblPr>
      <w:tblGrid>
        <w:gridCol w:w="183"/>
        <w:gridCol w:w="8582"/>
      </w:tblGrid>
      <w:tr>
        <w:trPr/>
        <w:tc>
          <w:tcPr>
            <w:tcW w:w="183"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82" w:type="dxa"/>
            <w:tcBorders/>
            <w:shd w:fill="auto" w:val="clear"/>
          </w:tcPr>
          <w:p>
            <w:pPr>
              <w:pStyle w:val="TableContents"/>
              <w:pBdr/>
              <w:spacing w:before="0" w:after="283"/>
              <w:jc w:val="both"/>
              <w:rPr>
                <w:sz w:val="17"/>
              </w:rPr>
            </w:pPr>
            <w:r>
              <w:rPr>
                <w:sz w:val="17"/>
              </w:rPr>
              <w:t>the extent to and the efficiency with which, we are able to integrate acquisitions of cinema circuits with our existing operations.</w:t>
            </w:r>
          </w:p>
        </w:tc>
      </w:tr>
    </w:tbl>
    <w:tbl>
      <w:tblPr>
        <w:tblW w:w="4840" w:type="dxa"/>
        <w:jc w:val="left"/>
        <w:tblInd w:w="1440" w:type="dxa"/>
        <w:tblCellMar>
          <w:top w:w="0" w:type="dxa"/>
          <w:left w:w="0" w:type="dxa"/>
          <w:bottom w:w="0" w:type="dxa"/>
          <w:right w:w="0" w:type="dxa"/>
        </w:tblCellMar>
      </w:tblPr>
      <w:tblGrid>
        <w:gridCol w:w="155"/>
        <w:gridCol w:w="468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685" w:type="dxa"/>
            <w:tcBorders/>
            <w:shd w:fill="auto" w:val="clear"/>
          </w:tcPr>
          <w:p>
            <w:pPr>
              <w:pStyle w:val="TableContents"/>
              <w:pBdr/>
              <w:spacing w:before="0" w:after="283"/>
              <w:jc w:val="both"/>
              <w:rPr>
                <w:sz w:val="17"/>
              </w:rPr>
            </w:pPr>
            <w:r>
              <w:rPr>
                <w:sz w:val="17"/>
              </w:rPr>
              <w:t>with respect to our real estate development and operation activities:</w:t>
            </w:r>
          </w:p>
        </w:tc>
      </w:tr>
    </w:tbl>
    <w:tbl>
      <w:tblPr>
        <w:tblW w:w="8765" w:type="dxa"/>
        <w:jc w:val="left"/>
        <w:tblInd w:w="1440" w:type="dxa"/>
        <w:tblCellMar>
          <w:top w:w="0" w:type="dxa"/>
          <w:left w:w="0" w:type="dxa"/>
          <w:bottom w:w="0" w:type="dxa"/>
          <w:right w:w="0" w:type="dxa"/>
        </w:tblCellMar>
      </w:tblPr>
      <w:tblGrid>
        <w:gridCol w:w="183"/>
        <w:gridCol w:w="8582"/>
      </w:tblGrid>
      <w:tr>
        <w:trPr/>
        <w:tc>
          <w:tcPr>
            <w:tcW w:w="183"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82" w:type="dxa"/>
            <w:tcBorders/>
            <w:shd w:fill="auto" w:val="clear"/>
          </w:tcPr>
          <w:p>
            <w:pPr>
              <w:pStyle w:val="TableContents"/>
              <w:pBdr/>
              <w:spacing w:before="0" w:after="283"/>
              <w:jc w:val="both"/>
              <w:rPr>
                <w:sz w:val="17"/>
              </w:rPr>
            </w:pPr>
            <w:r>
              <w:rPr>
                <w:sz w:val="17"/>
              </w:rPr>
              <w:t>the rental rates and capitalization rates applicable to the markets in which we operate and the quality of properties that we own;</w:t>
            </w:r>
          </w:p>
        </w:tc>
      </w:tr>
    </w:tbl>
    <w:tbl>
      <w:tblPr>
        <w:tblW w:w="8765" w:type="dxa"/>
        <w:jc w:val="left"/>
        <w:tblInd w:w="1440" w:type="dxa"/>
        <w:tblCellMar>
          <w:top w:w="0" w:type="dxa"/>
          <w:left w:w="0" w:type="dxa"/>
          <w:bottom w:w="0" w:type="dxa"/>
          <w:right w:w="0" w:type="dxa"/>
        </w:tblCellMar>
      </w:tblPr>
      <w:tblGrid>
        <w:gridCol w:w="181"/>
        <w:gridCol w:w="8584"/>
      </w:tblGrid>
      <w:tr>
        <w:trPr/>
        <w:tc>
          <w:tcPr>
            <w:tcW w:w="181"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84" w:type="dxa"/>
            <w:tcBorders/>
            <w:shd w:fill="auto" w:val="clear"/>
          </w:tcPr>
          <w:p>
            <w:pPr>
              <w:pStyle w:val="TableContents"/>
              <w:pBdr/>
              <w:spacing w:before="0" w:after="283"/>
              <w:jc w:val="both"/>
              <w:rPr>
                <w:sz w:val="17"/>
              </w:rPr>
            </w:pPr>
            <w:r>
              <w:rPr>
                <w:sz w:val="17"/>
              </w:rPr>
              <w:t>the extent to which we can obtain on a timely basis the various land use approvals and entitlements needed to develop our properties;</w:t>
            </w:r>
          </w:p>
        </w:tc>
      </w:tr>
    </w:tbl>
    <w:tbl>
      <w:tblPr>
        <w:tblW w:w="4795" w:type="dxa"/>
        <w:jc w:val="left"/>
        <w:tblInd w:w="1440" w:type="dxa"/>
        <w:tblCellMar>
          <w:top w:w="0" w:type="dxa"/>
          <w:left w:w="0" w:type="dxa"/>
          <w:bottom w:w="0" w:type="dxa"/>
          <w:right w:w="0" w:type="dxa"/>
        </w:tblCellMar>
      </w:tblPr>
      <w:tblGrid>
        <w:gridCol w:w="185"/>
        <w:gridCol w:w="461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4610" w:type="dxa"/>
            <w:tcBorders/>
            <w:shd w:fill="auto" w:val="clear"/>
          </w:tcPr>
          <w:p>
            <w:pPr>
              <w:pStyle w:val="TableContents"/>
              <w:pBdr/>
              <w:spacing w:before="0" w:after="283"/>
              <w:jc w:val="both"/>
              <w:rPr>
                <w:sz w:val="17"/>
              </w:rPr>
            </w:pPr>
            <w:r>
              <w:rPr>
                <w:sz w:val="17"/>
              </w:rPr>
              <w:t>the risks and uncertainties associated with real estate development;</w:t>
            </w:r>
          </w:p>
        </w:tc>
      </w:tr>
    </w:tbl>
    <w:tbl>
      <w:tblPr>
        <w:tblW w:w="3505" w:type="dxa"/>
        <w:jc w:val="left"/>
        <w:tblInd w:w="1440" w:type="dxa"/>
        <w:tblCellMar>
          <w:top w:w="0" w:type="dxa"/>
          <w:left w:w="0" w:type="dxa"/>
          <w:bottom w:w="0" w:type="dxa"/>
          <w:right w:w="0" w:type="dxa"/>
        </w:tblCellMar>
      </w:tblPr>
      <w:tblGrid>
        <w:gridCol w:w="185"/>
        <w:gridCol w:w="332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3320" w:type="dxa"/>
            <w:tcBorders/>
            <w:shd w:fill="auto" w:val="clear"/>
          </w:tcPr>
          <w:p>
            <w:pPr>
              <w:pStyle w:val="TableContents"/>
              <w:pBdr/>
              <w:spacing w:before="0" w:after="283"/>
              <w:jc w:val="both"/>
              <w:rPr>
                <w:sz w:val="17"/>
              </w:rPr>
            </w:pPr>
            <w:r>
              <w:rPr>
                <w:sz w:val="17"/>
              </w:rPr>
              <w:t xml:space="preserve">the availability and cost of labor and materials; </w:t>
            </w:r>
          </w:p>
        </w:tc>
      </w:tr>
    </w:tbl>
    <w:tbl>
      <w:tblPr>
        <w:tblW w:w="3445" w:type="dxa"/>
        <w:jc w:val="left"/>
        <w:tblInd w:w="1440" w:type="dxa"/>
        <w:tblCellMar>
          <w:top w:w="0" w:type="dxa"/>
          <w:left w:w="0" w:type="dxa"/>
          <w:bottom w:w="0" w:type="dxa"/>
          <w:right w:w="0" w:type="dxa"/>
        </w:tblCellMar>
      </w:tblPr>
      <w:tblGrid>
        <w:gridCol w:w="185"/>
        <w:gridCol w:w="326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3260" w:type="dxa"/>
            <w:tcBorders/>
            <w:shd w:fill="auto" w:val="clear"/>
          </w:tcPr>
          <w:p>
            <w:pPr>
              <w:pStyle w:val="TableContents"/>
              <w:pBdr/>
              <w:spacing w:before="0" w:after="283"/>
              <w:jc w:val="both"/>
              <w:rPr>
                <w:sz w:val="17"/>
              </w:rPr>
            </w:pPr>
            <w:r>
              <w:rPr>
                <w:sz w:val="17"/>
              </w:rPr>
              <w:t>competition for development sites and tenants;</w:t>
            </w:r>
          </w:p>
        </w:tc>
      </w:tr>
    </w:tbl>
    <w:tbl>
      <w:tblPr>
        <w:tblW w:w="2875" w:type="dxa"/>
        <w:jc w:val="left"/>
        <w:tblInd w:w="1440" w:type="dxa"/>
        <w:tblCellMar>
          <w:top w:w="0" w:type="dxa"/>
          <w:left w:w="0" w:type="dxa"/>
          <w:bottom w:w="0" w:type="dxa"/>
          <w:right w:w="0" w:type="dxa"/>
        </w:tblCellMar>
      </w:tblPr>
      <w:tblGrid>
        <w:gridCol w:w="185"/>
        <w:gridCol w:w="269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2690" w:type="dxa"/>
            <w:tcBorders/>
            <w:shd w:fill="auto" w:val="clear"/>
          </w:tcPr>
          <w:p>
            <w:pPr>
              <w:pStyle w:val="TableContents"/>
              <w:pBdr/>
              <w:spacing w:before="0" w:after="283"/>
              <w:jc w:val="both"/>
              <w:rPr>
                <w:sz w:val="17"/>
              </w:rPr>
            </w:pPr>
            <w:r>
              <w:rPr>
                <w:sz w:val="17"/>
              </w:rPr>
              <w:t>environmental remediation issues; and</w:t>
            </w:r>
          </w:p>
        </w:tc>
      </w:tr>
    </w:tbl>
    <w:tbl>
      <w:tblPr>
        <w:tblW w:w="8765" w:type="dxa"/>
        <w:jc w:val="left"/>
        <w:tblInd w:w="1440" w:type="dxa"/>
        <w:tblCellMar>
          <w:top w:w="0" w:type="dxa"/>
          <w:left w:w="0" w:type="dxa"/>
          <w:bottom w:w="0" w:type="dxa"/>
          <w:right w:w="0" w:type="dxa"/>
        </w:tblCellMar>
      </w:tblPr>
      <w:tblGrid>
        <w:gridCol w:w="168"/>
        <w:gridCol w:w="8597"/>
      </w:tblGrid>
      <w:tr>
        <w:trPr/>
        <w:tc>
          <w:tcPr>
            <w:tcW w:w="168"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97" w:type="dxa"/>
            <w:tcBorders/>
            <w:shd w:fill="auto" w:val="clear"/>
          </w:tcPr>
          <w:p>
            <w:pPr>
              <w:pStyle w:val="TableContents"/>
              <w:pBdr/>
              <w:spacing w:before="0" w:after="283"/>
              <w:jc w:val="both"/>
              <w:rPr>
                <w:sz w:val="17"/>
              </w:rPr>
            </w:pPr>
            <w:r>
              <w:rPr>
                <w:sz w:val="17"/>
              </w:rPr>
              <w:t>the extent to which our cinemas can continue to serve as an anchor tenant who will, in turn, be influenced by the same factors as will influence generally the results of our cinema operations.</w:t>
            </w:r>
          </w:p>
        </w:tc>
      </w:tr>
    </w:tbl>
    <w:tbl>
      <w:tblPr>
        <w:tblW w:w="8765" w:type="dxa"/>
        <w:jc w:val="left"/>
        <w:tblInd w:w="1440" w:type="dxa"/>
        <w:tblCellMar>
          <w:top w:w="0" w:type="dxa"/>
          <w:left w:w="0" w:type="dxa"/>
          <w:bottom w:w="0" w:type="dxa"/>
          <w:right w:w="0" w:type="dxa"/>
        </w:tblCellMar>
      </w:tblPr>
      <w:tblGrid>
        <w:gridCol w:w="129"/>
        <w:gridCol w:w="8636"/>
      </w:tblGrid>
      <w:tr>
        <w:trPr/>
        <w:tc>
          <w:tcPr>
            <w:tcW w:w="129"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6" w:type="dxa"/>
            <w:tcBorders/>
            <w:shd w:fill="auto" w:val="clear"/>
          </w:tcPr>
          <w:p>
            <w:pPr>
              <w:pStyle w:val="TableContents"/>
              <w:pBdr/>
              <w:spacing w:before="0" w:after="283"/>
              <w:jc w:val="both"/>
              <w:rPr>
                <w:sz w:val="17"/>
              </w:rPr>
            </w:pPr>
            <w:r>
              <w:rPr>
                <w:sz w:val="17"/>
              </w:rPr>
              <w:t>with respect to our operations generally as an international company involved in both the development and operation of cinemas and the development and operation of real estate; and previously engaged for many years in the railroad business in the United States:</w:t>
            </w:r>
          </w:p>
        </w:tc>
      </w:tr>
    </w:tbl>
    <w:tbl>
      <w:tblPr>
        <w:tblW w:w="8765" w:type="dxa"/>
        <w:jc w:val="left"/>
        <w:tblInd w:w="1440" w:type="dxa"/>
        <w:tblCellMar>
          <w:top w:w="0" w:type="dxa"/>
          <w:left w:w="0" w:type="dxa"/>
          <w:bottom w:w="0" w:type="dxa"/>
          <w:right w:w="0" w:type="dxa"/>
        </w:tblCellMar>
      </w:tblPr>
      <w:tblGrid>
        <w:gridCol w:w="177"/>
        <w:gridCol w:w="8588"/>
      </w:tblGrid>
      <w:tr>
        <w:trPr/>
        <w:tc>
          <w:tcPr>
            <w:tcW w:w="177"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88" w:type="dxa"/>
            <w:tcBorders/>
            <w:shd w:fill="auto" w:val="clear"/>
          </w:tcPr>
          <w:p>
            <w:pPr>
              <w:pStyle w:val="TableContents"/>
              <w:pBdr/>
              <w:spacing w:before="0" w:after="283"/>
              <w:jc w:val="both"/>
              <w:rPr>
                <w:sz w:val="17"/>
              </w:rPr>
            </w:pPr>
            <w:r>
              <w:rPr>
                <w:sz w:val="17"/>
              </w:rPr>
              <w:t xml:space="preserve">our ongoing access to borrowed funds and capital and the interest that must be paid on that debt and the returns that must be paid on such capital; </w:t>
            </w:r>
          </w:p>
        </w:tc>
      </w:tr>
    </w:tbl>
    <w:tbl>
      <w:tblPr>
        <w:tblW w:w="5530" w:type="dxa"/>
        <w:jc w:val="left"/>
        <w:tblInd w:w="1440" w:type="dxa"/>
        <w:tblCellMar>
          <w:top w:w="0" w:type="dxa"/>
          <w:left w:w="0" w:type="dxa"/>
          <w:bottom w:w="0" w:type="dxa"/>
          <w:right w:w="0" w:type="dxa"/>
        </w:tblCellMar>
      </w:tblPr>
      <w:tblGrid>
        <w:gridCol w:w="185"/>
        <w:gridCol w:w="5345"/>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5345" w:type="dxa"/>
            <w:tcBorders/>
            <w:shd w:fill="auto" w:val="clear"/>
          </w:tcPr>
          <w:p>
            <w:pPr>
              <w:pStyle w:val="TableContents"/>
              <w:pBdr/>
              <w:spacing w:before="0" w:after="283"/>
              <w:jc w:val="both"/>
              <w:rPr>
                <w:sz w:val="17"/>
              </w:rPr>
            </w:pPr>
            <w:r>
              <w:rPr>
                <w:sz w:val="17"/>
              </w:rPr>
              <w:t>the relative values of the currency used in the countries in which we operate;</w:t>
            </w:r>
          </w:p>
        </w:tc>
      </w:tr>
    </w:tbl>
    <w:tbl>
      <w:tblPr>
        <w:tblW w:w="8765" w:type="dxa"/>
        <w:jc w:val="left"/>
        <w:tblInd w:w="1440" w:type="dxa"/>
        <w:tblCellMar>
          <w:top w:w="0" w:type="dxa"/>
          <w:left w:w="0" w:type="dxa"/>
          <w:bottom w:w="0" w:type="dxa"/>
          <w:right w:w="0" w:type="dxa"/>
        </w:tblCellMar>
      </w:tblPr>
      <w:tblGrid>
        <w:gridCol w:w="176"/>
        <w:gridCol w:w="8589"/>
      </w:tblGrid>
      <w:tr>
        <w:trPr/>
        <w:tc>
          <w:tcPr>
            <w:tcW w:w="176"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89" w:type="dxa"/>
            <w:tcBorders/>
            <w:shd w:fill="auto" w:val="clear"/>
          </w:tcPr>
          <w:p>
            <w:pPr>
              <w:pStyle w:val="TableContents"/>
              <w:pBdr/>
              <w:spacing w:before="0" w:after="283"/>
              <w:jc w:val="both"/>
              <w:rPr>
                <w:sz w:val="17"/>
              </w:rPr>
            </w:pPr>
            <w:r>
              <w:rPr>
                <w:sz w:val="17"/>
              </w:rPr>
              <w:t>changes in government regulation, including by way of example, the costs resulting from the implementation of the requirements of Sarbanes-Oxley;</w:t>
            </w:r>
          </w:p>
        </w:tc>
      </w:tr>
    </w:tbl>
    <w:tbl>
      <w:tblPr>
        <w:tblW w:w="8765" w:type="dxa"/>
        <w:jc w:val="left"/>
        <w:tblInd w:w="1440" w:type="dxa"/>
        <w:tblCellMar>
          <w:top w:w="0" w:type="dxa"/>
          <w:left w:w="0" w:type="dxa"/>
          <w:bottom w:w="0" w:type="dxa"/>
          <w:right w:w="0" w:type="dxa"/>
        </w:tblCellMar>
      </w:tblPr>
      <w:tblGrid>
        <w:gridCol w:w="169"/>
        <w:gridCol w:w="8596"/>
      </w:tblGrid>
      <w:tr>
        <w:trPr/>
        <w:tc>
          <w:tcPr>
            <w:tcW w:w="169"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96" w:type="dxa"/>
            <w:tcBorders/>
            <w:shd w:fill="auto" w:val="clear"/>
          </w:tcPr>
          <w:p>
            <w:pPr>
              <w:pStyle w:val="TableContents"/>
              <w:pBdr/>
              <w:spacing w:before="0" w:after="283"/>
              <w:jc w:val="both"/>
              <w:rPr>
                <w:sz w:val="17"/>
              </w:rPr>
            </w:pPr>
            <w:r>
              <w:rPr>
                <w:sz w:val="17"/>
              </w:rPr>
              <w:t>our labor relations and costs of labor (including future government requirements with respect to pension liabilities, disability insurance and health coverage, and vacations and leave);</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765" w:type="dxa"/>
        <w:jc w:val="left"/>
        <w:tblInd w:w="1440" w:type="dxa"/>
        <w:tblCellMar>
          <w:top w:w="0" w:type="dxa"/>
          <w:left w:w="0" w:type="dxa"/>
          <w:bottom w:w="0" w:type="dxa"/>
          <w:right w:w="0" w:type="dxa"/>
        </w:tblCellMar>
      </w:tblPr>
      <w:tblGrid>
        <w:gridCol w:w="154"/>
        <w:gridCol w:w="8611"/>
      </w:tblGrid>
      <w:tr>
        <w:trPr/>
        <w:tc>
          <w:tcPr>
            <w:tcW w:w="154"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611" w:type="dxa"/>
            <w:tcBorders/>
            <w:shd w:fill="auto" w:val="clear"/>
          </w:tcPr>
          <w:p>
            <w:pPr>
              <w:pStyle w:val="TableContents"/>
              <w:pBdr/>
              <w:spacing w:before="0" w:after="283"/>
              <w:jc w:val="both"/>
              <w:rPr>
                <w:sz w:val="17"/>
              </w:rPr>
            </w:pPr>
            <w:r>
              <w:rPr>
                <w:sz w:val="17"/>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tc>
      </w:tr>
    </w:tbl>
    <w:tbl>
      <w:tblPr>
        <w:tblW w:w="8765" w:type="dxa"/>
        <w:jc w:val="left"/>
        <w:tblInd w:w="1440" w:type="dxa"/>
        <w:tblCellMar>
          <w:top w:w="0" w:type="dxa"/>
          <w:left w:w="0" w:type="dxa"/>
          <w:bottom w:w="0" w:type="dxa"/>
          <w:right w:w="0" w:type="dxa"/>
        </w:tblCellMar>
      </w:tblPr>
      <w:tblGrid>
        <w:gridCol w:w="171"/>
        <w:gridCol w:w="8594"/>
      </w:tblGrid>
      <w:tr>
        <w:trPr/>
        <w:tc>
          <w:tcPr>
            <w:tcW w:w="171"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8594" w:type="dxa"/>
            <w:tcBorders/>
            <w:shd w:fill="auto" w:val="clear"/>
          </w:tcPr>
          <w:p>
            <w:pPr>
              <w:pStyle w:val="TableContents"/>
              <w:pBdr/>
              <w:spacing w:before="0" w:after="283"/>
              <w:jc w:val="both"/>
              <w:rPr>
                <w:sz w:val="17"/>
              </w:rPr>
            </w:pPr>
            <w:r>
              <w:rPr>
                <w:sz w:val="17"/>
              </w:rPr>
              <w:t xml:space="preserve">changes in future effective tax rates and the results of currently ongoing and future potential audits by taxing authorities having jurisdiction over our various companies; and </w:t>
            </w:r>
          </w:p>
        </w:tc>
      </w:tr>
    </w:tbl>
    <w:tbl>
      <w:tblPr>
        <w:tblW w:w="4075" w:type="dxa"/>
        <w:jc w:val="left"/>
        <w:tblInd w:w="1440" w:type="dxa"/>
        <w:tblCellMar>
          <w:top w:w="0" w:type="dxa"/>
          <w:left w:w="0" w:type="dxa"/>
          <w:bottom w:w="0" w:type="dxa"/>
          <w:right w:w="0" w:type="dxa"/>
        </w:tblCellMar>
      </w:tblPr>
      <w:tblGrid>
        <w:gridCol w:w="185"/>
        <w:gridCol w:w="3890"/>
      </w:tblGrid>
      <w:tr>
        <w:trPr/>
        <w:tc>
          <w:tcPr>
            <w:tcW w:w="185" w:type="dxa"/>
            <w:tcBorders/>
            <w:shd w:fill="auto" w:val="clear"/>
          </w:tcPr>
          <w:p>
            <w:pPr>
              <w:pStyle w:val="TableContents"/>
              <w:pBdr/>
              <w:spacing w:before="0" w:after="0"/>
              <w:ind w:left="1080" w:right="0" w:hanging="0"/>
              <w:jc w:val="both"/>
              <w:rPr>
                <w:sz w:val="17"/>
              </w:rPr>
            </w:pPr>
            <w:r>
              <w:rPr>
                <w:rFonts w:ascii="Courier New" w:hAnsi="Courier New"/>
                <w:sz w:val="17"/>
              </w:rPr>
              <w:t>o</w:t>
            </w:r>
            <w:r>
              <w:rPr>
                <w:sz w:val="17"/>
              </w:rPr>
              <w:t xml:space="preserve"> </w:t>
            </w:r>
          </w:p>
        </w:tc>
        <w:tc>
          <w:tcPr>
            <w:tcW w:w="3890" w:type="dxa"/>
            <w:tcBorders/>
            <w:shd w:fill="auto" w:val="clear"/>
          </w:tcPr>
          <w:p>
            <w:pPr>
              <w:pStyle w:val="TableContents"/>
              <w:pBdr/>
              <w:spacing w:before="0" w:after="283"/>
              <w:jc w:val="both"/>
              <w:rPr>
                <w:sz w:val="17"/>
              </w:rPr>
            </w:pPr>
            <w:r>
              <w:rPr>
                <w:sz w:val="17"/>
              </w:rPr>
              <w:t>changes in applicable accounting policies and practices.</w:t>
            </w:r>
          </w:p>
        </w:tc>
      </w:tr>
    </w:tbl>
    <w:p>
      <w:pPr>
        <w:pStyle w:val="TextBody"/>
        <w:spacing w:before="200" w:after="200"/>
        <w:ind w:left="1440" w:right="0" w:firstLine="720"/>
        <w:jc w:val="both"/>
        <w:rPr>
          <w:sz w:val="17"/>
        </w:rPr>
      </w:pPr>
      <w:r>
        <w:rPr>
          <w:sz w:val="17"/>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 </w:t>
      </w:r>
    </w:p>
    <w:p>
      <w:pPr>
        <w:pStyle w:val="TextBody"/>
        <w:spacing w:before="0" w:after="200"/>
        <w:ind w:left="1440" w:right="0" w:firstLine="720"/>
        <w:jc w:val="both"/>
        <w:rPr>
          <w:sz w:val="17"/>
        </w:rPr>
      </w:pPr>
      <w:r>
        <w:rPr>
          <w:sz w:val="17"/>
        </w:rPr>
        <w:t xml:space="preserve">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 </w:t>
      </w:r>
    </w:p>
    <w:p>
      <w:pPr>
        <w:pStyle w:val="TextBody"/>
        <w:spacing w:before="0" w:after="200"/>
        <w:ind w:left="1440" w:right="0" w:firstLine="720"/>
        <w:jc w:val="both"/>
        <w:rPr>
          <w:sz w:val="17"/>
        </w:rPr>
      </w:pPr>
      <w:r>
        <w:rPr>
          <w:sz w:val="17"/>
        </w:rPr>
        <w:t xml:space="preserve">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 </w:t>
      </w:r>
    </w:p>
    <w:p>
      <w:pPr>
        <w:pStyle w:val="TextBody"/>
        <w:spacing w:before="0" w:after="200"/>
        <w:ind w:left="1440" w:right="0" w:firstLine="720"/>
        <w:jc w:val="both"/>
        <w:rPr>
          <w:sz w:val="17"/>
        </w:rPr>
      </w:pPr>
      <w:r>
        <w:rPr>
          <w:sz w:val="17"/>
        </w:rPr>
        <w:t xml:space="preserve">Additionally, certain of the presentations included in this annual report may contain “non-GAAP financial measures.”  In such case, a reconciliation of this information to our GAAP financial statements will be made available in connection with such statements. </w:t>
      </w:r>
    </w:p>
    <w:p>
      <w:pPr>
        <w:pStyle w:val="TextBody"/>
        <w:spacing w:before="0" w:after="0"/>
        <w:ind w:left="1440" w:right="0" w:firstLine="72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center"/>
        <w:rPr>
          <w:sz w:val="17"/>
        </w:rPr>
      </w:pPr>
      <w:r>
        <w:rPr>
          <w:b/>
          <w:sz w:val="17"/>
          <w:u w:val="single"/>
        </w:rPr>
        <w:t>Item 7A – Quantitative and Qualitative Disclosure about Market Risk</w:t>
      </w:r>
      <w:r>
        <w:rPr>
          <w:sz w:val="17"/>
        </w:rPr>
        <w:t xml:space="preserve"> </w:t>
      </w:r>
    </w:p>
    <w:p>
      <w:pPr>
        <w:pStyle w:val="TextBody"/>
        <w:spacing w:before="0" w:after="200"/>
        <w:ind w:left="1440" w:right="0" w:firstLine="720"/>
        <w:jc w:val="both"/>
        <w:rPr>
          <w:sz w:val="17"/>
        </w:rPr>
      </w:pPr>
      <w:r>
        <w:rPr>
          <w:sz w:val="17"/>
        </w:rPr>
        <w:t xml:space="preserve">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 </w:t>
      </w:r>
    </w:p>
    <w:tbl>
      <w:tblPr>
        <w:tblW w:w="2635" w:type="dxa"/>
        <w:jc w:val="left"/>
        <w:tblInd w:w="1440" w:type="dxa"/>
        <w:tblCellMar>
          <w:top w:w="0" w:type="dxa"/>
          <w:left w:w="0" w:type="dxa"/>
          <w:bottom w:w="0" w:type="dxa"/>
          <w:right w:w="0" w:type="dxa"/>
        </w:tblCellMar>
      </w:tblPr>
      <w:tblGrid>
        <w:gridCol w:w="155"/>
        <w:gridCol w:w="248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2480" w:type="dxa"/>
            <w:tcBorders/>
            <w:shd w:fill="auto" w:val="clear"/>
          </w:tcPr>
          <w:p>
            <w:pPr>
              <w:pStyle w:val="TableContents"/>
              <w:pBdr/>
              <w:spacing w:before="0" w:after="283"/>
              <w:jc w:val="both"/>
              <w:rPr>
                <w:sz w:val="17"/>
              </w:rPr>
            </w:pPr>
            <w:r>
              <w:rPr>
                <w:sz w:val="17"/>
              </w:rPr>
              <w:t>it is based on a single point in time.</w:t>
            </w:r>
          </w:p>
        </w:tc>
      </w:tr>
    </w:tbl>
    <w:tbl>
      <w:tblPr>
        <w:tblW w:w="7720" w:type="dxa"/>
        <w:jc w:val="left"/>
        <w:tblInd w:w="1440" w:type="dxa"/>
        <w:tblCellMar>
          <w:top w:w="0" w:type="dxa"/>
          <w:left w:w="0" w:type="dxa"/>
          <w:bottom w:w="0" w:type="dxa"/>
          <w:right w:w="0" w:type="dxa"/>
        </w:tblCellMar>
      </w:tblPr>
      <w:tblGrid>
        <w:gridCol w:w="155"/>
        <w:gridCol w:w="756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565" w:type="dxa"/>
            <w:tcBorders/>
            <w:shd w:fill="auto" w:val="clear"/>
          </w:tcPr>
          <w:p>
            <w:pPr>
              <w:pStyle w:val="TableContents"/>
              <w:pBdr/>
              <w:spacing w:before="0" w:after="283"/>
              <w:jc w:val="both"/>
              <w:rPr>
                <w:sz w:val="17"/>
              </w:rPr>
            </w:pPr>
            <w:r>
              <w:rPr>
                <w:sz w:val="17"/>
              </w:rPr>
              <w:t>it does not include the effects of other complex market reactions that would arise from the changes modeled.</w:t>
            </w:r>
          </w:p>
        </w:tc>
      </w:tr>
    </w:tbl>
    <w:p>
      <w:pPr>
        <w:pStyle w:val="TextBody"/>
        <w:spacing w:before="200" w:after="200"/>
        <w:ind w:left="1440" w:right="0" w:firstLine="720"/>
        <w:jc w:val="both"/>
        <w:rPr>
          <w:sz w:val="17"/>
        </w:rPr>
      </w:pPr>
      <w:r>
        <w:rPr>
          <w:sz w:val="17"/>
        </w:rPr>
        <w:t xml:space="preserve">Although the results of such an analysis may be useful as a benchmark, they should not be viewed as forecasts.  </w:t>
      </w:r>
    </w:p>
    <w:p>
      <w:pPr>
        <w:pStyle w:val="TextBody"/>
        <w:spacing w:before="0" w:after="200"/>
        <w:ind w:left="1440" w:right="0" w:hanging="0"/>
        <w:jc w:val="both"/>
        <w:rPr/>
      </w:pPr>
      <w:r>
        <w:rPr/>
        <w:t>            </w:t>
      </w:r>
      <w:r>
        <w:rPr>
          <w:sz w:val="17"/>
        </w:rPr>
        <w:t xml:space="preserve">At December 31, 2012, approximately 51% and 18% of our assets (determined by the book value of such assets) were invested in assets denominated in Australian dollars (Reading Australia) and New Zealand dollars (Reading New Zealand), respectively, including approximately $15.8 million in cash and cash equivalents.  At December 31, 2011, approximately 57% and 16% of our assets were invested in assets denominated in Australian and New Zealand dollars, respectively, including approximately $19.8 million in cash and cash equivalents.  </w:t>
      </w:r>
    </w:p>
    <w:p>
      <w:pPr>
        <w:pStyle w:val="TextBody"/>
        <w:spacing w:before="0" w:after="200"/>
        <w:ind w:left="1440" w:right="0" w:hanging="0"/>
        <w:jc w:val="both"/>
        <w:rPr/>
      </w:pPr>
      <w:r>
        <w:rPr/>
        <w:t>            </w:t>
      </w:r>
      <w:r>
        <w:rPr>
          <w:sz w:val="17"/>
        </w:rPr>
        <w:t xml:space="preserve">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 </w:t>
      </w:r>
    </w:p>
    <w:p>
      <w:pPr>
        <w:pStyle w:val="TextBody"/>
        <w:spacing w:before="0" w:after="200"/>
        <w:ind w:left="1440" w:right="0" w:firstLine="720"/>
        <w:jc w:val="both"/>
        <w:rPr>
          <w:sz w:val="17"/>
        </w:rPr>
      </w:pPr>
      <w:r>
        <w:rPr>
          <w:sz w:val="17"/>
        </w:rPr>
        <w:t xml:space="preserve">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56% and 47%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$12.4 million and $3.6 million, respectively, and the change in annual net income would be $35,000 and $7,000, respectively.  At the present time, we have no plan to hedge such exposure.  We believe that this currency risk is mitigated by the long-term nature of the fully subordinated notes. </w:t>
      </w:r>
    </w:p>
    <w:p>
      <w:pPr>
        <w:pStyle w:val="TextBody"/>
        <w:spacing w:before="0" w:after="200"/>
        <w:ind w:left="1440" w:right="0" w:hanging="0"/>
        <w:jc w:val="both"/>
        <w:rPr/>
      </w:pPr>
      <w:r>
        <w:rPr/>
        <w:t>            </w:t>
      </w:r>
      <w:r>
        <w:rPr>
          <w:sz w:val="17"/>
        </w:rPr>
        <w:t xml:space="preserve">We record unrealized foreign currency translation gains or losses that could materially affect our financial position.  We have accumulated unrealized foreign currency translation gains of approximately $64.6 million and $60.1 million as of December 31, 2012 and 2011, respectively. </w:t>
      </w:r>
    </w:p>
    <w:p>
      <w:pPr>
        <w:pStyle w:val="TextBody"/>
        <w:spacing w:before="0" w:after="200"/>
        <w:ind w:left="1440" w:right="0" w:firstLine="720"/>
        <w:jc w:val="both"/>
        <w:rPr>
          <w:sz w:val="17"/>
        </w:rPr>
      </w:pPr>
      <w:r>
        <w:rPr>
          <w:sz w:val="17"/>
        </w:rPr>
        <w:t xml:space="preserve">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  </w:t>
      </w:r>
    </w:p>
    <w:p>
      <w:pPr>
        <w:pStyle w:val="TextBody"/>
        <w:spacing w:before="0" w:after="200"/>
        <w:ind w:left="1440" w:right="0" w:firstLine="720"/>
        <w:jc w:val="both"/>
        <w:rPr>
          <w:sz w:val="17"/>
        </w:rPr>
      </w:pPr>
      <w:r>
        <w:rPr>
          <w:sz w:val="17"/>
        </w:rPr>
        <w:t xml:space="preserve">The majority of our loans have fixed interest rates; however, one of our international loans has a variable interest rate and a change of approximately 1% in short-term interest rates would have resulted in approximately $681,000 increase or decrease in our 2012 interest expense.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100" w:after="100"/>
        <w:ind w:left="1440" w:right="0" w:hanging="0"/>
        <w:jc w:val="center"/>
        <w:rPr>
          <w:sz w:val="17"/>
        </w:rPr>
      </w:pPr>
      <w:r>
        <w:rPr>
          <w:b/>
          <w:sz w:val="17"/>
          <w:u w:val="single"/>
        </w:rPr>
        <w:t>Item 8 – Financial Statements and Supplementary Data</w:t>
      </w:r>
      <w:r>
        <w:rPr>
          <w:sz w:val="17"/>
        </w:rPr>
        <w:t xml:space="preserve"> </w:t>
      </w:r>
    </w:p>
    <w:p>
      <w:pPr>
        <w:pStyle w:val="TextBody"/>
        <w:spacing w:before="100" w:after="100"/>
        <w:ind w:left="1440" w:right="90" w:hanging="0"/>
        <w:jc w:val="center"/>
        <w:rPr>
          <w:sz w:val="17"/>
        </w:rPr>
      </w:pPr>
      <w:r>
        <w:rPr>
          <w:sz w:val="17"/>
          <w:u w:val="single"/>
        </w:rPr>
        <w:t>TABLE OF CONTENTS</w:t>
      </w:r>
      <w:r>
        <w:rPr>
          <w:sz w:val="17"/>
        </w:rPr>
        <w:t xml:space="preserve"> </w:t>
      </w:r>
    </w:p>
    <w:tbl>
      <w:tblPr>
        <w:tblW w:w="7795" w:type="dxa"/>
        <w:jc w:val="left"/>
        <w:tblInd w:w="1440" w:type="dxa"/>
        <w:tblCellMar>
          <w:top w:w="0" w:type="dxa"/>
          <w:left w:w="0" w:type="dxa"/>
          <w:bottom w:w="0" w:type="dxa"/>
          <w:right w:w="0" w:type="dxa"/>
        </w:tblCellMar>
      </w:tblPr>
      <w:tblGrid>
        <w:gridCol w:w="7490"/>
        <w:gridCol w:w="305"/>
      </w:tblGrid>
      <w:tr>
        <w:trPr/>
        <w:tc>
          <w:tcPr>
            <w:tcW w:w="7490" w:type="dxa"/>
            <w:tcBorders/>
            <w:shd w:fill="auto" w:val="clear"/>
          </w:tcPr>
          <w:p>
            <w:pPr>
              <w:pStyle w:val="TableContents"/>
              <w:spacing w:before="0" w:after="200"/>
              <w:ind w:left="0" w:right="0" w:hanging="0"/>
              <w:jc w:val="both"/>
              <w:rPr/>
            </w:pPr>
            <w:r>
              <w:rPr/>
              <w:t> </w:t>
            </w:r>
          </w:p>
        </w:tc>
        <w:tc>
          <w:tcPr>
            <w:tcW w:w="305" w:type="dxa"/>
            <w:tcBorders/>
            <w:shd w:fill="auto" w:val="clear"/>
          </w:tcPr>
          <w:p>
            <w:pPr>
              <w:pStyle w:val="TableContents"/>
              <w:spacing w:before="0" w:after="200"/>
              <w:ind w:left="0" w:right="0" w:hanging="0"/>
              <w:jc w:val="both"/>
              <w:rPr/>
            </w:pPr>
            <w:r>
              <w:rPr/>
              <w:t> </w:t>
            </w:r>
          </w:p>
        </w:tc>
      </w:tr>
      <w:tr>
        <w:trPr/>
        <w:tc>
          <w:tcPr>
            <w:tcW w:w="7490" w:type="dxa"/>
            <w:tcBorders/>
            <w:shd w:fill="CCEEFF" w:val="clear"/>
            <w:vAlign w:val="bottom"/>
          </w:tcPr>
          <w:p>
            <w:pPr>
              <w:pStyle w:val="TableContents"/>
              <w:spacing w:before="100" w:after="100"/>
              <w:ind w:left="0" w:right="90" w:hanging="0"/>
              <w:jc w:val="left"/>
              <w:rPr>
                <w:sz w:val="17"/>
              </w:rPr>
            </w:pPr>
            <w:r>
              <w:rPr>
                <w:sz w:val="17"/>
              </w:rPr>
              <w:t>Reports of Independent Registered Public Accounting Firms</w:t>
            </w:r>
          </w:p>
        </w:tc>
        <w:tc>
          <w:tcPr>
            <w:tcW w:w="305" w:type="dxa"/>
            <w:tcBorders/>
            <w:shd w:fill="CCEEFF" w:val="clear"/>
            <w:vAlign w:val="bottom"/>
          </w:tcPr>
          <w:p>
            <w:pPr>
              <w:pStyle w:val="TableContents"/>
              <w:spacing w:before="100" w:after="100"/>
              <w:ind w:left="0" w:right="90" w:hanging="0"/>
              <w:jc w:val="left"/>
              <w:rPr>
                <w:sz w:val="17"/>
              </w:rPr>
            </w:pPr>
            <w:r>
              <w:rPr>
                <w:sz w:val="17"/>
              </w:rPr>
              <w:t>54</w:t>
            </w:r>
          </w:p>
        </w:tc>
      </w:tr>
      <w:tr>
        <w:trPr/>
        <w:tc>
          <w:tcPr>
            <w:tcW w:w="7490" w:type="dxa"/>
            <w:tcBorders/>
            <w:shd w:fill="FFFFFF" w:val="clear"/>
            <w:vAlign w:val="bottom"/>
          </w:tcPr>
          <w:p>
            <w:pPr>
              <w:pStyle w:val="TableContents"/>
              <w:spacing w:before="100" w:after="100"/>
              <w:ind w:left="0" w:right="90" w:hanging="0"/>
              <w:jc w:val="left"/>
              <w:rPr>
                <w:sz w:val="17"/>
              </w:rPr>
            </w:pPr>
            <w:r>
              <w:rPr>
                <w:sz w:val="17"/>
              </w:rPr>
              <w:t>Consolidated Balance Sheets as of December 31, 2012 and 2011</w:t>
            </w:r>
          </w:p>
        </w:tc>
        <w:tc>
          <w:tcPr>
            <w:tcW w:w="305" w:type="dxa"/>
            <w:tcBorders/>
            <w:shd w:fill="FFFFFF" w:val="clear"/>
            <w:vAlign w:val="bottom"/>
          </w:tcPr>
          <w:p>
            <w:pPr>
              <w:pStyle w:val="TableContents"/>
              <w:spacing w:before="100" w:after="100"/>
              <w:ind w:left="0" w:right="90" w:hanging="0"/>
              <w:jc w:val="left"/>
              <w:rPr>
                <w:sz w:val="17"/>
              </w:rPr>
            </w:pPr>
            <w:r>
              <w:rPr>
                <w:sz w:val="17"/>
              </w:rPr>
              <w:t>56</w:t>
            </w:r>
          </w:p>
        </w:tc>
      </w:tr>
      <w:tr>
        <w:trPr/>
        <w:tc>
          <w:tcPr>
            <w:tcW w:w="7490" w:type="dxa"/>
            <w:tcBorders/>
            <w:shd w:fill="CCEEFF" w:val="clear"/>
            <w:vAlign w:val="bottom"/>
          </w:tcPr>
          <w:p>
            <w:pPr>
              <w:pStyle w:val="TableContents"/>
              <w:spacing w:before="100" w:after="100"/>
              <w:ind w:left="0" w:right="90" w:hanging="0"/>
              <w:jc w:val="left"/>
              <w:rPr>
                <w:sz w:val="17"/>
              </w:rPr>
            </w:pPr>
            <w:r>
              <w:rPr>
                <w:sz w:val="17"/>
              </w:rPr>
              <w:t>Consolidated Statements of Operations for the Three Years Ended December 31, 2012</w:t>
            </w:r>
          </w:p>
        </w:tc>
        <w:tc>
          <w:tcPr>
            <w:tcW w:w="305" w:type="dxa"/>
            <w:tcBorders/>
            <w:shd w:fill="CCEEFF" w:val="clear"/>
            <w:vAlign w:val="bottom"/>
          </w:tcPr>
          <w:p>
            <w:pPr>
              <w:pStyle w:val="TableContents"/>
              <w:spacing w:before="100" w:after="100"/>
              <w:ind w:left="0" w:right="90" w:hanging="0"/>
              <w:jc w:val="left"/>
              <w:rPr>
                <w:sz w:val="17"/>
              </w:rPr>
            </w:pPr>
            <w:r>
              <w:rPr>
                <w:sz w:val="17"/>
              </w:rPr>
              <w:t>57</w:t>
            </w:r>
          </w:p>
        </w:tc>
      </w:tr>
      <w:tr>
        <w:trPr/>
        <w:tc>
          <w:tcPr>
            <w:tcW w:w="7490" w:type="dxa"/>
            <w:tcBorders/>
            <w:shd w:fill="FFFFFF" w:val="clear"/>
            <w:vAlign w:val="bottom"/>
          </w:tcPr>
          <w:p>
            <w:pPr>
              <w:pStyle w:val="TableContents"/>
              <w:spacing w:before="100" w:after="100"/>
              <w:ind w:left="0" w:right="90" w:hanging="0"/>
              <w:jc w:val="left"/>
              <w:rPr>
                <w:sz w:val="17"/>
              </w:rPr>
            </w:pPr>
            <w:r>
              <w:rPr>
                <w:sz w:val="17"/>
              </w:rPr>
              <w:t>Consolidated Statements of Comprehensive Income (Loss) for the Three Years Ended December 31, 2012</w:t>
            </w:r>
          </w:p>
        </w:tc>
        <w:tc>
          <w:tcPr>
            <w:tcW w:w="305" w:type="dxa"/>
            <w:tcBorders/>
            <w:shd w:fill="FFFFFF" w:val="clear"/>
            <w:vAlign w:val="bottom"/>
          </w:tcPr>
          <w:p>
            <w:pPr>
              <w:pStyle w:val="TableContents"/>
              <w:spacing w:before="100" w:after="100"/>
              <w:ind w:left="0" w:right="90" w:hanging="0"/>
              <w:jc w:val="left"/>
              <w:rPr>
                <w:sz w:val="17"/>
              </w:rPr>
            </w:pPr>
            <w:r>
              <w:rPr>
                <w:sz w:val="17"/>
              </w:rPr>
              <w:t>58</w:t>
            </w:r>
          </w:p>
        </w:tc>
      </w:tr>
      <w:tr>
        <w:trPr/>
        <w:tc>
          <w:tcPr>
            <w:tcW w:w="7490" w:type="dxa"/>
            <w:tcBorders/>
            <w:shd w:fill="CCEEFF" w:val="clear"/>
            <w:vAlign w:val="bottom"/>
          </w:tcPr>
          <w:p>
            <w:pPr>
              <w:pStyle w:val="TableContents"/>
              <w:spacing w:before="100" w:after="100"/>
              <w:ind w:left="0" w:right="90" w:hanging="0"/>
              <w:jc w:val="left"/>
              <w:rPr>
                <w:sz w:val="17"/>
              </w:rPr>
            </w:pPr>
            <w:r>
              <w:rPr>
                <w:sz w:val="17"/>
              </w:rPr>
              <w:t>Consolidated Statements of Stockholders’ Equity for the Three Years Ended December 31, 2012</w:t>
            </w:r>
          </w:p>
        </w:tc>
        <w:tc>
          <w:tcPr>
            <w:tcW w:w="305" w:type="dxa"/>
            <w:tcBorders/>
            <w:shd w:fill="CCEEFF" w:val="clear"/>
            <w:vAlign w:val="bottom"/>
          </w:tcPr>
          <w:p>
            <w:pPr>
              <w:pStyle w:val="TableContents"/>
              <w:spacing w:before="100" w:after="100"/>
              <w:ind w:left="0" w:right="90" w:hanging="0"/>
              <w:jc w:val="left"/>
              <w:rPr>
                <w:sz w:val="17"/>
              </w:rPr>
            </w:pPr>
            <w:r>
              <w:rPr>
                <w:sz w:val="17"/>
              </w:rPr>
              <w:t>59</w:t>
            </w:r>
          </w:p>
        </w:tc>
      </w:tr>
      <w:tr>
        <w:trPr/>
        <w:tc>
          <w:tcPr>
            <w:tcW w:w="7490" w:type="dxa"/>
            <w:tcBorders/>
            <w:shd w:fill="FFFFFF" w:val="clear"/>
            <w:vAlign w:val="bottom"/>
          </w:tcPr>
          <w:p>
            <w:pPr>
              <w:pStyle w:val="TableContents"/>
              <w:spacing w:before="100" w:after="100"/>
              <w:ind w:left="0" w:right="90" w:hanging="0"/>
              <w:jc w:val="left"/>
              <w:rPr>
                <w:sz w:val="17"/>
              </w:rPr>
            </w:pPr>
            <w:r>
              <w:rPr>
                <w:sz w:val="17"/>
              </w:rPr>
              <w:t>Consolidated Statements of Cash Flows for the Three Years Ended December 31, 2012</w:t>
            </w:r>
          </w:p>
        </w:tc>
        <w:tc>
          <w:tcPr>
            <w:tcW w:w="305" w:type="dxa"/>
            <w:tcBorders/>
            <w:shd w:fill="FFFFFF" w:val="clear"/>
            <w:vAlign w:val="bottom"/>
          </w:tcPr>
          <w:p>
            <w:pPr>
              <w:pStyle w:val="TableContents"/>
              <w:spacing w:before="100" w:after="100"/>
              <w:ind w:left="0" w:right="90" w:hanging="0"/>
              <w:jc w:val="left"/>
              <w:rPr>
                <w:sz w:val="17"/>
              </w:rPr>
            </w:pPr>
            <w:r>
              <w:rPr>
                <w:sz w:val="17"/>
              </w:rPr>
              <w:t>60</w:t>
            </w:r>
          </w:p>
        </w:tc>
      </w:tr>
      <w:tr>
        <w:trPr/>
        <w:tc>
          <w:tcPr>
            <w:tcW w:w="7490" w:type="dxa"/>
            <w:tcBorders/>
            <w:shd w:fill="CCEEFF" w:val="clear"/>
            <w:vAlign w:val="bottom"/>
          </w:tcPr>
          <w:p>
            <w:pPr>
              <w:pStyle w:val="TableContents"/>
              <w:spacing w:before="100" w:after="100"/>
              <w:ind w:left="0" w:right="90" w:hanging="0"/>
              <w:jc w:val="left"/>
              <w:rPr>
                <w:sz w:val="17"/>
              </w:rPr>
            </w:pPr>
            <w:r>
              <w:rPr>
                <w:sz w:val="17"/>
              </w:rPr>
              <w:t>Notes to Consolidated Financial Statements</w:t>
            </w:r>
          </w:p>
        </w:tc>
        <w:tc>
          <w:tcPr>
            <w:tcW w:w="305" w:type="dxa"/>
            <w:tcBorders/>
            <w:shd w:fill="CCEEFF" w:val="clear"/>
            <w:vAlign w:val="bottom"/>
          </w:tcPr>
          <w:p>
            <w:pPr>
              <w:pStyle w:val="TableContents"/>
              <w:spacing w:before="100" w:after="100"/>
              <w:ind w:left="0" w:right="90" w:hanging="0"/>
              <w:jc w:val="left"/>
              <w:rPr>
                <w:sz w:val="17"/>
              </w:rPr>
            </w:pPr>
            <w:r>
              <w:rPr>
                <w:sz w:val="17"/>
              </w:rPr>
              <w:t>61</w:t>
            </w:r>
          </w:p>
        </w:tc>
      </w:tr>
    </w:tbl>
    <w:p>
      <w:pPr>
        <w:pStyle w:val="TextBody"/>
        <w:spacing w:before="0" w:after="0"/>
        <w:ind w:left="1440" w:right="0" w:hanging="0"/>
        <w:jc w:val="both"/>
        <w:rPr/>
      </w:pPr>
      <w:r>
        <w:rPr/>
        <w:t xml:space="preserve">  </w:t>
      </w:r>
    </w:p>
    <w:p>
      <w:pPr>
        <w:pStyle w:val="TextBody"/>
        <w:spacing w:before="120" w:after="120"/>
        <w:ind w:left="1440" w:right="0" w:hanging="0"/>
        <w:jc w:val="both"/>
        <w:rPr/>
      </w:pPr>
      <w:r>
        <w:rPr/>
        <w:t xml:space="preserve">  </w:t>
      </w:r>
    </w:p>
    <w:p>
      <w:pPr>
        <w:pStyle w:val="TextBody"/>
        <w:spacing w:before="100" w:after="1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pPr>
      <w:r>
        <w:rPr/>
        <w:t xml:space="preserve">  </w:t>
      </w:r>
    </w:p>
    <w:p>
      <w:pPr>
        <w:pStyle w:val="TextBody"/>
        <w:spacing w:before="100" w:after="100"/>
        <w:ind w:left="1440" w:right="0" w:hanging="0"/>
        <w:jc w:val="both"/>
        <w:rPr>
          <w:b/>
          <w:sz w:val="17"/>
        </w:rPr>
      </w:pPr>
      <w:r>
        <w:rPr>
          <w:b/>
          <w:sz w:val="17"/>
        </w:rPr>
        <w:t xml:space="preserve">Report of Independent Registered Public Accounting Firm </w:t>
      </w:r>
    </w:p>
    <w:p>
      <w:pPr>
        <w:pStyle w:val="TextBody"/>
        <w:pBdr/>
        <w:spacing w:before="0" w:after="0"/>
        <w:ind w:left="1440" w:right="0" w:hanging="0"/>
        <w:jc w:val="both"/>
        <w:rPr>
          <w:sz w:val="17"/>
        </w:rPr>
      </w:pPr>
      <w:r>
        <w:rPr>
          <w:sz w:val="17"/>
        </w:rPr>
        <w:t xml:space="preserve">To the Board of Directors and Stockholders of  </w:t>
      </w:r>
    </w:p>
    <w:p>
      <w:pPr>
        <w:pStyle w:val="TextBody"/>
        <w:pBdr/>
        <w:spacing w:before="0" w:after="0"/>
        <w:ind w:left="1440" w:right="0" w:hanging="0"/>
        <w:jc w:val="both"/>
        <w:rPr>
          <w:sz w:val="17"/>
        </w:rPr>
      </w:pPr>
      <w:r>
        <w:rPr>
          <w:sz w:val="17"/>
        </w:rPr>
        <w:t xml:space="preserve">Reading International, Inc. </w:t>
      </w:r>
    </w:p>
    <w:p>
      <w:pPr>
        <w:pStyle w:val="TextBody"/>
        <w:pBdr/>
        <w:spacing w:before="0" w:after="0"/>
        <w:ind w:left="1440" w:right="0" w:hanging="0"/>
        <w:jc w:val="both"/>
        <w:rPr>
          <w:sz w:val="17"/>
        </w:rPr>
      </w:pPr>
      <w:r>
        <w:rPr>
          <w:sz w:val="17"/>
        </w:rPr>
        <w:t xml:space="preserve">Los Angeles, California </w:t>
      </w:r>
    </w:p>
    <w:p>
      <w:pPr>
        <w:pStyle w:val="TextBody"/>
        <w:pBdr/>
        <w:spacing w:before="100" w:after="0"/>
        <w:ind w:left="1440" w:right="0" w:hanging="0"/>
        <w:jc w:val="both"/>
        <w:rPr/>
      </w:pPr>
      <w:r>
        <w:rPr/>
        <w:t> </w:t>
      </w:r>
      <w:r>
        <w:rPr>
          <w:sz w:val="17"/>
        </w:rPr>
        <w:br/>
        <w:t xml:space="preserve">          We have audited the accompanying consolidated balance sheets of Reading International, Inc. and subsidiaries (the “Company”) as of December 31, 2012 and 2011, and the related consolidated statements of operations, comprehensive income (loss), stockholders’ equity, and cash flows for each of the two years in the period ended December 31, 2012. Our audits of the consolidated financial statements also included the financial statement schedule listed in the Index at Item 15 for each of the two years in the period ended December 31, 2012. These financial statements and financial statement schedule are the responsibility of the Company’s management. Our responsibility is to express an opinion on these financial statements and financial statement schedule based on our audits. </w:t>
      </w:r>
    </w:p>
    <w:p>
      <w:pPr>
        <w:pStyle w:val="TextBody"/>
        <w:pBdr/>
        <w:spacing w:before="100" w:after="0"/>
        <w:ind w:left="1440" w:right="0" w:firstLine="720"/>
        <w:jc w:val="both"/>
        <w:rPr>
          <w:sz w:val="17"/>
        </w:rPr>
      </w:pPr>
      <w:r>
        <w:rPr>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pBdr/>
        <w:spacing w:before="100" w:after="0"/>
        <w:ind w:left="1440" w:right="0" w:firstLine="720"/>
        <w:jc w:val="both"/>
        <w:rPr>
          <w:sz w:val="17"/>
        </w:rPr>
      </w:pPr>
      <w:r>
        <w:rPr>
          <w:sz w:val="17"/>
        </w:rPr>
        <w:t xml:space="preserve">In our opinion, the consolidated financial statements referred to above present fairly, in all material respects, the financial position of Reading International, Inc. and subsidiaries as of December 31, 2012 and 2011, and the results of their operations and their cash flows for each of the two years in the period ended December 31, 2012, in conformity with accounting principles generally accepted in the United States of America. Also, in our opinion, the related financial statement schedule for each of the two years in the period ended December 31, 2012, when considered in relation to the basic consolidated financial statements taken as a whole, presents fairly, in all material respects, the information set forth therein. </w:t>
      </w:r>
    </w:p>
    <w:p>
      <w:pPr>
        <w:pStyle w:val="TextBody"/>
        <w:pBdr/>
        <w:spacing w:before="100" w:after="0"/>
        <w:ind w:left="1440" w:right="0" w:firstLine="720"/>
        <w:jc w:val="both"/>
        <w:rPr>
          <w:sz w:val="17"/>
        </w:rPr>
      </w:pPr>
      <w:r>
        <w:rPr>
          <w:sz w:val="17"/>
        </w:rPr>
        <w:t xml:space="preserve">As discussed in Note 2 to the consolidated financial statements, the accompanying consolidated financial statements have been retrospectively adjusted for the adoption of Accounting Standards Update (ASU) No. 2011-05, Presentation of Comprehensive Income. </w:t>
      </w:r>
    </w:p>
    <w:p>
      <w:pPr>
        <w:pStyle w:val="TextBody"/>
        <w:pBdr/>
        <w:spacing w:before="100" w:after="0"/>
        <w:ind w:left="1440" w:right="0" w:firstLine="720"/>
        <w:jc w:val="both"/>
        <w:rPr>
          <w:sz w:val="17"/>
        </w:rPr>
      </w:pPr>
      <w:r>
        <w:rPr>
          <w:sz w:val="17"/>
        </w:rPr>
        <w:t xml:space="preserve">We also have audited, in accordance with the standards of the Public Company Accounting Oversight Board (United States), the Company’s internal control over financial reporting as of December 31, 2012, based on criteria established in Internal Control—Integrated Framework issued by the Committee of Sponsoring Organizations of the Treadway Commission (COSO) and our report dated March 19, 2013 expressed an unqualified opinion thereon. </w:t>
      </w:r>
    </w:p>
    <w:p>
      <w:pPr>
        <w:pStyle w:val="TextBody"/>
        <w:pBdr/>
        <w:spacing w:before="100" w:after="0"/>
        <w:ind w:left="1440" w:right="0" w:hanging="0"/>
        <w:jc w:val="both"/>
        <w:rPr>
          <w:sz w:val="17"/>
        </w:rPr>
      </w:pPr>
      <w:r>
        <w:rPr>
          <w:sz w:val="17"/>
        </w:rPr>
        <w:t xml:space="preserve">/s/ GRANT THORNTON LLP </w:t>
      </w:r>
    </w:p>
    <w:p>
      <w:pPr>
        <w:pStyle w:val="TextBody"/>
        <w:pBdr/>
        <w:spacing w:before="0" w:after="0"/>
        <w:ind w:left="1440" w:right="0" w:hanging="0"/>
        <w:jc w:val="both"/>
        <w:rPr>
          <w:sz w:val="17"/>
        </w:rPr>
      </w:pPr>
      <w:r>
        <w:rPr>
          <w:sz w:val="17"/>
        </w:rPr>
        <w:t xml:space="preserve">Los Angeles, California </w:t>
      </w:r>
    </w:p>
    <w:p>
      <w:pPr>
        <w:pStyle w:val="TextBody"/>
        <w:pBdr/>
        <w:spacing w:before="0" w:after="0"/>
        <w:ind w:left="1440" w:right="0" w:hanging="0"/>
        <w:jc w:val="left"/>
        <w:rPr>
          <w:sz w:val="17"/>
        </w:rPr>
      </w:pPr>
      <w:r>
        <w:rPr>
          <w:sz w:val="17"/>
        </w:rPr>
        <w:t>March 19, 2013</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0"/>
        <w:ind w:left="1440" w:right="0" w:hanging="0"/>
        <w:jc w:val="left"/>
        <w:rPr>
          <w:sz w:val="17"/>
        </w:rPr>
      </w:pPr>
      <w:r>
        <w:rPr>
          <w:b/>
          <w:sz w:val="17"/>
        </w:rPr>
        <w:t>Report of Independent Registered Public Accounting Firm</w:t>
      </w:r>
      <w:r>
        <w:rPr>
          <w:sz w:val="17"/>
        </w:rPr>
        <w:t xml:space="preserve"> </w:t>
      </w:r>
    </w:p>
    <w:p>
      <w:pPr>
        <w:pStyle w:val="TextBody"/>
        <w:pBdr/>
        <w:spacing w:before="0" w:after="0"/>
        <w:ind w:left="1440" w:right="0" w:hanging="0"/>
        <w:jc w:val="both"/>
        <w:rPr/>
      </w:pPr>
      <w:r>
        <w:rPr/>
        <w:t xml:space="preserve">  </w:t>
      </w:r>
    </w:p>
    <w:p>
      <w:pPr>
        <w:pStyle w:val="TextBody"/>
        <w:pBdr/>
        <w:spacing w:before="0" w:after="0"/>
        <w:ind w:left="1440" w:right="0" w:hanging="0"/>
        <w:jc w:val="both"/>
        <w:rPr>
          <w:sz w:val="17"/>
        </w:rPr>
      </w:pPr>
      <w:r>
        <w:rPr>
          <w:sz w:val="17"/>
        </w:rPr>
        <w:t xml:space="preserve">To the Board of Directors and Stockholders of </w:t>
      </w:r>
    </w:p>
    <w:p>
      <w:pPr>
        <w:pStyle w:val="TextBody"/>
        <w:pBdr/>
        <w:spacing w:before="0" w:after="0"/>
        <w:ind w:left="1440" w:right="0" w:hanging="0"/>
        <w:jc w:val="both"/>
        <w:rPr>
          <w:sz w:val="17"/>
        </w:rPr>
      </w:pPr>
      <w:r>
        <w:rPr>
          <w:sz w:val="17"/>
        </w:rPr>
        <w:t xml:space="preserve">Reading International, Inc. </w:t>
      </w:r>
    </w:p>
    <w:p>
      <w:pPr>
        <w:pStyle w:val="TextBody"/>
        <w:pBdr/>
        <w:spacing w:before="0" w:after="0"/>
        <w:ind w:left="1440" w:right="0" w:hanging="0"/>
        <w:jc w:val="both"/>
        <w:rPr>
          <w:sz w:val="17"/>
        </w:rPr>
      </w:pPr>
      <w:r>
        <w:rPr>
          <w:sz w:val="17"/>
        </w:rPr>
        <w:t xml:space="preserve">Los Angeles, California </w:t>
      </w:r>
    </w:p>
    <w:p>
      <w:pPr>
        <w:pStyle w:val="TextBody"/>
        <w:pBdr/>
        <w:spacing w:before="0" w:after="0"/>
        <w:ind w:left="1440" w:right="0" w:hanging="0"/>
        <w:jc w:val="both"/>
        <w:rPr/>
      </w:pPr>
      <w:r>
        <w:rPr/>
        <w:t xml:space="preserve">  </w:t>
      </w:r>
    </w:p>
    <w:p>
      <w:pPr>
        <w:pStyle w:val="TextBody"/>
        <w:pBdr/>
        <w:spacing w:before="0" w:after="0"/>
        <w:ind w:left="1440" w:right="0" w:firstLine="720"/>
        <w:jc w:val="both"/>
        <w:rPr>
          <w:sz w:val="17"/>
        </w:rPr>
      </w:pPr>
      <w:r>
        <w:rPr>
          <w:sz w:val="17"/>
        </w:rPr>
        <w:t xml:space="preserve">We have audited the accompanying consolidated statements of operations, comprehensive income (loss), stockholders' equity, and cash flows of Reading International, Inc. and subsidiaries (the “Company”) for the year ended December 31, 2010.  Our audit also included Schedule II – Valuation and Qualifying Accounts for the year ended December 31, 2010, listed in the Index at Item 15.  These financial statements and financial statement schedule are the responsibility of the Company's management.  Our responsibility is to express an opinion on the financial statements and financial statement schedule based on our audits.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sz w:val="17"/>
        </w:rPr>
      </w:pPr>
      <w:r>
        <w:rPr>
          <w:sz w:val="17"/>
        </w:rPr>
        <w:t xml:space="preserve">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sz w:val="17"/>
        </w:rPr>
      </w:pPr>
      <w:r>
        <w:rPr>
          <w:sz w:val="17"/>
        </w:rPr>
        <w:t xml:space="preserve">In our opinion, such consolidated financial statements present fairly, in all material respects, the results of operations and cash flows of Reading International, Inc. and subsidiaries, for the year ended December 31, 2010, in conformity with accounting principles generally accepted in the United States of America.  Also, in our opinion, Schedule II – Valuation and Qualifying Accounts, when considered in relation to the basic consolidated financial statements taken as a whole, presents fairly, in all material respects, the information set forth therein for the year ended December 31, 2010.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sz w:val="17"/>
        </w:rPr>
      </w:pPr>
      <w:r>
        <w:rPr>
          <w:sz w:val="17"/>
        </w:rPr>
        <w:t xml:space="preserve">As discussed in Note 2 to the 2010 consolidated financial statements, the Company's Australian Credit Facility with an outstanding balance of $101.7 million as of December 31, 2010 matures on June 30, 2011 and the Company is currently in negotiations to obtain a new credit facility.  Management's plans concerning this matter are discussed in Note 2 to the financial statements.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sz w:val="17"/>
        </w:rPr>
      </w:pPr>
      <w:r>
        <w:rPr>
          <w:sz w:val="17"/>
        </w:rPr>
        <w:t xml:space="preserve">As discussed in Note 9 to the consolidated financial statements, the accompanying 2010 consolidated financial statements have been retrospectively adjusted for the reversal of discontinued operations.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sz w:val="17"/>
        </w:rPr>
      </w:pPr>
      <w:r>
        <w:rPr>
          <w:sz w:val="17"/>
        </w:rPr>
        <w:t xml:space="preserve">As discussed in Note 2 to the consolidated financial statements, the accompanying 2010 consolidated financial statements have been retrospectively adjusted for the adoption of Accounting Standards Update (ASU) No. 2011-05, Presentation of Comprehensive Income.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sz w:val="17"/>
        </w:rPr>
      </w:pPr>
      <w:r>
        <w:rPr>
          <w:sz w:val="17"/>
        </w:rPr>
        <w:t xml:space="preserve">As discussed in Note 8 to the consolidated financial statements, the accompanying 2010 consolidated financial statements have been retrospectively adjusted for discontinued operations. </w:t>
      </w:r>
    </w:p>
    <w:p>
      <w:pPr>
        <w:pStyle w:val="TextBody"/>
        <w:pBdr/>
        <w:spacing w:before="0" w:after="0"/>
        <w:ind w:left="1440" w:right="0" w:hanging="0"/>
        <w:jc w:val="both"/>
        <w:rPr/>
      </w:pPr>
      <w:r>
        <w:rPr/>
        <w:t xml:space="preserve">  </w:t>
      </w:r>
    </w:p>
    <w:p>
      <w:pPr>
        <w:pStyle w:val="TextBody"/>
        <w:pBdr/>
        <w:spacing w:before="0" w:after="0"/>
        <w:ind w:left="1440" w:right="0" w:hanging="0"/>
        <w:jc w:val="both"/>
        <w:rPr>
          <w:sz w:val="17"/>
        </w:rPr>
      </w:pPr>
      <w:r>
        <w:rPr>
          <w:sz w:val="17"/>
        </w:rPr>
        <w:t xml:space="preserve">/s/    DELOITTE &amp; TOUCHE LLP </w:t>
      </w:r>
    </w:p>
    <w:p>
      <w:pPr>
        <w:pStyle w:val="TextBody"/>
        <w:pBdr/>
        <w:spacing w:before="0" w:after="0"/>
        <w:ind w:left="1440" w:right="0" w:hanging="0"/>
        <w:jc w:val="both"/>
        <w:rPr>
          <w:sz w:val="17"/>
        </w:rPr>
      </w:pPr>
      <w:r>
        <w:rPr>
          <w:sz w:val="17"/>
        </w:rPr>
        <w:t xml:space="preserve">Los Angeles, California </w:t>
      </w:r>
    </w:p>
    <w:p>
      <w:pPr>
        <w:pStyle w:val="TextBody"/>
        <w:pBdr/>
        <w:spacing w:before="0" w:after="0"/>
        <w:ind w:left="1440" w:right="0" w:hanging="0"/>
        <w:jc w:val="both"/>
        <w:rPr>
          <w:sz w:val="17"/>
        </w:rPr>
      </w:pPr>
      <w:r>
        <w:rPr>
          <w:sz w:val="17"/>
        </w:rPr>
        <w:t xml:space="preserve">March 15, 2011 </w:t>
      </w:r>
    </w:p>
    <w:p>
      <w:pPr>
        <w:pStyle w:val="TextBody"/>
        <w:pBdr/>
        <w:spacing w:before="0" w:after="0"/>
        <w:ind w:left="1440" w:right="0" w:hanging="0"/>
        <w:jc w:val="both"/>
        <w:rPr/>
      </w:pPr>
      <w:r>
        <w:rPr/>
        <w:t xml:space="preserve">  </w:t>
      </w:r>
    </w:p>
    <w:p>
      <w:pPr>
        <w:pStyle w:val="TextBody"/>
        <w:pBdr/>
        <w:spacing w:before="0" w:after="0"/>
        <w:ind w:left="1440" w:right="0" w:hanging="0"/>
        <w:jc w:val="both"/>
        <w:rPr>
          <w:sz w:val="17"/>
        </w:rPr>
      </w:pPr>
      <w:r>
        <w:rPr>
          <w:sz w:val="17"/>
        </w:rPr>
        <w:t xml:space="preserve">(March 15, 2012 as to the effects of the retrospective adjustments for the reversal of discontinued operations discussed in Note 9) </w:t>
      </w:r>
    </w:p>
    <w:p>
      <w:pPr>
        <w:pStyle w:val="TextBody"/>
        <w:pBdr/>
        <w:spacing w:before="0" w:after="0"/>
        <w:ind w:left="1440" w:right="0" w:hanging="0"/>
        <w:jc w:val="both"/>
        <w:rPr/>
      </w:pPr>
      <w:r>
        <w:rPr/>
        <w:t xml:space="preserve">  </w:t>
      </w:r>
    </w:p>
    <w:p>
      <w:pPr>
        <w:pStyle w:val="TextBody"/>
        <w:pBdr/>
        <w:spacing w:before="0" w:after="0"/>
        <w:ind w:left="1440" w:right="0" w:hanging="0"/>
        <w:jc w:val="both"/>
        <w:rPr>
          <w:sz w:val="17"/>
        </w:rPr>
      </w:pPr>
      <w:r>
        <w:rPr>
          <w:sz w:val="17"/>
        </w:rPr>
        <w:t xml:space="preserve">(March 19, 2013 as to the effects of the retrospective adjustments for the adoption of ASU No. 2011-05 discussed in Note 2 and the effects of the retrospective adjustments for discontinued operations discussed in Note 8) </w:t>
      </w:r>
    </w:p>
    <w:p>
      <w:pPr>
        <w:pStyle w:val="TextBody"/>
        <w:pBdr/>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sz w:val="17"/>
        </w:rPr>
      </w:pPr>
      <w:r>
        <w:rPr>
          <w:b/>
          <w:sz w:val="17"/>
        </w:rPr>
        <w:t>Reading International, Inc. and Subsidiaries</w:t>
      </w:r>
      <w:r>
        <w:rPr>
          <w:sz w:val="17"/>
        </w:rPr>
        <w:t xml:space="preserve"> </w:t>
      </w:r>
    </w:p>
    <w:p>
      <w:pPr>
        <w:pStyle w:val="TextBody"/>
        <w:spacing w:before="0" w:after="0"/>
        <w:ind w:left="1440" w:right="0" w:hanging="0"/>
        <w:jc w:val="both"/>
        <w:rPr>
          <w:sz w:val="17"/>
        </w:rPr>
      </w:pPr>
      <w:r>
        <w:rPr>
          <w:b/>
          <w:sz w:val="17"/>
        </w:rPr>
        <w:t>Consolidated Balance Sheets as of December 31, 2012 and 2011</w:t>
      </w:r>
      <w:r>
        <w:rPr>
          <w:sz w:val="17"/>
        </w:rPr>
        <w:t xml:space="preserve"> </w:t>
      </w:r>
    </w:p>
    <w:p>
      <w:pPr>
        <w:pStyle w:val="TextBody"/>
        <w:spacing w:before="0" w:after="0"/>
        <w:ind w:left="1440" w:right="0" w:hanging="0"/>
        <w:jc w:val="both"/>
        <w:rPr>
          <w:sz w:val="17"/>
        </w:rPr>
      </w:pPr>
      <w:r>
        <w:rPr>
          <w:b/>
          <w:sz w:val="17"/>
        </w:rPr>
        <w:t>(U.S. dollars in thousands)</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6280" w:type="dxa"/>
        <w:jc w:val="left"/>
        <w:tblInd w:w="1440" w:type="dxa"/>
        <w:tblCellMar>
          <w:top w:w="0" w:type="dxa"/>
          <w:left w:w="0" w:type="dxa"/>
          <w:bottom w:w="0" w:type="dxa"/>
          <w:right w:w="0" w:type="dxa"/>
        </w:tblCellMar>
      </w:tblPr>
      <w:tblGrid>
        <w:gridCol w:w="4955"/>
        <w:gridCol w:w="95"/>
        <w:gridCol w:w="560"/>
        <w:gridCol w:w="95"/>
        <w:gridCol w:w="575"/>
      </w:tblGrid>
      <w:tr>
        <w:trPr/>
        <w:tc>
          <w:tcPr>
            <w:tcW w:w="495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r>
      <w:tr>
        <w:trPr/>
        <w:tc>
          <w:tcPr>
            <w:tcW w:w="495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r>
      <w:tr>
        <w:trPr/>
        <w:tc>
          <w:tcPr>
            <w:tcW w:w="4955" w:type="dxa"/>
            <w:tcBorders/>
            <w:shd w:fill="auto" w:val="clear"/>
            <w:vAlign w:val="bottom"/>
          </w:tcPr>
          <w:p>
            <w:pPr>
              <w:pStyle w:val="TableContents"/>
              <w:spacing w:before="0" w:after="1"/>
              <w:ind w:left="0" w:right="0" w:hanging="0"/>
              <w:jc w:val="both"/>
              <w:rPr/>
            </w:pPr>
            <w:r>
              <w:rPr/>
              <w:t> </w:t>
            </w:r>
          </w:p>
        </w:tc>
        <w:tc>
          <w:tcPr>
            <w:tcW w:w="1325" w:type="dxa"/>
            <w:gridSpan w:val="4"/>
            <w:tcBorders/>
            <w:shd w:fill="auto" w:val="clear"/>
            <w:vAlign w:val="bottom"/>
          </w:tcPr>
          <w:p>
            <w:pPr>
              <w:pStyle w:val="TableContents"/>
              <w:spacing w:before="0" w:after="1"/>
              <w:ind w:left="0" w:right="0" w:hanging="0"/>
              <w:jc w:val="center"/>
              <w:rPr>
                <w:b/>
                <w:sz w:val="13"/>
              </w:rPr>
            </w:pPr>
            <w:r>
              <w:rPr>
                <w:b/>
                <w:sz w:val="13"/>
              </w:rPr>
              <w:t>December 31,</w:t>
            </w:r>
          </w:p>
        </w:tc>
      </w:tr>
      <w:tr>
        <w:trPr/>
        <w:tc>
          <w:tcPr>
            <w:tcW w:w="495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6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2011</w:t>
            </w:r>
          </w:p>
        </w:tc>
      </w:tr>
      <w:tr>
        <w:trPr/>
        <w:tc>
          <w:tcPr>
            <w:tcW w:w="4955" w:type="dxa"/>
            <w:tcBorders>
              <w:top w:val="single" w:sz="12" w:space="0" w:color="000000"/>
            </w:tcBorders>
            <w:shd w:fill="CCEEFF" w:val="clear"/>
            <w:tcMar>
              <w:top w:w="28" w:type="dxa"/>
            </w:tcMar>
            <w:vAlign w:val="bottom"/>
          </w:tcPr>
          <w:p>
            <w:pPr>
              <w:pStyle w:val="TableContents"/>
              <w:spacing w:before="0" w:after="1"/>
              <w:ind w:left="0" w:right="0" w:hanging="0"/>
              <w:jc w:val="both"/>
              <w:rPr>
                <w:b/>
                <w:sz w:val="13"/>
              </w:rPr>
            </w:pPr>
            <w:r>
              <w:rPr>
                <w:b/>
                <w:sz w:val="13"/>
              </w:rPr>
              <w:t>ASSETS</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7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4955" w:type="dxa"/>
            <w:tcBorders/>
            <w:shd w:fill="FFFFFF" w:val="clear"/>
            <w:vAlign w:val="bottom"/>
          </w:tcPr>
          <w:p>
            <w:pPr>
              <w:pStyle w:val="TableContents"/>
              <w:spacing w:before="0" w:after="1"/>
              <w:ind w:left="0" w:right="0" w:hanging="0"/>
              <w:jc w:val="both"/>
              <w:rPr>
                <w:b/>
                <w:sz w:val="13"/>
              </w:rPr>
            </w:pPr>
            <w:r>
              <w:rPr>
                <w:b/>
                <w:sz w:val="13"/>
              </w:rPr>
              <w:t>Current Assets:</w:t>
            </w:r>
          </w:p>
        </w:tc>
        <w:tc>
          <w:tcPr>
            <w:tcW w:w="95" w:type="dxa"/>
            <w:tcBorders/>
            <w:shd w:fill="FFFFFF" w:val="clear"/>
            <w:vAlign w:val="bottom"/>
          </w:tcPr>
          <w:p>
            <w:pPr>
              <w:pStyle w:val="TableContents"/>
              <w:spacing w:before="0" w:after="1"/>
              <w:ind w:left="0" w:right="0" w:hanging="0"/>
              <w:jc w:val="both"/>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both"/>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120" w:right="0" w:hanging="0"/>
              <w:jc w:val="both"/>
              <w:rPr>
                <w:sz w:val="13"/>
              </w:rPr>
            </w:pPr>
            <w:r>
              <w:rPr>
                <w:sz w:val="13"/>
              </w:rPr>
              <w:t>Cash and cash equivalents</w:t>
            </w:r>
          </w:p>
        </w:tc>
        <w:tc>
          <w:tcPr>
            <w:tcW w:w="95" w:type="dxa"/>
            <w:tcBorders/>
            <w:shd w:fill="CCEEFF" w:val="clear"/>
            <w:vAlign w:val="bottom"/>
          </w:tcPr>
          <w:p>
            <w:pPr>
              <w:pStyle w:val="TableContents"/>
              <w:spacing w:before="0" w:after="1"/>
              <w:ind w:left="0" w:right="0" w:hanging="0"/>
              <w:jc w:val="right"/>
              <w:rPr>
                <w:sz w:val="13"/>
              </w:rPr>
            </w:pPr>
            <w:r>
              <w:rPr>
                <w:sz w:val="13"/>
              </w:rPr>
              <w:t>$</w:t>
            </w:r>
          </w:p>
        </w:tc>
        <w:tc>
          <w:tcPr>
            <w:tcW w:w="560" w:type="dxa"/>
            <w:tcBorders/>
            <w:shd w:fill="CCEEFF" w:val="clear"/>
            <w:vAlign w:val="bottom"/>
          </w:tcPr>
          <w:p>
            <w:pPr>
              <w:pStyle w:val="TableContents"/>
              <w:spacing w:before="0" w:after="283"/>
              <w:jc w:val="right"/>
              <w:rPr>
                <w:sz w:val="13"/>
              </w:rPr>
            </w:pPr>
            <w:r>
              <w:rPr>
                <w:sz w:val="13"/>
              </w:rPr>
              <w:t xml:space="preserve">38,531  </w:t>
            </w:r>
          </w:p>
        </w:tc>
        <w:tc>
          <w:tcPr>
            <w:tcW w:w="95" w:type="dxa"/>
            <w:tcBorders/>
            <w:shd w:fill="CCEEFF" w:val="clear"/>
            <w:vAlign w:val="bottom"/>
          </w:tcPr>
          <w:p>
            <w:pPr>
              <w:pStyle w:val="TableContents"/>
              <w:spacing w:before="0" w:after="1"/>
              <w:ind w:left="0" w:right="0" w:hanging="0"/>
              <w:jc w:val="right"/>
              <w:rPr>
                <w:sz w:val="13"/>
              </w:rPr>
            </w:pPr>
            <w:r>
              <w:rPr>
                <w:sz w:val="13"/>
              </w:rPr>
              <w:t>$</w:t>
            </w:r>
          </w:p>
        </w:tc>
        <w:tc>
          <w:tcPr>
            <w:tcW w:w="575" w:type="dxa"/>
            <w:tcBorders/>
            <w:shd w:fill="CCEEFF" w:val="clear"/>
            <w:vAlign w:val="bottom"/>
          </w:tcPr>
          <w:p>
            <w:pPr>
              <w:pStyle w:val="TableContents"/>
              <w:spacing w:before="0" w:after="283"/>
              <w:jc w:val="right"/>
              <w:rPr>
                <w:sz w:val="13"/>
              </w:rPr>
            </w:pPr>
            <w:r>
              <w:rPr>
                <w:sz w:val="13"/>
              </w:rPr>
              <w:t xml:space="preserve">31,597  </w:t>
            </w:r>
          </w:p>
        </w:tc>
      </w:tr>
      <w:tr>
        <w:trPr/>
        <w:tc>
          <w:tcPr>
            <w:tcW w:w="4955" w:type="dxa"/>
            <w:tcBorders/>
            <w:shd w:fill="FFFFFF" w:val="clear"/>
            <w:vAlign w:val="bottom"/>
          </w:tcPr>
          <w:p>
            <w:pPr>
              <w:pStyle w:val="TableContents"/>
              <w:spacing w:before="0" w:after="1"/>
              <w:ind w:left="120" w:right="0" w:hanging="0"/>
              <w:jc w:val="both"/>
              <w:rPr>
                <w:sz w:val="13"/>
              </w:rPr>
            </w:pPr>
            <w:r>
              <w:rPr>
                <w:sz w:val="13"/>
              </w:rPr>
              <w:t>Time deposits</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8,000 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right"/>
              <w:rPr>
                <w:sz w:val="13"/>
              </w:rPr>
            </w:pPr>
            <w:r>
              <w:rPr>
                <w:sz w:val="13"/>
              </w:rPr>
              <w:t>--</w:t>
            </w:r>
          </w:p>
        </w:tc>
      </w:tr>
      <w:tr>
        <w:trPr/>
        <w:tc>
          <w:tcPr>
            <w:tcW w:w="4955" w:type="dxa"/>
            <w:tcBorders/>
            <w:shd w:fill="CCEEFF" w:val="clear"/>
            <w:vAlign w:val="bottom"/>
          </w:tcPr>
          <w:p>
            <w:pPr>
              <w:pStyle w:val="TableContents"/>
              <w:spacing w:before="0" w:after="1"/>
              <w:ind w:left="120" w:right="0" w:hanging="0"/>
              <w:jc w:val="both"/>
              <w:rPr>
                <w:sz w:val="13"/>
              </w:rPr>
            </w:pPr>
            <w:r>
              <w:rPr>
                <w:sz w:val="13"/>
              </w:rPr>
              <w:t>Receivables</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8,514 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6,973  </w:t>
            </w:r>
          </w:p>
        </w:tc>
      </w:tr>
      <w:tr>
        <w:trPr/>
        <w:tc>
          <w:tcPr>
            <w:tcW w:w="4955" w:type="dxa"/>
            <w:tcBorders/>
            <w:shd w:fill="FFFFFF" w:val="clear"/>
            <w:vAlign w:val="bottom"/>
          </w:tcPr>
          <w:p>
            <w:pPr>
              <w:pStyle w:val="TableContents"/>
              <w:spacing w:before="0" w:after="1"/>
              <w:ind w:left="120" w:right="0" w:hanging="0"/>
              <w:jc w:val="both"/>
              <w:rPr>
                <w:sz w:val="13"/>
              </w:rPr>
            </w:pPr>
            <w:r>
              <w:rPr>
                <w:sz w:val="13"/>
              </w:rPr>
              <w:t>Inventory</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918 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1,035  </w:t>
            </w:r>
          </w:p>
        </w:tc>
      </w:tr>
      <w:tr>
        <w:trPr/>
        <w:tc>
          <w:tcPr>
            <w:tcW w:w="4955" w:type="dxa"/>
            <w:tcBorders/>
            <w:shd w:fill="CCEEFF" w:val="clear"/>
            <w:vAlign w:val="bottom"/>
          </w:tcPr>
          <w:p>
            <w:pPr>
              <w:pStyle w:val="TableContents"/>
              <w:spacing w:before="0" w:after="1"/>
              <w:ind w:left="120" w:right="0" w:hanging="0"/>
              <w:jc w:val="both"/>
              <w:rPr>
                <w:sz w:val="13"/>
              </w:rPr>
            </w:pPr>
            <w:r>
              <w:rPr>
                <w:sz w:val="13"/>
              </w:rPr>
              <w:t xml:space="preserve">Investment in marketable securities </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55 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2,874  </w:t>
            </w:r>
          </w:p>
        </w:tc>
      </w:tr>
      <w:tr>
        <w:trPr/>
        <w:tc>
          <w:tcPr>
            <w:tcW w:w="4955" w:type="dxa"/>
            <w:tcBorders/>
            <w:shd w:fill="FFFFFF" w:val="clear"/>
            <w:vAlign w:val="bottom"/>
          </w:tcPr>
          <w:p>
            <w:pPr>
              <w:pStyle w:val="TableContents"/>
              <w:spacing w:before="0" w:after="1"/>
              <w:ind w:left="120" w:right="0" w:hanging="0"/>
              <w:jc w:val="both"/>
              <w:rPr>
                <w:sz w:val="13"/>
              </w:rPr>
            </w:pPr>
            <w:r>
              <w:rPr>
                <w:sz w:val="13"/>
              </w:rPr>
              <w:t>Restricted cash</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2,465 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2,379  </w:t>
            </w:r>
          </w:p>
        </w:tc>
      </w:tr>
      <w:tr>
        <w:trPr/>
        <w:tc>
          <w:tcPr>
            <w:tcW w:w="4955" w:type="dxa"/>
            <w:tcBorders/>
            <w:shd w:fill="CCEEFF" w:val="clear"/>
            <w:vAlign w:val="bottom"/>
          </w:tcPr>
          <w:p>
            <w:pPr>
              <w:pStyle w:val="TableContents"/>
              <w:spacing w:before="0" w:after="1"/>
              <w:ind w:left="120" w:right="0" w:hanging="0"/>
              <w:jc w:val="both"/>
              <w:rPr>
                <w:sz w:val="13"/>
              </w:rPr>
            </w:pPr>
            <w:r>
              <w:rPr>
                <w:sz w:val="13"/>
              </w:rPr>
              <w:t>Deferred tax asset</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3,659 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1,985  </w:t>
            </w:r>
          </w:p>
        </w:tc>
      </w:tr>
      <w:tr>
        <w:trPr/>
        <w:tc>
          <w:tcPr>
            <w:tcW w:w="4955" w:type="dxa"/>
            <w:tcBorders/>
            <w:shd w:fill="FFFFFF" w:val="clear"/>
            <w:vAlign w:val="bottom"/>
          </w:tcPr>
          <w:p>
            <w:pPr>
              <w:pStyle w:val="TableContents"/>
              <w:spacing w:before="0" w:after="1"/>
              <w:ind w:left="120" w:right="0" w:hanging="0"/>
              <w:jc w:val="both"/>
              <w:rPr>
                <w:sz w:val="13"/>
              </w:rPr>
            </w:pPr>
            <w:r>
              <w:rPr>
                <w:sz w:val="13"/>
              </w:rPr>
              <w:t>Prepaid and other current assets</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3,576 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3,781  </w:t>
            </w:r>
          </w:p>
        </w:tc>
      </w:tr>
      <w:tr>
        <w:trPr/>
        <w:tc>
          <w:tcPr>
            <w:tcW w:w="4955"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3"/>
              </w:rPr>
            </w:pPr>
            <w:r>
              <w:rPr>
                <w:sz w:val="13"/>
              </w:rPr>
              <w:t>Assets held for sale</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60"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3"/>
              </w:rPr>
            </w:pPr>
            <w:r>
              <w:rPr>
                <w:sz w:val="13"/>
              </w:rPr>
              <w: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14,495  </w:t>
            </w:r>
          </w:p>
        </w:tc>
      </w:tr>
      <w:tr>
        <w:trPr/>
        <w:tc>
          <w:tcPr>
            <w:tcW w:w="4955" w:type="dxa"/>
            <w:tcBorders>
              <w:top w:val="single" w:sz="8" w:space="0" w:color="000000"/>
            </w:tcBorders>
            <w:shd w:fill="FFFFFF" w:val="clear"/>
            <w:tcMar>
              <w:top w:w="28" w:type="dxa"/>
            </w:tcMar>
            <w:vAlign w:val="bottom"/>
          </w:tcPr>
          <w:p>
            <w:pPr>
              <w:pStyle w:val="TableContents"/>
              <w:spacing w:before="0" w:after="1"/>
              <w:ind w:left="0" w:right="0" w:hanging="0"/>
              <w:jc w:val="both"/>
              <w:rPr>
                <w:b/>
                <w:sz w:val="13"/>
              </w:rPr>
            </w:pPr>
            <w:r>
              <w:rPr>
                <w:b/>
                <w:sz w:val="13"/>
              </w:rPr>
              <w:t>Total current assets</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560" w:type="dxa"/>
            <w:tcBorders>
              <w:top w:val="single" w:sz="8" w:space="0" w:color="000000"/>
            </w:tcBorders>
            <w:shd w:fill="FFFFFF" w:val="clear"/>
            <w:tcMar>
              <w:top w:w="28" w:type="dxa"/>
            </w:tcMar>
            <w:vAlign w:val="bottom"/>
          </w:tcPr>
          <w:p>
            <w:pPr>
              <w:pStyle w:val="TableContents"/>
              <w:spacing w:before="0" w:after="283"/>
              <w:jc w:val="right"/>
              <w:rPr>
                <w:sz w:val="13"/>
              </w:rPr>
            </w:pPr>
            <w:r>
              <w:rPr>
                <w:sz w:val="13"/>
              </w:rPr>
              <w:t xml:space="preserve">65,718 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FFFFFF" w:val="clear"/>
            <w:tcMar>
              <w:top w:w="28" w:type="dxa"/>
            </w:tcMar>
            <w:vAlign w:val="bottom"/>
          </w:tcPr>
          <w:p>
            <w:pPr>
              <w:pStyle w:val="TableContents"/>
              <w:spacing w:before="0" w:after="283"/>
              <w:jc w:val="right"/>
              <w:rPr>
                <w:sz w:val="13"/>
              </w:rPr>
            </w:pPr>
            <w:r>
              <w:rPr>
                <w:sz w:val="13"/>
              </w:rPr>
              <w:t xml:space="preserve">65,119  </w:t>
            </w:r>
          </w:p>
        </w:tc>
      </w:tr>
      <w:tr>
        <w:trPr/>
        <w:tc>
          <w:tcPr>
            <w:tcW w:w="4955"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1"/>
              <w:ind w:left="0" w:right="0" w:hanging="0"/>
              <w:jc w:val="both"/>
              <w:rPr/>
            </w:pPr>
            <w:r>
              <w:rPr/>
              <w:t> </w:t>
            </w:r>
          </w:p>
        </w:tc>
      </w:tr>
      <w:tr>
        <w:trPr/>
        <w:tc>
          <w:tcPr>
            <w:tcW w:w="4955" w:type="dxa"/>
            <w:tcBorders/>
            <w:shd w:fill="FFFFFF" w:val="clear"/>
            <w:vAlign w:val="bottom"/>
          </w:tcPr>
          <w:p>
            <w:pPr>
              <w:pStyle w:val="TableContents"/>
              <w:spacing w:before="0" w:after="1"/>
              <w:ind w:left="0" w:right="0" w:hanging="0"/>
              <w:jc w:val="both"/>
              <w:rPr>
                <w:sz w:val="13"/>
              </w:rPr>
            </w:pPr>
            <w:r>
              <w:rPr>
                <w:sz w:val="13"/>
              </w:rPr>
              <w:t>Operating property, net</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202,778 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203,780  </w:t>
            </w:r>
          </w:p>
        </w:tc>
      </w:tr>
      <w:tr>
        <w:trPr/>
        <w:tc>
          <w:tcPr>
            <w:tcW w:w="4955" w:type="dxa"/>
            <w:tcBorders/>
            <w:shd w:fill="CCEEFF" w:val="clear"/>
            <w:vAlign w:val="bottom"/>
          </w:tcPr>
          <w:p>
            <w:pPr>
              <w:pStyle w:val="TableContents"/>
              <w:spacing w:before="0" w:after="1"/>
              <w:ind w:left="0" w:right="0" w:hanging="0"/>
              <w:jc w:val="both"/>
              <w:rPr>
                <w:sz w:val="13"/>
              </w:rPr>
            </w:pPr>
            <w:r>
              <w:rPr>
                <w:sz w:val="13"/>
              </w:rPr>
              <w:t>Investment and development property, net</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94,922 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90,699  </w:t>
            </w:r>
          </w:p>
        </w:tc>
      </w:tr>
      <w:tr>
        <w:trPr/>
        <w:tc>
          <w:tcPr>
            <w:tcW w:w="4955" w:type="dxa"/>
            <w:tcBorders/>
            <w:shd w:fill="FFFFFF" w:val="clear"/>
            <w:vAlign w:val="bottom"/>
          </w:tcPr>
          <w:p>
            <w:pPr>
              <w:pStyle w:val="TableContents"/>
              <w:spacing w:before="0" w:after="1"/>
              <w:ind w:left="0" w:right="0" w:hanging="0"/>
              <w:jc w:val="both"/>
              <w:rPr>
                <w:sz w:val="13"/>
              </w:rPr>
            </w:pPr>
            <w:r>
              <w:rPr>
                <w:sz w:val="13"/>
              </w:rPr>
              <w:t>Investment in unconsolidated joint ventures and entities</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7,715 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7,839  </w:t>
            </w:r>
          </w:p>
        </w:tc>
      </w:tr>
      <w:tr>
        <w:trPr/>
        <w:tc>
          <w:tcPr>
            <w:tcW w:w="4955" w:type="dxa"/>
            <w:tcBorders/>
            <w:shd w:fill="CCEEFF" w:val="clear"/>
            <w:vAlign w:val="bottom"/>
          </w:tcPr>
          <w:p>
            <w:pPr>
              <w:pStyle w:val="TableContents"/>
              <w:spacing w:before="0" w:after="1"/>
              <w:ind w:left="0" w:right="0" w:hanging="0"/>
              <w:jc w:val="both"/>
              <w:rPr>
                <w:sz w:val="13"/>
              </w:rPr>
            </w:pPr>
            <w:r>
              <w:rPr>
                <w:sz w:val="13"/>
              </w:rPr>
              <w:t>Investment in Reading International Trust I</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838 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838  </w:t>
            </w:r>
          </w:p>
        </w:tc>
      </w:tr>
      <w:tr>
        <w:trPr/>
        <w:tc>
          <w:tcPr>
            <w:tcW w:w="4955" w:type="dxa"/>
            <w:tcBorders/>
            <w:shd w:fill="FFFFFF" w:val="clear"/>
            <w:vAlign w:val="bottom"/>
          </w:tcPr>
          <w:p>
            <w:pPr>
              <w:pStyle w:val="TableContents"/>
              <w:spacing w:before="0" w:after="1"/>
              <w:ind w:left="0" w:right="0" w:hanging="0"/>
              <w:jc w:val="both"/>
              <w:rPr>
                <w:sz w:val="13"/>
              </w:rPr>
            </w:pPr>
            <w:r>
              <w:rPr>
                <w:sz w:val="13"/>
              </w:rPr>
              <w:t>Goodwill</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22,898 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22,277  </w:t>
            </w:r>
          </w:p>
        </w:tc>
      </w:tr>
      <w:tr>
        <w:trPr/>
        <w:tc>
          <w:tcPr>
            <w:tcW w:w="4955" w:type="dxa"/>
            <w:tcBorders/>
            <w:shd w:fill="CCEEFF" w:val="clear"/>
            <w:vAlign w:val="bottom"/>
          </w:tcPr>
          <w:p>
            <w:pPr>
              <w:pStyle w:val="TableContents"/>
              <w:spacing w:before="0" w:after="1"/>
              <w:ind w:left="0" w:right="0" w:hanging="0"/>
              <w:jc w:val="both"/>
              <w:rPr>
                <w:sz w:val="13"/>
              </w:rPr>
            </w:pPr>
            <w:r>
              <w:rPr>
                <w:sz w:val="13"/>
              </w:rPr>
              <w:t>Intangible assets, net</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15,661 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17,999  </w:t>
            </w:r>
          </w:p>
        </w:tc>
      </w:tr>
      <w:tr>
        <w:trPr/>
        <w:tc>
          <w:tcPr>
            <w:tcW w:w="4955" w:type="dxa"/>
            <w:tcBorders/>
            <w:shd w:fill="FFFFFF" w:val="clear"/>
            <w:vAlign w:val="bottom"/>
          </w:tcPr>
          <w:p>
            <w:pPr>
              <w:pStyle w:val="TableContents"/>
              <w:spacing w:before="0" w:after="1"/>
              <w:ind w:left="0" w:right="0" w:hanging="0"/>
              <w:jc w:val="both"/>
              <w:rPr>
                <w:sz w:val="13"/>
              </w:rPr>
            </w:pPr>
            <w:r>
              <w:rPr>
                <w:sz w:val="13"/>
              </w:rPr>
              <w:t>Deferred tax asset, net</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8,989 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12,399  </w:t>
            </w:r>
          </w:p>
        </w:tc>
      </w:tr>
      <w:tr>
        <w:trPr/>
        <w:tc>
          <w:tcPr>
            <w:tcW w:w="495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3"/>
              </w:rPr>
            </w:pPr>
            <w:r>
              <w:rPr>
                <w:sz w:val="13"/>
              </w:rPr>
              <w:t>Other assets</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60"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9,069 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9,814  </w:t>
            </w:r>
          </w:p>
        </w:tc>
      </w:tr>
      <w:tr>
        <w:trPr/>
        <w:tc>
          <w:tcPr>
            <w:tcW w:w="495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b/>
                <w:sz w:val="13"/>
              </w:rPr>
            </w:pPr>
            <w:r>
              <w:rPr>
                <w:b/>
                <w:sz w:val="13"/>
              </w:rPr>
              <w:t>Total assets</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3"/>
              </w:rPr>
            </w:pPr>
            <w:r>
              <w:rPr>
                <w:sz w:val="13"/>
              </w:rPr>
              <w:t>$</w:t>
            </w:r>
          </w:p>
        </w:tc>
        <w:tc>
          <w:tcPr>
            <w:tcW w:w="5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428,588  </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3"/>
              </w:rPr>
            </w:pPr>
            <w:r>
              <w:rPr>
                <w:sz w:val="13"/>
              </w:rPr>
              <w:t>$</w:t>
            </w:r>
          </w:p>
        </w:tc>
        <w:tc>
          <w:tcPr>
            <w:tcW w:w="57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430,764  </w:t>
            </w:r>
          </w:p>
        </w:tc>
      </w:tr>
      <w:tr>
        <w:trPr/>
        <w:tc>
          <w:tcPr>
            <w:tcW w:w="495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5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4955" w:type="dxa"/>
            <w:tcBorders/>
            <w:shd w:fill="FFFFFF" w:val="clear"/>
            <w:vAlign w:val="bottom"/>
          </w:tcPr>
          <w:p>
            <w:pPr>
              <w:pStyle w:val="TableContents"/>
              <w:spacing w:before="0" w:after="1"/>
              <w:ind w:left="0" w:right="0" w:hanging="0"/>
              <w:jc w:val="both"/>
              <w:rPr>
                <w:b/>
                <w:sz w:val="13"/>
              </w:rPr>
            </w:pPr>
            <w:r>
              <w:rPr>
                <w:b/>
                <w:sz w:val="13"/>
              </w:rPr>
              <w:t>LIABILITIES AND STOCKHOLDERS' EQUITY</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0" w:right="0" w:hanging="0"/>
              <w:jc w:val="both"/>
              <w:rPr>
                <w:b/>
                <w:sz w:val="13"/>
              </w:rPr>
            </w:pPr>
            <w:r>
              <w:rPr>
                <w:b/>
                <w:sz w:val="13"/>
              </w:rPr>
              <w:t>Current Liabilities:</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1"/>
              <w:ind w:left="0" w:right="0" w:hanging="0"/>
              <w:jc w:val="both"/>
              <w:rPr/>
            </w:pPr>
            <w:r>
              <w:rPr/>
              <w:t> </w:t>
            </w:r>
          </w:p>
        </w:tc>
      </w:tr>
      <w:tr>
        <w:trPr/>
        <w:tc>
          <w:tcPr>
            <w:tcW w:w="4955" w:type="dxa"/>
            <w:tcBorders/>
            <w:shd w:fill="FFFFFF" w:val="clear"/>
            <w:vAlign w:val="bottom"/>
          </w:tcPr>
          <w:p>
            <w:pPr>
              <w:pStyle w:val="TableContents"/>
              <w:spacing w:before="0" w:after="1"/>
              <w:ind w:left="120" w:right="0" w:hanging="0"/>
              <w:jc w:val="both"/>
              <w:rPr>
                <w:sz w:val="13"/>
              </w:rPr>
            </w:pPr>
            <w:r>
              <w:rPr>
                <w:sz w:val="13"/>
              </w:rPr>
              <w:t>Accounts payable and accrued liabilities</w:t>
            </w:r>
          </w:p>
        </w:tc>
        <w:tc>
          <w:tcPr>
            <w:tcW w:w="95" w:type="dxa"/>
            <w:tcBorders/>
            <w:shd w:fill="FFFFFF" w:val="clear"/>
            <w:vAlign w:val="bottom"/>
          </w:tcPr>
          <w:p>
            <w:pPr>
              <w:pStyle w:val="TableContents"/>
              <w:spacing w:before="0" w:after="1"/>
              <w:ind w:left="0" w:right="0" w:hanging="0"/>
              <w:jc w:val="right"/>
              <w:rPr>
                <w:sz w:val="13"/>
              </w:rPr>
            </w:pPr>
            <w:r>
              <w:rPr>
                <w:sz w:val="13"/>
              </w:rPr>
              <w:t>$</w:t>
            </w:r>
          </w:p>
        </w:tc>
        <w:tc>
          <w:tcPr>
            <w:tcW w:w="560" w:type="dxa"/>
            <w:tcBorders/>
            <w:shd w:fill="FFFFFF" w:val="clear"/>
            <w:vAlign w:val="bottom"/>
          </w:tcPr>
          <w:p>
            <w:pPr>
              <w:pStyle w:val="TableContents"/>
              <w:spacing w:before="0" w:after="283"/>
              <w:jc w:val="right"/>
              <w:rPr>
                <w:sz w:val="13"/>
              </w:rPr>
            </w:pPr>
            <w:r>
              <w:rPr>
                <w:sz w:val="13"/>
              </w:rPr>
              <w:t xml:space="preserve">18,909  </w:t>
            </w:r>
          </w:p>
        </w:tc>
        <w:tc>
          <w:tcPr>
            <w:tcW w:w="95" w:type="dxa"/>
            <w:tcBorders/>
            <w:shd w:fill="FFFFFF" w:val="clear"/>
            <w:vAlign w:val="bottom"/>
          </w:tcPr>
          <w:p>
            <w:pPr>
              <w:pStyle w:val="TableContents"/>
              <w:spacing w:before="0" w:after="1"/>
              <w:ind w:left="0" w:right="0" w:hanging="0"/>
              <w:jc w:val="right"/>
              <w:rPr>
                <w:sz w:val="13"/>
              </w:rPr>
            </w:pPr>
            <w:r>
              <w:rPr>
                <w:sz w:val="13"/>
              </w:rPr>
              <w:t>$</w:t>
            </w:r>
          </w:p>
        </w:tc>
        <w:tc>
          <w:tcPr>
            <w:tcW w:w="575" w:type="dxa"/>
            <w:tcBorders/>
            <w:shd w:fill="FFFFFF" w:val="clear"/>
            <w:vAlign w:val="bottom"/>
          </w:tcPr>
          <w:p>
            <w:pPr>
              <w:pStyle w:val="TableContents"/>
              <w:spacing w:before="0" w:after="283"/>
              <w:jc w:val="right"/>
              <w:rPr>
                <w:sz w:val="13"/>
              </w:rPr>
            </w:pPr>
            <w:r>
              <w:rPr>
                <w:sz w:val="13"/>
              </w:rPr>
              <w:t xml:space="preserve">16,905  </w:t>
            </w:r>
          </w:p>
        </w:tc>
      </w:tr>
      <w:tr>
        <w:trPr/>
        <w:tc>
          <w:tcPr>
            <w:tcW w:w="4955" w:type="dxa"/>
            <w:tcBorders/>
            <w:shd w:fill="CCEEFF" w:val="clear"/>
            <w:vAlign w:val="bottom"/>
          </w:tcPr>
          <w:p>
            <w:pPr>
              <w:pStyle w:val="TableContents"/>
              <w:spacing w:before="0" w:after="1"/>
              <w:ind w:left="120" w:right="0" w:hanging="0"/>
              <w:jc w:val="both"/>
              <w:rPr>
                <w:sz w:val="13"/>
              </w:rPr>
            </w:pPr>
            <w:r>
              <w:rPr>
                <w:sz w:val="13"/>
              </w:rPr>
              <w:t>Film rent payable</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6,657 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6,162  </w:t>
            </w:r>
          </w:p>
        </w:tc>
      </w:tr>
      <w:tr>
        <w:trPr/>
        <w:tc>
          <w:tcPr>
            <w:tcW w:w="4955" w:type="dxa"/>
            <w:tcBorders/>
            <w:shd w:fill="FFFFFF" w:val="clear"/>
            <w:vAlign w:val="bottom"/>
          </w:tcPr>
          <w:p>
            <w:pPr>
              <w:pStyle w:val="TableContents"/>
              <w:spacing w:before="0" w:after="1"/>
              <w:ind w:left="120" w:right="0" w:hanging="0"/>
              <w:jc w:val="both"/>
              <w:rPr>
                <w:sz w:val="13"/>
              </w:rPr>
            </w:pPr>
            <w:r>
              <w:rPr>
                <w:sz w:val="13"/>
              </w:rPr>
              <w:t>Notes payable – current portion</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19,714 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29,630  </w:t>
            </w:r>
          </w:p>
        </w:tc>
      </w:tr>
      <w:tr>
        <w:trPr/>
        <w:tc>
          <w:tcPr>
            <w:tcW w:w="4955" w:type="dxa"/>
            <w:tcBorders/>
            <w:shd w:fill="CCEEFF" w:val="clear"/>
            <w:vAlign w:val="bottom"/>
          </w:tcPr>
          <w:p>
            <w:pPr>
              <w:pStyle w:val="TableContents"/>
              <w:spacing w:before="0" w:after="1"/>
              <w:ind w:left="120" w:right="0" w:hanging="0"/>
              <w:jc w:val="both"/>
              <w:rPr>
                <w:sz w:val="13"/>
              </w:rPr>
            </w:pPr>
            <w:r>
              <w:rPr>
                <w:sz w:val="13"/>
              </w:rPr>
              <w:t>Notes payable to related party – current portion</w:t>
            </w:r>
          </w:p>
        </w:tc>
        <w:tc>
          <w:tcPr>
            <w:tcW w:w="95" w:type="dxa"/>
            <w:tcBorders/>
            <w:shd w:fill="CCEEFF" w:val="clear"/>
            <w:vAlign w:val="bottom"/>
          </w:tcPr>
          <w:p>
            <w:pPr>
              <w:pStyle w:val="TableContents"/>
              <w:spacing w:before="0" w:after="1"/>
              <w:ind w:left="0" w:right="0" w:hanging="0"/>
              <w:jc w:val="both"/>
              <w:rPr/>
            </w:pPr>
            <w:r>
              <w:rPr/>
              <w:t> </w:t>
            </w:r>
          </w:p>
        </w:tc>
        <w:tc>
          <w:tcPr>
            <w:tcW w:w="560" w:type="dxa"/>
            <w:tcBorders/>
            <w:shd w:fill="CCEEFF" w:val="clear"/>
            <w:vAlign w:val="bottom"/>
          </w:tcPr>
          <w:p>
            <w:pPr>
              <w:pStyle w:val="TableContents"/>
              <w:spacing w:before="0" w:after="283"/>
              <w:jc w:val="right"/>
              <w:rPr>
                <w:sz w:val="13"/>
              </w:rPr>
            </w:pPr>
            <w:r>
              <w:rPr>
                <w:sz w:val="13"/>
              </w:rPr>
              <w:t xml:space="preserve">9,000  </w:t>
            </w:r>
          </w:p>
        </w:tc>
        <w:tc>
          <w:tcPr>
            <w:tcW w:w="95" w:type="dxa"/>
            <w:tcBorders/>
            <w:shd w:fill="CCEEFF" w:val="clear"/>
            <w:vAlign w:val="bottom"/>
          </w:tcPr>
          <w:p>
            <w:pPr>
              <w:pStyle w:val="TableContents"/>
              <w:spacing w:before="0" w:after="1"/>
              <w:ind w:left="0" w:right="0" w:hanging="0"/>
              <w:jc w:val="both"/>
              <w:rPr/>
            </w:pPr>
            <w:r>
              <w:rPr/>
              <w:t> </w:t>
            </w:r>
          </w:p>
        </w:tc>
        <w:tc>
          <w:tcPr>
            <w:tcW w:w="575" w:type="dxa"/>
            <w:tcBorders/>
            <w:shd w:fill="CCEEFF" w:val="clear"/>
            <w:vAlign w:val="bottom"/>
          </w:tcPr>
          <w:p>
            <w:pPr>
              <w:pStyle w:val="TableContents"/>
              <w:spacing w:before="0" w:after="1"/>
              <w:ind w:left="0" w:right="0" w:hanging="0"/>
              <w:jc w:val="right"/>
              <w:rPr>
                <w:sz w:val="13"/>
              </w:rPr>
            </w:pPr>
            <w:r>
              <w:rPr>
                <w:sz w:val="13"/>
              </w:rPr>
              <w:t>--</w:t>
            </w:r>
          </w:p>
        </w:tc>
      </w:tr>
      <w:tr>
        <w:trPr/>
        <w:tc>
          <w:tcPr>
            <w:tcW w:w="4955" w:type="dxa"/>
            <w:tcBorders/>
            <w:shd w:fill="FFFFFF" w:val="clear"/>
            <w:vAlign w:val="bottom"/>
          </w:tcPr>
          <w:p>
            <w:pPr>
              <w:pStyle w:val="TableContents"/>
              <w:spacing w:before="0" w:after="1"/>
              <w:ind w:left="120" w:right="0" w:hanging="0"/>
              <w:jc w:val="both"/>
              <w:rPr>
                <w:sz w:val="13"/>
              </w:rPr>
            </w:pPr>
            <w:r>
              <w:rPr>
                <w:sz w:val="13"/>
              </w:rPr>
              <w:t>Taxes payable</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15,234 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14,858  </w:t>
            </w:r>
          </w:p>
        </w:tc>
      </w:tr>
      <w:tr>
        <w:trPr/>
        <w:tc>
          <w:tcPr>
            <w:tcW w:w="4955" w:type="dxa"/>
            <w:tcBorders/>
            <w:shd w:fill="CCEEFF" w:val="clear"/>
            <w:vAlign w:val="bottom"/>
          </w:tcPr>
          <w:p>
            <w:pPr>
              <w:pStyle w:val="TableContents"/>
              <w:spacing w:before="0" w:after="1"/>
              <w:ind w:left="120" w:right="0" w:hanging="0"/>
              <w:jc w:val="both"/>
              <w:rPr>
                <w:sz w:val="13"/>
              </w:rPr>
            </w:pPr>
            <w:r>
              <w:rPr>
                <w:sz w:val="13"/>
              </w:rPr>
              <w:t>Deferred current revenue</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11,587 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10,271  </w:t>
            </w:r>
          </w:p>
        </w:tc>
      </w:tr>
      <w:tr>
        <w:trPr/>
        <w:tc>
          <w:tcPr>
            <w:tcW w:w="495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3"/>
              </w:rPr>
            </w:pPr>
            <w:r>
              <w:rPr>
                <w:sz w:val="13"/>
              </w:rPr>
              <w:t>Other current liabilities</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sz w:val="13"/>
              </w:rPr>
            </w:pPr>
            <w:r>
              <w:rPr>
                <w:sz w:val="13"/>
              </w:rPr>
              <w:t xml:space="preserve">6,032 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3"/>
              </w:rPr>
            </w:pPr>
            <w:r>
              <w:rPr>
                <w:sz w:val="13"/>
              </w:rPr>
              <w:t xml:space="preserve">137  </w:t>
            </w:r>
          </w:p>
        </w:tc>
      </w:tr>
      <w:tr>
        <w:trPr/>
        <w:tc>
          <w:tcPr>
            <w:tcW w:w="4955" w:type="dxa"/>
            <w:tcBorders>
              <w:top w:val="single" w:sz="8" w:space="0" w:color="000000"/>
            </w:tcBorders>
            <w:shd w:fill="CCEEFF" w:val="clear"/>
            <w:tcMar>
              <w:top w:w="28" w:type="dxa"/>
            </w:tcMar>
            <w:vAlign w:val="bottom"/>
          </w:tcPr>
          <w:p>
            <w:pPr>
              <w:pStyle w:val="TableContents"/>
              <w:spacing w:before="0" w:after="1"/>
              <w:ind w:left="0" w:right="0" w:hanging="0"/>
              <w:jc w:val="both"/>
              <w:rPr>
                <w:b/>
                <w:sz w:val="13"/>
              </w:rPr>
            </w:pPr>
            <w:r>
              <w:rPr>
                <w:b/>
                <w:sz w:val="13"/>
              </w:rPr>
              <w:t>Total current liabilities</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60" w:type="dxa"/>
            <w:tcBorders>
              <w:top w:val="single" w:sz="8" w:space="0" w:color="000000"/>
            </w:tcBorders>
            <w:shd w:fill="CCEEFF" w:val="clear"/>
            <w:tcMar>
              <w:top w:w="28" w:type="dxa"/>
            </w:tcMar>
            <w:vAlign w:val="bottom"/>
          </w:tcPr>
          <w:p>
            <w:pPr>
              <w:pStyle w:val="TableContents"/>
              <w:spacing w:before="0" w:after="283"/>
              <w:jc w:val="right"/>
              <w:rPr>
                <w:sz w:val="13"/>
              </w:rPr>
            </w:pPr>
            <w:r>
              <w:rPr>
                <w:sz w:val="13"/>
              </w:rPr>
              <w:t xml:space="preserve">87,133 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3"/>
              </w:rPr>
            </w:pPr>
            <w:r>
              <w:rPr>
                <w:sz w:val="13"/>
              </w:rPr>
              <w:t xml:space="preserve">77,963  </w:t>
            </w:r>
          </w:p>
        </w:tc>
      </w:tr>
      <w:tr>
        <w:trPr/>
        <w:tc>
          <w:tcPr>
            <w:tcW w:w="4955"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0" w:right="0" w:hanging="0"/>
              <w:jc w:val="both"/>
              <w:rPr>
                <w:sz w:val="13"/>
              </w:rPr>
            </w:pPr>
            <w:r>
              <w:rPr>
                <w:sz w:val="13"/>
              </w:rPr>
              <w:t>Notes payable – long-term portion</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139,970 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143,071  </w:t>
            </w:r>
          </w:p>
        </w:tc>
      </w:tr>
      <w:tr>
        <w:trPr/>
        <w:tc>
          <w:tcPr>
            <w:tcW w:w="4955" w:type="dxa"/>
            <w:tcBorders/>
            <w:shd w:fill="FFFFFF" w:val="clear"/>
            <w:vAlign w:val="bottom"/>
          </w:tcPr>
          <w:p>
            <w:pPr>
              <w:pStyle w:val="TableContents"/>
              <w:spacing w:before="0" w:after="1"/>
              <w:ind w:left="0" w:right="0" w:hanging="0"/>
              <w:jc w:val="both"/>
              <w:rPr>
                <w:sz w:val="13"/>
              </w:rPr>
            </w:pPr>
            <w:r>
              <w:rPr>
                <w:sz w:val="13"/>
              </w:rPr>
              <w:t>Notes payable to related party – long-term portion</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right"/>
              <w:rPr>
                <w:sz w:val="13"/>
              </w:rPr>
            </w:pPr>
            <w:r>
              <w:rPr>
                <w:sz w:val="13"/>
              </w:rPr>
              <w:t>--</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9,000  </w:t>
            </w:r>
          </w:p>
        </w:tc>
      </w:tr>
      <w:tr>
        <w:trPr/>
        <w:tc>
          <w:tcPr>
            <w:tcW w:w="4955" w:type="dxa"/>
            <w:tcBorders/>
            <w:shd w:fill="CCEEFF" w:val="clear"/>
            <w:vAlign w:val="bottom"/>
          </w:tcPr>
          <w:p>
            <w:pPr>
              <w:pStyle w:val="TableContents"/>
              <w:spacing w:before="0" w:after="1"/>
              <w:ind w:left="0" w:right="0" w:hanging="0"/>
              <w:jc w:val="both"/>
              <w:rPr>
                <w:sz w:val="13"/>
              </w:rPr>
            </w:pPr>
            <w:r>
              <w:rPr>
                <w:sz w:val="13"/>
              </w:rPr>
              <w:t>Subordinated debt</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27,913 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27,913  </w:t>
            </w:r>
          </w:p>
        </w:tc>
      </w:tr>
      <w:tr>
        <w:trPr/>
        <w:tc>
          <w:tcPr>
            <w:tcW w:w="4955" w:type="dxa"/>
            <w:tcBorders/>
            <w:shd w:fill="FFFFFF" w:val="clear"/>
            <w:vAlign w:val="bottom"/>
          </w:tcPr>
          <w:p>
            <w:pPr>
              <w:pStyle w:val="TableContents"/>
              <w:spacing w:before="0" w:after="1"/>
              <w:ind w:left="0" w:right="0" w:hanging="0"/>
              <w:jc w:val="both"/>
              <w:rPr>
                <w:sz w:val="13"/>
              </w:rPr>
            </w:pPr>
            <w:r>
              <w:rPr>
                <w:sz w:val="13"/>
              </w:rPr>
              <w:t>Noncurrent tax liabilities</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8,859 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12,191  </w:t>
            </w:r>
          </w:p>
        </w:tc>
      </w:tr>
      <w:tr>
        <w:trPr/>
        <w:tc>
          <w:tcPr>
            <w:tcW w:w="495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3"/>
              </w:rPr>
            </w:pPr>
            <w:r>
              <w:rPr>
                <w:sz w:val="13"/>
              </w:rPr>
              <w:t>Other liabilities</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60"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33,759 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35,639  </w:t>
            </w:r>
          </w:p>
        </w:tc>
      </w:tr>
      <w:tr>
        <w:trPr/>
        <w:tc>
          <w:tcPr>
            <w:tcW w:w="495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b/>
                <w:sz w:val="13"/>
              </w:rPr>
            </w:pPr>
            <w:r>
              <w:rPr>
                <w:b/>
                <w:sz w:val="13"/>
              </w:rPr>
              <w:t>Total liabilities</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56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297,634 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57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305,777  </w:t>
            </w:r>
          </w:p>
        </w:tc>
      </w:tr>
      <w:tr>
        <w:trPr/>
        <w:tc>
          <w:tcPr>
            <w:tcW w:w="4955" w:type="dxa"/>
            <w:tcBorders>
              <w:top w:val="single" w:sz="8" w:space="0" w:color="000000"/>
            </w:tcBorders>
            <w:shd w:fill="CCEEFF" w:val="clear"/>
            <w:tcMar>
              <w:top w:w="28" w:type="dxa"/>
            </w:tcMar>
            <w:vAlign w:val="bottom"/>
          </w:tcPr>
          <w:p>
            <w:pPr>
              <w:pStyle w:val="TableContents"/>
              <w:spacing w:before="0" w:after="1"/>
              <w:ind w:left="0" w:right="0" w:hanging="0"/>
              <w:jc w:val="both"/>
              <w:rPr>
                <w:b/>
                <w:sz w:val="13"/>
              </w:rPr>
            </w:pPr>
            <w:r>
              <w:rPr>
                <w:b/>
                <w:sz w:val="13"/>
              </w:rPr>
              <w:t>Commitments and contingencies (Note 19)</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4955" w:type="dxa"/>
            <w:tcBorders/>
            <w:shd w:fill="FFFFFF" w:val="clear"/>
            <w:vAlign w:val="bottom"/>
          </w:tcPr>
          <w:p>
            <w:pPr>
              <w:pStyle w:val="TableContents"/>
              <w:spacing w:before="0" w:after="1"/>
              <w:ind w:left="0" w:right="0" w:hanging="0"/>
              <w:jc w:val="both"/>
              <w:rPr>
                <w:b/>
                <w:sz w:val="13"/>
              </w:rPr>
            </w:pPr>
            <w:r>
              <w:rPr>
                <w:b/>
                <w:sz w:val="13"/>
              </w:rPr>
              <w:t>Stockholders’ equity:</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0" w:right="0" w:hanging="0"/>
              <w:jc w:val="both"/>
              <w:rPr>
                <w:sz w:val="13"/>
              </w:rPr>
            </w:pPr>
            <w:r>
              <w:rPr>
                <w:sz w:val="13"/>
              </w:rPr>
              <w:t>Class A non-voting common stock, par value $0.01, 100,000,000 shares authorized,</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1"/>
              <w:ind w:left="0" w:right="0" w:hanging="0"/>
              <w:jc w:val="both"/>
              <w:rPr/>
            </w:pPr>
            <w:r>
              <w:rPr/>
              <w:t> </w:t>
            </w:r>
          </w:p>
        </w:tc>
      </w:tr>
      <w:tr>
        <w:trPr/>
        <w:tc>
          <w:tcPr>
            <w:tcW w:w="4955" w:type="dxa"/>
            <w:tcBorders/>
            <w:shd w:fill="FFFFFF" w:val="clear"/>
            <w:vAlign w:val="bottom"/>
          </w:tcPr>
          <w:p>
            <w:pPr>
              <w:pStyle w:val="TableContents"/>
              <w:spacing w:before="0" w:after="1"/>
              <w:ind w:left="120" w:right="0" w:hanging="0"/>
              <w:jc w:val="both"/>
              <w:rPr>
                <w:sz w:val="13"/>
              </w:rPr>
            </w:pPr>
            <w:r>
              <w:rPr>
                <w:sz w:val="13"/>
              </w:rPr>
              <w:t>31,951,945 issued and 21,587,775 outstanding at December 31, 2012 and 31,675,518</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both"/>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120" w:right="0" w:hanging="0"/>
              <w:jc w:val="both"/>
              <w:rPr>
                <w:sz w:val="13"/>
              </w:rPr>
            </w:pPr>
            <w:r>
              <w:rPr>
                <w:sz w:val="13"/>
              </w:rPr>
              <w:t>issued and 21,311,348 outstanding at December 31, 2011</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223 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220  </w:t>
            </w:r>
          </w:p>
        </w:tc>
      </w:tr>
      <w:tr>
        <w:trPr/>
        <w:tc>
          <w:tcPr>
            <w:tcW w:w="4955" w:type="dxa"/>
            <w:tcBorders/>
            <w:shd w:fill="FFFFFF" w:val="clear"/>
            <w:vAlign w:val="bottom"/>
          </w:tcPr>
          <w:p>
            <w:pPr>
              <w:pStyle w:val="TableContents"/>
              <w:spacing w:before="0" w:after="1"/>
              <w:ind w:left="0" w:right="0" w:hanging="0"/>
              <w:jc w:val="both"/>
              <w:rPr>
                <w:sz w:val="13"/>
              </w:rPr>
            </w:pPr>
            <w:r>
              <w:rPr>
                <w:sz w:val="13"/>
              </w:rPr>
              <w:t>Class B voting common stock, par value $0.01, 20,000,000 shares authorized and</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120" w:right="0" w:hanging="0"/>
              <w:jc w:val="both"/>
              <w:rPr>
                <w:sz w:val="13"/>
              </w:rPr>
            </w:pPr>
            <w:r>
              <w:rPr>
                <w:sz w:val="13"/>
              </w:rPr>
              <w:t>1,495,490 issued and outstanding at December 31, 2012 and at December 31, 2011</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15 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15  </w:t>
            </w:r>
          </w:p>
        </w:tc>
      </w:tr>
      <w:tr>
        <w:trPr/>
        <w:tc>
          <w:tcPr>
            <w:tcW w:w="4955" w:type="dxa"/>
            <w:tcBorders/>
            <w:shd w:fill="FFFFFF" w:val="clear"/>
            <w:vAlign w:val="bottom"/>
          </w:tcPr>
          <w:p>
            <w:pPr>
              <w:pStyle w:val="TableContents"/>
              <w:spacing w:before="0" w:after="1"/>
              <w:ind w:left="0" w:right="0" w:hanging="0"/>
              <w:jc w:val="both"/>
              <w:rPr>
                <w:sz w:val="13"/>
              </w:rPr>
            </w:pPr>
            <w:r>
              <w:rPr>
                <w:sz w:val="13"/>
              </w:rPr>
              <w:t xml:space="preserve">Nonvoting preferred stock, par value $0.01, 12,000 shares authorized and no issued </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both"/>
              <w:rPr/>
            </w:pPr>
            <w:r>
              <w:rPr/>
              <w:t> </w:t>
            </w:r>
          </w:p>
        </w:tc>
      </w:tr>
      <w:tr>
        <w:trPr/>
        <w:tc>
          <w:tcPr>
            <w:tcW w:w="4955" w:type="dxa"/>
            <w:tcBorders/>
            <w:shd w:fill="CCEEFF" w:val="clear"/>
            <w:vAlign w:val="bottom"/>
          </w:tcPr>
          <w:p>
            <w:pPr>
              <w:pStyle w:val="TableContents"/>
              <w:spacing w:before="0" w:after="1"/>
              <w:ind w:left="120" w:right="0" w:hanging="0"/>
              <w:jc w:val="both"/>
              <w:rPr>
                <w:sz w:val="13"/>
              </w:rPr>
            </w:pPr>
            <w:r>
              <w:rPr>
                <w:sz w:val="13"/>
              </w:rPr>
              <w:t>or outstanding shares at December 31, 2012 and December 31, 2011</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1"/>
              <w:ind w:left="0" w:right="0" w:hanging="0"/>
              <w:jc w:val="right"/>
              <w:rPr>
                <w:sz w:val="13"/>
              </w:rPr>
            </w:pPr>
            <w:r>
              <w:rPr>
                <w:sz w:val="13"/>
              </w:rPr>
              <w:t>--</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1"/>
              <w:ind w:left="0" w:right="0" w:hanging="0"/>
              <w:jc w:val="right"/>
              <w:rPr>
                <w:sz w:val="13"/>
              </w:rPr>
            </w:pPr>
            <w:r>
              <w:rPr>
                <w:sz w:val="13"/>
              </w:rPr>
              <w:t>--</w:t>
            </w:r>
          </w:p>
        </w:tc>
      </w:tr>
      <w:tr>
        <w:trPr/>
        <w:tc>
          <w:tcPr>
            <w:tcW w:w="4955" w:type="dxa"/>
            <w:tcBorders/>
            <w:shd w:fill="FFFFFF" w:val="clear"/>
            <w:vAlign w:val="bottom"/>
          </w:tcPr>
          <w:p>
            <w:pPr>
              <w:pStyle w:val="TableContents"/>
              <w:spacing w:before="0" w:after="1"/>
              <w:ind w:left="0" w:right="0" w:hanging="0"/>
              <w:jc w:val="both"/>
              <w:rPr>
                <w:sz w:val="13"/>
              </w:rPr>
            </w:pPr>
            <w:r>
              <w:rPr>
                <w:sz w:val="13"/>
              </w:rPr>
              <w:t>Additional paid-in capital</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136,754 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135,171  </w:t>
            </w:r>
          </w:p>
        </w:tc>
      </w:tr>
      <w:tr>
        <w:trPr/>
        <w:tc>
          <w:tcPr>
            <w:tcW w:w="4955" w:type="dxa"/>
            <w:tcBorders/>
            <w:shd w:fill="CCEEFF" w:val="clear"/>
            <w:vAlign w:val="bottom"/>
          </w:tcPr>
          <w:p>
            <w:pPr>
              <w:pStyle w:val="TableContents"/>
              <w:spacing w:before="0" w:after="1"/>
              <w:ind w:left="0" w:right="0" w:hanging="0"/>
              <w:jc w:val="both"/>
              <w:rPr>
                <w:sz w:val="13"/>
              </w:rPr>
            </w:pPr>
            <w:r>
              <w:rPr>
                <w:sz w:val="13"/>
              </w:rPr>
              <w:t>Accumulated deficit</w:t>
            </w:r>
          </w:p>
        </w:tc>
        <w:tc>
          <w:tcPr>
            <w:tcW w:w="95" w:type="dxa"/>
            <w:tcBorders/>
            <w:shd w:fill="CCEEFF" w:val="clear"/>
            <w:vAlign w:val="bottom"/>
          </w:tcPr>
          <w:p>
            <w:pPr>
              <w:pStyle w:val="TableContents"/>
              <w:spacing w:before="0" w:after="1"/>
              <w:ind w:left="0" w:right="0" w:hanging="0"/>
              <w:jc w:val="right"/>
              <w:rPr/>
            </w:pPr>
            <w:r>
              <w:rPr/>
              <w:t> </w:t>
            </w:r>
          </w:p>
        </w:tc>
        <w:tc>
          <w:tcPr>
            <w:tcW w:w="560" w:type="dxa"/>
            <w:tcBorders/>
            <w:shd w:fill="CCEEFF" w:val="clear"/>
            <w:vAlign w:val="bottom"/>
          </w:tcPr>
          <w:p>
            <w:pPr>
              <w:pStyle w:val="TableContents"/>
              <w:spacing w:before="0" w:after="283"/>
              <w:jc w:val="right"/>
              <w:rPr>
                <w:sz w:val="13"/>
              </w:rPr>
            </w:pPr>
            <w:r>
              <w:rPr>
                <w:sz w:val="13"/>
              </w:rPr>
              <w:t xml:space="preserve">(66,993)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3"/>
              </w:rPr>
            </w:pPr>
            <w:r>
              <w:rPr>
                <w:sz w:val="13"/>
              </w:rPr>
              <w:t xml:space="preserve">(66,079) </w:t>
            </w:r>
          </w:p>
        </w:tc>
      </w:tr>
      <w:tr>
        <w:trPr/>
        <w:tc>
          <w:tcPr>
            <w:tcW w:w="4955" w:type="dxa"/>
            <w:tcBorders/>
            <w:shd w:fill="FFFFFF" w:val="clear"/>
            <w:vAlign w:val="bottom"/>
          </w:tcPr>
          <w:p>
            <w:pPr>
              <w:pStyle w:val="TableContents"/>
              <w:spacing w:before="0" w:after="1"/>
              <w:ind w:left="0" w:right="0" w:hanging="0"/>
              <w:jc w:val="both"/>
              <w:rPr>
                <w:sz w:val="13"/>
              </w:rPr>
            </w:pPr>
            <w:r>
              <w:rPr>
                <w:sz w:val="13"/>
              </w:rPr>
              <w:t>Treasury shares</w:t>
            </w:r>
          </w:p>
        </w:tc>
        <w:tc>
          <w:tcPr>
            <w:tcW w:w="95" w:type="dxa"/>
            <w:tcBorders/>
            <w:shd w:fill="FFFFFF" w:val="clear"/>
            <w:vAlign w:val="bottom"/>
          </w:tcPr>
          <w:p>
            <w:pPr>
              <w:pStyle w:val="TableContents"/>
              <w:spacing w:before="0" w:after="1"/>
              <w:ind w:left="0" w:right="0" w:hanging="0"/>
              <w:jc w:val="right"/>
              <w:rPr/>
            </w:pPr>
            <w:r>
              <w:rPr/>
              <w:t> </w:t>
            </w:r>
          </w:p>
        </w:tc>
        <w:tc>
          <w:tcPr>
            <w:tcW w:w="560" w:type="dxa"/>
            <w:tcBorders/>
            <w:shd w:fill="FFFFFF" w:val="clear"/>
            <w:vAlign w:val="bottom"/>
          </w:tcPr>
          <w:p>
            <w:pPr>
              <w:pStyle w:val="TableContents"/>
              <w:spacing w:before="0" w:after="283"/>
              <w:jc w:val="right"/>
              <w:rPr>
                <w:sz w:val="13"/>
              </w:rPr>
            </w:pPr>
            <w:r>
              <w:rPr>
                <w:sz w:val="13"/>
              </w:rPr>
              <w:t xml:space="preserve">(4,512)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3"/>
              </w:rPr>
            </w:pPr>
            <w:r>
              <w:rPr>
                <w:sz w:val="13"/>
              </w:rPr>
              <w:t xml:space="preserve">(4,512) </w:t>
            </w:r>
          </w:p>
        </w:tc>
      </w:tr>
      <w:tr>
        <w:trPr/>
        <w:tc>
          <w:tcPr>
            <w:tcW w:w="495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3"/>
              </w:rPr>
            </w:pPr>
            <w:r>
              <w:rPr>
                <w:sz w:val="13"/>
              </w:rPr>
              <w:t>Accumulated other comprehensive income</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60"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61,369 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58,937  </w:t>
            </w:r>
          </w:p>
        </w:tc>
      </w:tr>
      <w:tr>
        <w:trPr/>
        <w:tc>
          <w:tcPr>
            <w:tcW w:w="4955" w:type="dxa"/>
            <w:tcBorders>
              <w:top w:val="single" w:sz="8" w:space="0" w:color="000000"/>
            </w:tcBorders>
            <w:shd w:fill="FFFFFF" w:val="clear"/>
            <w:tcMar>
              <w:top w:w="28" w:type="dxa"/>
            </w:tcMar>
            <w:vAlign w:val="bottom"/>
          </w:tcPr>
          <w:p>
            <w:pPr>
              <w:pStyle w:val="TableContents"/>
              <w:spacing w:before="0" w:after="1"/>
              <w:ind w:left="0" w:right="0" w:hanging="0"/>
              <w:jc w:val="both"/>
              <w:rPr>
                <w:b/>
                <w:sz w:val="13"/>
              </w:rPr>
            </w:pPr>
            <w:r>
              <w:rPr>
                <w:b/>
                <w:sz w:val="13"/>
              </w:rPr>
              <w:t>Total Reading International, Inc. stockholders’ equity</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560" w:type="dxa"/>
            <w:tcBorders>
              <w:top w:val="single" w:sz="8" w:space="0" w:color="000000"/>
            </w:tcBorders>
            <w:shd w:fill="FFFFFF" w:val="clear"/>
            <w:tcMar>
              <w:top w:w="28" w:type="dxa"/>
            </w:tcMar>
            <w:vAlign w:val="bottom"/>
          </w:tcPr>
          <w:p>
            <w:pPr>
              <w:pStyle w:val="TableContents"/>
              <w:spacing w:before="0" w:after="283"/>
              <w:jc w:val="right"/>
              <w:rPr>
                <w:sz w:val="13"/>
              </w:rPr>
            </w:pPr>
            <w:r>
              <w:rPr>
                <w:sz w:val="13"/>
              </w:rPr>
              <w:t xml:space="preserve">126,856 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FFFFFF" w:val="clear"/>
            <w:tcMar>
              <w:top w:w="28" w:type="dxa"/>
            </w:tcMar>
            <w:vAlign w:val="bottom"/>
          </w:tcPr>
          <w:p>
            <w:pPr>
              <w:pStyle w:val="TableContents"/>
              <w:spacing w:before="0" w:after="283"/>
              <w:jc w:val="right"/>
              <w:rPr>
                <w:sz w:val="13"/>
              </w:rPr>
            </w:pPr>
            <w:r>
              <w:rPr>
                <w:sz w:val="13"/>
              </w:rPr>
              <w:t xml:space="preserve">123,752  </w:t>
            </w:r>
          </w:p>
        </w:tc>
      </w:tr>
      <w:tr>
        <w:trPr/>
        <w:tc>
          <w:tcPr>
            <w:tcW w:w="495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3"/>
              </w:rPr>
            </w:pPr>
            <w:r>
              <w:rPr>
                <w:sz w:val="13"/>
              </w:rPr>
              <w:t>Noncontrolling interests</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60"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4,098 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1,235  </w:t>
            </w:r>
          </w:p>
        </w:tc>
      </w:tr>
      <w:tr>
        <w:trPr/>
        <w:tc>
          <w:tcPr>
            <w:tcW w:w="495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b/>
                <w:sz w:val="13"/>
              </w:rPr>
            </w:pPr>
            <w:r>
              <w:rPr>
                <w:b/>
                <w:sz w:val="13"/>
              </w:rPr>
              <w:t>Total stockholders’ equity</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56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130,954 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57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124,987  </w:t>
            </w:r>
          </w:p>
        </w:tc>
      </w:tr>
      <w:tr>
        <w:trPr/>
        <w:tc>
          <w:tcPr>
            <w:tcW w:w="49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3"/>
              </w:rPr>
            </w:pPr>
            <w:r>
              <w:rPr>
                <w:b/>
                <w:sz w:val="13"/>
              </w:rPr>
              <w:t>Total liabilities and stockholders’ equity</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3"/>
              </w:rPr>
            </w:pPr>
            <w:r>
              <w:rPr>
                <w:sz w:val="13"/>
              </w:rPr>
              <w:t>$</w:t>
            </w:r>
          </w:p>
        </w:tc>
        <w:tc>
          <w:tcPr>
            <w:tcW w:w="5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3"/>
              </w:rPr>
            </w:pPr>
            <w:r>
              <w:rPr>
                <w:sz w:val="13"/>
              </w:rPr>
              <w:t xml:space="preserve">428,588 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3"/>
              </w:rPr>
            </w:pPr>
            <w:r>
              <w:rPr>
                <w:sz w:val="13"/>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3"/>
              </w:rPr>
            </w:pPr>
            <w:r>
              <w:rPr>
                <w:sz w:val="13"/>
              </w:rPr>
              <w:t xml:space="preserve">430,764  </w:t>
            </w:r>
          </w:p>
        </w:tc>
      </w:tr>
    </w:tbl>
    <w:p>
      <w:pPr>
        <w:pStyle w:val="TextBody"/>
        <w:spacing w:before="0" w:after="0"/>
        <w:ind w:left="1440" w:right="0" w:hanging="0"/>
        <w:jc w:val="both"/>
        <w:rPr/>
      </w:pPr>
      <w:r>
        <w:rPr/>
        <w:t xml:space="preserve">  </w:t>
      </w:r>
    </w:p>
    <w:p>
      <w:pPr>
        <w:pStyle w:val="TextBody"/>
        <w:spacing w:before="0" w:after="0"/>
        <w:ind w:left="1440" w:right="0" w:hanging="0"/>
        <w:jc w:val="center"/>
        <w:rPr>
          <w:sz w:val="13"/>
        </w:rPr>
      </w:pPr>
      <w:r>
        <w:rPr>
          <w:sz w:val="13"/>
        </w:rPr>
        <w:t xml:space="preserve">See accompanying notes to consolidated financial statement.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sz w:val="17"/>
        </w:rPr>
      </w:pPr>
      <w:r>
        <w:rPr>
          <w:b/>
          <w:sz w:val="17"/>
        </w:rPr>
        <w:t>Reading International, Inc. and Subsidiaries</w:t>
      </w:r>
      <w:r>
        <w:rPr>
          <w:sz w:val="17"/>
        </w:rPr>
        <w:t xml:space="preserve"> </w:t>
      </w:r>
    </w:p>
    <w:p>
      <w:pPr>
        <w:pStyle w:val="TextBody"/>
        <w:spacing w:before="0" w:after="0"/>
        <w:ind w:left="1440" w:right="0" w:hanging="0"/>
        <w:jc w:val="both"/>
        <w:rPr>
          <w:sz w:val="17"/>
        </w:rPr>
      </w:pPr>
      <w:r>
        <w:rPr>
          <w:b/>
          <w:sz w:val="17"/>
        </w:rPr>
        <w:t>Consolidated Statements of Operations for the Three Years Ended December 31, 2012</w:t>
      </w:r>
      <w:r>
        <w:rPr>
          <w:sz w:val="17"/>
        </w:rPr>
        <w:t xml:space="preserve"> </w:t>
      </w:r>
    </w:p>
    <w:p>
      <w:pPr>
        <w:pStyle w:val="TextBody"/>
        <w:spacing w:before="0" w:after="0"/>
        <w:ind w:left="1440" w:right="0" w:hanging="0"/>
        <w:jc w:val="both"/>
        <w:rPr>
          <w:sz w:val="17"/>
        </w:rPr>
      </w:pPr>
      <w:r>
        <w:rPr>
          <w:b/>
          <w:sz w:val="17"/>
        </w:rPr>
        <w:t>(U.S. dollars in thousands)</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6065"/>
        <w:gridCol w:w="95"/>
        <w:gridCol w:w="800"/>
        <w:gridCol w:w="95"/>
        <w:gridCol w:w="800"/>
        <w:gridCol w:w="95"/>
        <w:gridCol w:w="815"/>
      </w:tblGrid>
      <w:tr>
        <w:trPr/>
        <w:tc>
          <w:tcPr>
            <w:tcW w:w="60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60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60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2605" w:type="dxa"/>
            <w:gridSpan w:val="5"/>
            <w:tcBorders/>
            <w:shd w:fill="auto" w:val="clear"/>
            <w:vAlign w:val="bottom"/>
          </w:tcPr>
          <w:p>
            <w:pPr>
              <w:pStyle w:val="TableContents"/>
              <w:spacing w:before="0" w:after="1"/>
              <w:ind w:left="0" w:right="0" w:hanging="0"/>
              <w:jc w:val="center"/>
              <w:rPr>
                <w:b/>
                <w:sz w:val="15"/>
              </w:rPr>
            </w:pPr>
            <w:r>
              <w:rPr>
                <w:b/>
                <w:sz w:val="15"/>
              </w:rPr>
              <w:t xml:space="preserve">Year Ended December 31, </w:t>
            </w:r>
          </w:p>
        </w:tc>
      </w:tr>
      <w:tr>
        <w:trPr/>
        <w:tc>
          <w:tcPr>
            <w:tcW w:w="606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2011</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2010</w:t>
            </w:r>
          </w:p>
        </w:tc>
      </w:tr>
      <w:tr>
        <w:trPr/>
        <w:tc>
          <w:tcPr>
            <w:tcW w:w="606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80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r>
      <w:tr>
        <w:trPr/>
        <w:tc>
          <w:tcPr>
            <w:tcW w:w="6065" w:type="dxa"/>
            <w:tcBorders/>
            <w:shd w:fill="CCEEFF" w:val="clear"/>
            <w:vAlign w:val="bottom"/>
          </w:tcPr>
          <w:p>
            <w:pPr>
              <w:pStyle w:val="TableContents"/>
              <w:spacing w:before="0" w:after="1"/>
              <w:ind w:left="0" w:right="0" w:hanging="0"/>
              <w:jc w:val="both"/>
              <w:rPr>
                <w:b/>
                <w:sz w:val="15"/>
              </w:rPr>
            </w:pPr>
            <w:r>
              <w:rPr>
                <w:b/>
                <w:sz w:val="15"/>
              </w:rPr>
              <w:t>Operating revenue</w:t>
            </w:r>
          </w:p>
        </w:tc>
        <w:tc>
          <w:tcPr>
            <w:tcW w:w="95" w:type="dxa"/>
            <w:tcBorders/>
            <w:shd w:fill="CCEEFF" w:val="clear"/>
            <w:vAlign w:val="bottom"/>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1"/>
              <w:ind w:left="0" w:right="0" w:hanging="0"/>
              <w:jc w:val="both"/>
              <w:rPr/>
            </w:pPr>
            <w:r>
              <w:rPr/>
              <w:t> </w:t>
            </w:r>
          </w:p>
        </w:tc>
      </w:tr>
      <w:tr>
        <w:trPr/>
        <w:tc>
          <w:tcPr>
            <w:tcW w:w="6065" w:type="dxa"/>
            <w:tcBorders/>
            <w:shd w:fill="FFFFFF" w:val="clear"/>
            <w:vAlign w:val="bottom"/>
          </w:tcPr>
          <w:p>
            <w:pPr>
              <w:pStyle w:val="TableContents"/>
              <w:spacing w:before="0" w:after="1"/>
              <w:ind w:left="0" w:right="0" w:hanging="0"/>
              <w:jc w:val="both"/>
              <w:rPr>
                <w:sz w:val="15"/>
              </w:rPr>
            </w:pPr>
            <w:r>
              <w:rPr>
                <w:sz w:val="15"/>
              </w:rPr>
              <w:t xml:space="preserve">Cinema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234,703 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225,849 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211,073  </w:t>
            </w:r>
          </w:p>
        </w:tc>
      </w:tr>
      <w:tr>
        <w:trPr/>
        <w:tc>
          <w:tcPr>
            <w:tcW w:w="60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Real estate</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19,727 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19,130 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18,249  </w:t>
            </w:r>
          </w:p>
        </w:tc>
      </w:tr>
      <w:tr>
        <w:trPr/>
        <w:tc>
          <w:tcPr>
            <w:tcW w:w="60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Total operating revenue</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0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254,430 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0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244,979 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1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229,322  </w:t>
            </w:r>
          </w:p>
        </w:tc>
      </w:tr>
      <w:tr>
        <w:trPr/>
        <w:tc>
          <w:tcPr>
            <w:tcW w:w="606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80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6065" w:type="dxa"/>
            <w:tcBorders/>
            <w:shd w:fill="FFFFFF" w:val="clear"/>
            <w:vAlign w:val="bottom"/>
          </w:tcPr>
          <w:p>
            <w:pPr>
              <w:pStyle w:val="TableContents"/>
              <w:spacing w:before="0" w:after="1"/>
              <w:ind w:left="0" w:right="0" w:hanging="0"/>
              <w:jc w:val="both"/>
              <w:rPr>
                <w:b/>
                <w:sz w:val="15"/>
              </w:rPr>
            </w:pPr>
            <w:r>
              <w:rPr>
                <w:b/>
                <w:sz w:val="15"/>
              </w:rPr>
              <w:t>Operating expense</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6065" w:type="dxa"/>
            <w:tcBorders/>
            <w:shd w:fill="CCEEFF" w:val="clear"/>
            <w:vAlign w:val="bottom"/>
          </w:tcPr>
          <w:p>
            <w:pPr>
              <w:pStyle w:val="TableContents"/>
              <w:spacing w:before="0" w:after="1"/>
              <w:ind w:left="0" w:right="0" w:hanging="0"/>
              <w:jc w:val="both"/>
              <w:rPr>
                <w:sz w:val="15"/>
              </w:rPr>
            </w:pPr>
            <w:r>
              <w:rPr>
                <w:sz w:val="15"/>
              </w:rPr>
              <w:t>Cinema</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190,511 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182,215 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283"/>
              <w:jc w:val="right"/>
              <w:rPr>
                <w:sz w:val="15"/>
              </w:rPr>
            </w:pPr>
            <w:r>
              <w:rPr>
                <w:sz w:val="15"/>
              </w:rPr>
              <w:t xml:space="preserve">171,795  </w:t>
            </w:r>
          </w:p>
        </w:tc>
      </w:tr>
      <w:tr>
        <w:trPr/>
        <w:tc>
          <w:tcPr>
            <w:tcW w:w="6065" w:type="dxa"/>
            <w:tcBorders/>
            <w:shd w:fill="FFFFFF" w:val="clear"/>
            <w:vAlign w:val="bottom"/>
          </w:tcPr>
          <w:p>
            <w:pPr>
              <w:pStyle w:val="TableContents"/>
              <w:spacing w:before="0" w:after="1"/>
              <w:ind w:left="0" w:right="0" w:hanging="0"/>
              <w:jc w:val="both"/>
              <w:rPr>
                <w:sz w:val="15"/>
              </w:rPr>
            </w:pPr>
            <w:r>
              <w:rPr>
                <w:sz w:val="15"/>
              </w:rPr>
              <w:t>Real estate</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11,163 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10,190 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283"/>
              <w:jc w:val="right"/>
              <w:rPr>
                <w:sz w:val="15"/>
              </w:rPr>
            </w:pPr>
            <w:r>
              <w:rPr>
                <w:sz w:val="15"/>
              </w:rPr>
              <w:t xml:space="preserve">9,049  </w:t>
            </w:r>
          </w:p>
        </w:tc>
      </w:tr>
      <w:tr>
        <w:trPr/>
        <w:tc>
          <w:tcPr>
            <w:tcW w:w="6065" w:type="dxa"/>
            <w:tcBorders/>
            <w:shd w:fill="CCEEFF" w:val="clear"/>
            <w:vAlign w:val="bottom"/>
          </w:tcPr>
          <w:p>
            <w:pPr>
              <w:pStyle w:val="TableContents"/>
              <w:spacing w:before="0" w:after="1"/>
              <w:ind w:left="0" w:right="0" w:hanging="0"/>
              <w:jc w:val="both"/>
              <w:rPr>
                <w:sz w:val="15"/>
              </w:rPr>
            </w:pPr>
            <w:r>
              <w:rPr>
                <w:sz w:val="15"/>
              </w:rPr>
              <w:t>Depreciation and amortization</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16,049 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16,595 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283"/>
              <w:jc w:val="right"/>
              <w:rPr>
                <w:sz w:val="15"/>
              </w:rPr>
            </w:pPr>
            <w:r>
              <w:rPr>
                <w:sz w:val="15"/>
              </w:rPr>
              <w:t xml:space="preserve">15,563  </w:t>
            </w:r>
          </w:p>
        </w:tc>
      </w:tr>
      <w:tr>
        <w:trPr/>
        <w:tc>
          <w:tcPr>
            <w:tcW w:w="6065" w:type="dxa"/>
            <w:tcBorders/>
            <w:shd w:fill="FFFFFF" w:val="clear"/>
            <w:vAlign w:val="bottom"/>
          </w:tcPr>
          <w:p>
            <w:pPr>
              <w:pStyle w:val="TableContents"/>
              <w:spacing w:before="0" w:after="1"/>
              <w:ind w:left="0" w:right="0" w:hanging="0"/>
              <w:jc w:val="both"/>
              <w:rPr>
                <w:sz w:val="15"/>
              </w:rPr>
            </w:pPr>
            <w:r>
              <w:rPr>
                <w:sz w:val="15"/>
              </w:rPr>
              <w:t xml:space="preserve">General and administrative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16,117 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17,432 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283"/>
              <w:jc w:val="right"/>
              <w:rPr>
                <w:sz w:val="15"/>
              </w:rPr>
            </w:pPr>
            <w:r>
              <w:rPr>
                <w:sz w:val="15"/>
              </w:rPr>
              <w:t xml:space="preserve">17,607  </w:t>
            </w:r>
          </w:p>
        </w:tc>
      </w:tr>
      <w:tr>
        <w:trPr/>
        <w:tc>
          <w:tcPr>
            <w:tcW w:w="60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Impairment expense</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1,463 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369 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2,239  </w:t>
            </w:r>
          </w:p>
        </w:tc>
      </w:tr>
      <w:tr>
        <w:trPr/>
        <w:tc>
          <w:tcPr>
            <w:tcW w:w="60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Total operating expense</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0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235,303 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0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226,801 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1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216,253  </w:t>
            </w:r>
          </w:p>
        </w:tc>
      </w:tr>
      <w:tr>
        <w:trPr/>
        <w:tc>
          <w:tcPr>
            <w:tcW w:w="606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80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6065" w:type="dxa"/>
            <w:tcBorders/>
            <w:shd w:fill="FFFFFF" w:val="clear"/>
            <w:vAlign w:val="bottom"/>
          </w:tcPr>
          <w:p>
            <w:pPr>
              <w:pStyle w:val="TableContents"/>
              <w:spacing w:before="0" w:after="1"/>
              <w:ind w:left="0" w:right="0" w:hanging="0"/>
              <w:jc w:val="both"/>
              <w:rPr>
                <w:b/>
                <w:sz w:val="15"/>
              </w:rPr>
            </w:pPr>
            <w:r>
              <w:rPr>
                <w:b/>
                <w:sz w:val="15"/>
              </w:rPr>
              <w:t>Operating income</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19,127 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18,178 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283"/>
              <w:jc w:val="right"/>
              <w:rPr>
                <w:sz w:val="15"/>
              </w:rPr>
            </w:pPr>
            <w:r>
              <w:rPr>
                <w:sz w:val="15"/>
              </w:rPr>
              <w:t xml:space="preserve">13,069  </w:t>
            </w:r>
          </w:p>
        </w:tc>
      </w:tr>
      <w:tr>
        <w:trPr/>
        <w:tc>
          <w:tcPr>
            <w:tcW w:w="6065"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both"/>
              <w:rPr/>
            </w:pPr>
            <w:r>
              <w:rPr/>
              <w:t> </w:t>
            </w:r>
          </w:p>
        </w:tc>
        <w:tc>
          <w:tcPr>
            <w:tcW w:w="80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1"/>
              <w:ind w:left="0" w:right="0" w:hanging="0"/>
              <w:jc w:val="both"/>
              <w:rPr/>
            </w:pPr>
            <w:r>
              <w:rPr/>
              <w:t> </w:t>
            </w:r>
          </w:p>
        </w:tc>
      </w:tr>
      <w:tr>
        <w:trPr/>
        <w:tc>
          <w:tcPr>
            <w:tcW w:w="6065" w:type="dxa"/>
            <w:tcBorders/>
            <w:shd w:fill="FFFFFF" w:val="clear"/>
            <w:vAlign w:val="bottom"/>
          </w:tcPr>
          <w:p>
            <w:pPr>
              <w:pStyle w:val="TableContents"/>
              <w:spacing w:before="0" w:after="1"/>
              <w:ind w:left="0" w:right="0" w:hanging="0"/>
              <w:jc w:val="both"/>
              <w:rPr>
                <w:sz w:val="15"/>
              </w:rPr>
            </w:pPr>
            <w:r>
              <w:rPr>
                <w:sz w:val="15"/>
              </w:rPr>
              <w:t>Interest income</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800 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1,482 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283"/>
              <w:jc w:val="right"/>
              <w:rPr>
                <w:sz w:val="15"/>
              </w:rPr>
            </w:pPr>
            <w:r>
              <w:rPr>
                <w:sz w:val="15"/>
              </w:rPr>
              <w:t xml:space="preserve">1,351  </w:t>
            </w:r>
          </w:p>
        </w:tc>
      </w:tr>
      <w:tr>
        <w:trPr/>
        <w:tc>
          <w:tcPr>
            <w:tcW w:w="6065" w:type="dxa"/>
            <w:tcBorders/>
            <w:shd w:fill="CCEEFF" w:val="clear"/>
            <w:vAlign w:val="bottom"/>
          </w:tcPr>
          <w:p>
            <w:pPr>
              <w:pStyle w:val="TableContents"/>
              <w:spacing w:before="0" w:after="1"/>
              <w:ind w:left="0" w:right="0" w:hanging="0"/>
              <w:jc w:val="both"/>
              <w:rPr>
                <w:sz w:val="15"/>
              </w:rPr>
            </w:pPr>
            <w:r>
              <w:rPr>
                <w:sz w:val="15"/>
              </w:rPr>
              <w:t>Interest expense</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(17,226)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(22,520)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283"/>
              <w:jc w:val="right"/>
              <w:rPr>
                <w:sz w:val="15"/>
              </w:rPr>
            </w:pPr>
            <w:r>
              <w:rPr>
                <w:sz w:val="15"/>
              </w:rPr>
              <w:t xml:space="preserve">(13,637) </w:t>
            </w:r>
          </w:p>
        </w:tc>
      </w:tr>
      <w:tr>
        <w:trPr/>
        <w:tc>
          <w:tcPr>
            <w:tcW w:w="6065" w:type="dxa"/>
            <w:tcBorders/>
            <w:shd w:fill="FFFFFF" w:val="clear"/>
            <w:vAlign w:val="bottom"/>
          </w:tcPr>
          <w:p>
            <w:pPr>
              <w:pStyle w:val="TableContents"/>
              <w:spacing w:before="0" w:after="1"/>
              <w:ind w:left="0" w:right="0" w:hanging="0"/>
              <w:jc w:val="both"/>
              <w:rPr>
                <w:sz w:val="15"/>
              </w:rPr>
            </w:pPr>
            <w:r>
              <w:rPr>
                <w:sz w:val="15"/>
              </w:rPr>
              <w:t>Net gain (loss) on sale of assets</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144 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283"/>
              <w:jc w:val="right"/>
              <w:rPr>
                <w:sz w:val="15"/>
              </w:rPr>
            </w:pPr>
            <w:r>
              <w:rPr>
                <w:sz w:val="15"/>
              </w:rPr>
              <w:t xml:space="preserve">(67)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283"/>
              <w:jc w:val="right"/>
              <w:rPr>
                <w:sz w:val="15"/>
              </w:rPr>
            </w:pPr>
            <w:r>
              <w:rPr>
                <w:sz w:val="15"/>
              </w:rPr>
              <w:t xml:space="preserve">352  </w:t>
            </w:r>
          </w:p>
        </w:tc>
      </w:tr>
      <w:tr>
        <w:trPr/>
        <w:tc>
          <w:tcPr>
            <w:tcW w:w="60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Other income (expense)</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(563)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1,157 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(347) </w:t>
            </w:r>
          </w:p>
        </w:tc>
      </w:tr>
      <w:tr>
        <w:trPr/>
        <w:tc>
          <w:tcPr>
            <w:tcW w:w="6065" w:type="dxa"/>
            <w:tcBorders>
              <w:top w:val="single" w:sz="8" w:space="0" w:color="000000"/>
            </w:tcBorders>
            <w:shd w:fill="FFFFFF" w:val="clear"/>
            <w:tcMar>
              <w:top w:w="28" w:type="dxa"/>
            </w:tcMar>
            <w:vAlign w:val="bottom"/>
          </w:tcPr>
          <w:p>
            <w:pPr>
              <w:pStyle w:val="TableContents"/>
              <w:spacing w:before="0" w:after="1"/>
              <w:ind w:left="0" w:right="0" w:hanging="0"/>
              <w:jc w:val="both"/>
              <w:rPr>
                <w:b/>
                <w:sz w:val="15"/>
              </w:rPr>
            </w:pPr>
            <w:r>
              <w:rPr>
                <w:b/>
                <w:sz w:val="15"/>
              </w:rPr>
              <w:t>Income (loss) before income tax expense and equity earnings of unconsolidated joint ventures and entities</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2,282 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(1,770)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788  </w:t>
            </w:r>
          </w:p>
        </w:tc>
      </w:tr>
      <w:tr>
        <w:trPr/>
        <w:tc>
          <w:tcPr>
            <w:tcW w:w="60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Income tax benefit (expense)</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(4,904)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12,330 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(14,264) </w:t>
            </w:r>
          </w:p>
        </w:tc>
      </w:tr>
      <w:tr>
        <w:trPr/>
        <w:tc>
          <w:tcPr>
            <w:tcW w:w="6065" w:type="dxa"/>
            <w:tcBorders>
              <w:top w:val="single" w:sz="8" w:space="0" w:color="000000"/>
            </w:tcBorders>
            <w:shd w:fill="FFFFFF" w:val="clear"/>
            <w:tcMar>
              <w:top w:w="28" w:type="dxa"/>
            </w:tcMar>
            <w:vAlign w:val="bottom"/>
          </w:tcPr>
          <w:p>
            <w:pPr>
              <w:pStyle w:val="TableContents"/>
              <w:spacing w:before="0" w:after="1"/>
              <w:ind w:left="0" w:right="0" w:hanging="0"/>
              <w:jc w:val="both"/>
              <w:rPr>
                <w:b/>
                <w:sz w:val="15"/>
              </w:rPr>
            </w:pPr>
            <w:r>
              <w:rPr>
                <w:b/>
                <w:sz w:val="15"/>
              </w:rPr>
              <w:t>Income (loss) before equity earnings of unconsolidated joint ventures and entities</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(2,622)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10,560 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(13,476) </w:t>
            </w:r>
          </w:p>
        </w:tc>
      </w:tr>
      <w:tr>
        <w:trPr/>
        <w:tc>
          <w:tcPr>
            <w:tcW w:w="60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Equity earnings (loss) of unconsolidated joint ventures and entities</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1,621 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(1,552)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1,345  </w:t>
            </w:r>
          </w:p>
        </w:tc>
      </w:tr>
      <w:tr>
        <w:trPr/>
        <w:tc>
          <w:tcPr>
            <w:tcW w:w="6065" w:type="dxa"/>
            <w:tcBorders>
              <w:top w:val="single" w:sz="8" w:space="0" w:color="000000"/>
            </w:tcBorders>
            <w:shd w:fill="FFFFFF" w:val="clear"/>
            <w:tcMar>
              <w:top w:w="28" w:type="dxa"/>
            </w:tcMar>
            <w:vAlign w:val="bottom"/>
          </w:tcPr>
          <w:p>
            <w:pPr>
              <w:pStyle w:val="TableContents"/>
              <w:spacing w:before="0" w:after="1"/>
              <w:ind w:left="0" w:right="0" w:hanging="0"/>
              <w:jc w:val="both"/>
              <w:rPr>
                <w:b/>
                <w:sz w:val="15"/>
              </w:rPr>
            </w:pPr>
            <w:r>
              <w:rPr>
                <w:b/>
                <w:sz w:val="15"/>
              </w:rPr>
              <w:t>Income (loss) before discontinued operations</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(1,001)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9,008 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(12,131) </w:t>
            </w:r>
          </w:p>
        </w:tc>
      </w:tr>
      <w:tr>
        <w:trPr/>
        <w:tc>
          <w:tcPr>
            <w:tcW w:w="6065" w:type="dxa"/>
            <w:tcBorders/>
            <w:shd w:fill="CCEEFF" w:val="clear"/>
            <w:vAlign w:val="bottom"/>
          </w:tcPr>
          <w:p>
            <w:pPr>
              <w:pStyle w:val="TableContents"/>
              <w:spacing w:before="0" w:after="1"/>
              <w:ind w:left="0" w:right="0" w:hanging="0"/>
              <w:jc w:val="both"/>
              <w:rPr>
                <w:sz w:val="15"/>
              </w:rPr>
            </w:pPr>
            <w:r>
              <w:rPr>
                <w:sz w:val="15"/>
              </w:rPr>
              <w:t>Income (loss) from discontinued operations, net of tax</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(85)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283"/>
              <w:jc w:val="right"/>
              <w:rPr>
                <w:sz w:val="15"/>
              </w:rPr>
            </w:pPr>
            <w:r>
              <w:rPr>
                <w:sz w:val="15"/>
              </w:rPr>
              <w:t xml:space="preserve">232 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283"/>
              <w:jc w:val="right"/>
              <w:rPr>
                <w:sz w:val="15"/>
              </w:rPr>
            </w:pPr>
            <w:r>
              <w:rPr>
                <w:sz w:val="15"/>
              </w:rPr>
              <w:t xml:space="preserve">97  </w:t>
            </w:r>
          </w:p>
        </w:tc>
      </w:tr>
      <w:tr>
        <w:trPr/>
        <w:tc>
          <w:tcPr>
            <w:tcW w:w="60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Gain (loss) on sale of discontinued operations</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(320)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1,656 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r>
      <w:tr>
        <w:trPr/>
        <w:tc>
          <w:tcPr>
            <w:tcW w:w="6065" w:type="dxa"/>
            <w:tcBorders>
              <w:top w:val="single" w:sz="8" w:space="0" w:color="000000"/>
            </w:tcBorders>
            <w:shd w:fill="CCEEFF" w:val="clear"/>
            <w:tcMar>
              <w:top w:w="28" w:type="dxa"/>
            </w:tcMar>
            <w:vAlign w:val="bottom"/>
          </w:tcPr>
          <w:p>
            <w:pPr>
              <w:pStyle w:val="TableContents"/>
              <w:spacing w:before="0" w:after="1"/>
              <w:ind w:left="0" w:right="0" w:hanging="0"/>
              <w:jc w:val="both"/>
              <w:rPr>
                <w:b/>
                <w:sz w:val="15"/>
              </w:rPr>
            </w:pPr>
            <w:r>
              <w:rPr>
                <w:b/>
                <w:sz w:val="15"/>
              </w:rPr>
              <w:t>Net income (loss)</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(1,406)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10,896 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1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(12,034) </w:t>
            </w:r>
          </w:p>
        </w:tc>
      </w:tr>
      <w:tr>
        <w:trPr/>
        <w:tc>
          <w:tcPr>
            <w:tcW w:w="60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Net (income) loss attributable to noncontrolling interests</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492 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(940)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(616) </w:t>
            </w:r>
          </w:p>
        </w:tc>
      </w:tr>
      <w:tr>
        <w:trPr/>
        <w:tc>
          <w:tcPr>
            <w:tcW w:w="60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5"/>
              </w:rPr>
            </w:pPr>
            <w:r>
              <w:rPr>
                <w:b/>
                <w:sz w:val="15"/>
              </w:rPr>
              <w:t>Net income (loss) attributable to Reading International, Inc. common shareholders</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(914)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9,956 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(12,650) </w:t>
            </w:r>
          </w:p>
        </w:tc>
      </w:tr>
      <w:tr>
        <w:trPr/>
        <w:tc>
          <w:tcPr>
            <w:tcW w:w="606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80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1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6065" w:type="dxa"/>
            <w:tcBorders/>
            <w:shd w:fill="CCEEFF" w:val="clear"/>
            <w:vAlign w:val="bottom"/>
          </w:tcPr>
          <w:p>
            <w:pPr>
              <w:pStyle w:val="TableContents"/>
              <w:spacing w:before="0" w:after="1"/>
              <w:ind w:left="0" w:right="0" w:hanging="0"/>
              <w:jc w:val="both"/>
              <w:rPr>
                <w:b/>
                <w:sz w:val="15"/>
              </w:rPr>
            </w:pPr>
            <w:r>
              <w:rPr>
                <w:b/>
                <w:sz w:val="15"/>
              </w:rPr>
              <w:t>Basic income (loss) per common share attributable to Reading International, Inc. shareholders:</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right"/>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00" w:type="dxa"/>
            <w:tcBorders/>
            <w:shd w:fill="CCEEFF" w:val="clear"/>
            <w:vAlign w:val="bottom"/>
          </w:tcPr>
          <w:p>
            <w:pPr>
              <w:pStyle w:val="TableContents"/>
              <w:spacing w:before="0" w:after="1"/>
              <w:ind w:left="0" w:right="0" w:hanging="0"/>
              <w:jc w:val="right"/>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1"/>
              <w:ind w:left="0" w:right="0" w:hanging="0"/>
              <w:jc w:val="right"/>
              <w:rPr/>
            </w:pPr>
            <w:r>
              <w:rPr/>
              <w:t> </w:t>
            </w:r>
          </w:p>
        </w:tc>
      </w:tr>
      <w:tr>
        <w:trPr/>
        <w:tc>
          <w:tcPr>
            <w:tcW w:w="6065" w:type="dxa"/>
            <w:tcBorders/>
            <w:shd w:fill="FFFFFF" w:val="clear"/>
            <w:vAlign w:val="bottom"/>
          </w:tcPr>
          <w:p>
            <w:pPr>
              <w:pStyle w:val="TableContents"/>
              <w:spacing w:before="0" w:after="1"/>
              <w:ind w:left="0" w:right="0" w:hanging="0"/>
              <w:jc w:val="both"/>
              <w:rPr>
                <w:sz w:val="15"/>
              </w:rPr>
            </w:pPr>
            <w:r>
              <w:rPr>
                <w:sz w:val="15"/>
              </w:rPr>
              <w:t>Earnings (loss) from continuing operations</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(0.02)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00" w:type="dxa"/>
            <w:tcBorders/>
            <w:shd w:fill="FFFFFF" w:val="clear"/>
            <w:vAlign w:val="bottom"/>
          </w:tcPr>
          <w:p>
            <w:pPr>
              <w:pStyle w:val="TableContents"/>
              <w:spacing w:before="0" w:after="283"/>
              <w:jc w:val="right"/>
              <w:rPr>
                <w:sz w:val="15"/>
              </w:rPr>
            </w:pPr>
            <w:r>
              <w:rPr>
                <w:sz w:val="15"/>
              </w:rPr>
              <w:t xml:space="preserve">0.36  </w:t>
            </w:r>
          </w:p>
        </w:tc>
        <w:tc>
          <w:tcPr>
            <w:tcW w:w="95" w:type="dxa"/>
            <w:tcBorders/>
            <w:shd w:fill="FFFFFF" w:val="clear"/>
            <w:vAlign w:val="bottom"/>
          </w:tcPr>
          <w:p>
            <w:pPr>
              <w:pStyle w:val="TableContents"/>
              <w:spacing w:before="0" w:after="1"/>
              <w:ind w:left="0" w:right="0" w:hanging="0"/>
              <w:jc w:val="right"/>
              <w:rPr>
                <w:sz w:val="15"/>
              </w:rPr>
            </w:pPr>
            <w:r>
              <w:rPr>
                <w:sz w:val="15"/>
              </w:rPr>
              <w:t>$</w:t>
            </w:r>
          </w:p>
        </w:tc>
        <w:tc>
          <w:tcPr>
            <w:tcW w:w="815" w:type="dxa"/>
            <w:tcBorders/>
            <w:shd w:fill="FFFFFF" w:val="clear"/>
            <w:vAlign w:val="bottom"/>
          </w:tcPr>
          <w:p>
            <w:pPr>
              <w:pStyle w:val="TableContents"/>
              <w:spacing w:before="0" w:after="283"/>
              <w:jc w:val="right"/>
              <w:rPr>
                <w:sz w:val="15"/>
              </w:rPr>
            </w:pPr>
            <w:r>
              <w:rPr>
                <w:sz w:val="15"/>
              </w:rPr>
              <w:t xml:space="preserve">(0.56) </w:t>
            </w:r>
          </w:p>
        </w:tc>
      </w:tr>
      <w:tr>
        <w:trPr/>
        <w:tc>
          <w:tcPr>
            <w:tcW w:w="60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Earnings (loss) from discontinued operations, net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(0.02)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0.08 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r>
      <w:tr>
        <w:trPr/>
        <w:tc>
          <w:tcPr>
            <w:tcW w:w="60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b/>
                <w:sz w:val="15"/>
              </w:rPr>
            </w:pPr>
            <w:r>
              <w:rPr>
                <w:b/>
                <w:sz w:val="15"/>
              </w:rPr>
              <w:t>Basic income (loss) per share attributable to Reading International, Inc. shareholders</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(0.04) </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0.44  </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(0.56) </w:t>
            </w:r>
          </w:p>
        </w:tc>
      </w:tr>
      <w:tr>
        <w:trPr/>
        <w:tc>
          <w:tcPr>
            <w:tcW w:w="606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80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80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815"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6065" w:type="dxa"/>
            <w:tcBorders/>
            <w:shd w:fill="FFFFFF" w:val="clear"/>
            <w:vAlign w:val="bottom"/>
          </w:tcPr>
          <w:p>
            <w:pPr>
              <w:pStyle w:val="TableContents"/>
              <w:spacing w:before="0" w:after="1"/>
              <w:ind w:left="0" w:right="0" w:hanging="0"/>
              <w:jc w:val="both"/>
              <w:rPr>
                <w:b/>
                <w:sz w:val="15"/>
              </w:rPr>
            </w:pPr>
            <w:r>
              <w:rPr>
                <w:b/>
                <w:sz w:val="15"/>
              </w:rPr>
              <w:t>Diluted income (loss) per common share attributable to Reading International, Inc. shareholders:</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6065" w:type="dxa"/>
            <w:tcBorders/>
            <w:shd w:fill="CCEEFF" w:val="clear"/>
            <w:vAlign w:val="bottom"/>
          </w:tcPr>
          <w:p>
            <w:pPr>
              <w:pStyle w:val="TableContents"/>
              <w:spacing w:before="0" w:after="1"/>
              <w:ind w:left="0" w:right="0" w:hanging="0"/>
              <w:jc w:val="both"/>
              <w:rPr>
                <w:sz w:val="15"/>
              </w:rPr>
            </w:pPr>
            <w:r>
              <w:rPr>
                <w:sz w:val="15"/>
              </w:rPr>
              <w:t>Earnings (loss) from continuing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(0.02)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0.35 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(0.56) </w:t>
            </w:r>
          </w:p>
        </w:tc>
      </w:tr>
      <w:tr>
        <w:trPr/>
        <w:tc>
          <w:tcPr>
            <w:tcW w:w="60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Earnings (loss) from discontinued operations, net</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(0.02)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0.08 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r>
      <w:tr>
        <w:trPr/>
        <w:tc>
          <w:tcPr>
            <w:tcW w:w="60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5"/>
              </w:rPr>
            </w:pPr>
            <w:r>
              <w:rPr>
                <w:b/>
                <w:sz w:val="15"/>
              </w:rPr>
              <w:t>Diluted income (loss) per share attributable to Reading International, Inc. shareholders</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(0.04)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0.43 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(0.56) </w:t>
            </w:r>
          </w:p>
        </w:tc>
      </w:tr>
      <w:tr>
        <w:trPr/>
        <w:tc>
          <w:tcPr>
            <w:tcW w:w="6065" w:type="dxa"/>
            <w:tcBorders>
              <w:top w:val="single" w:sz="12" w:space="0" w:color="000000"/>
            </w:tcBorders>
            <w:shd w:fill="FFFFFF" w:val="clear"/>
            <w:tcMar>
              <w:top w:w="28" w:type="dxa"/>
            </w:tcMar>
            <w:vAlign w:val="bottom"/>
          </w:tcPr>
          <w:p>
            <w:pPr>
              <w:pStyle w:val="TableContents"/>
              <w:spacing w:before="0" w:after="1"/>
              <w:ind w:left="0" w:right="0" w:hanging="0"/>
              <w:jc w:val="both"/>
              <w:rPr>
                <w:b/>
                <w:sz w:val="15"/>
              </w:rPr>
            </w:pPr>
            <w:r>
              <w:rPr>
                <w:b/>
                <w:sz w:val="15"/>
              </w:rPr>
              <w:t>Weighted average number of shares outstanding–basic</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12" w:space="0" w:color="000000"/>
            </w:tcBorders>
            <w:shd w:fill="FFFFFF" w:val="clear"/>
            <w:tcMar>
              <w:top w:w="28" w:type="dxa"/>
            </w:tcMar>
            <w:vAlign w:val="bottom"/>
          </w:tcPr>
          <w:p>
            <w:pPr>
              <w:pStyle w:val="TableContents"/>
              <w:spacing w:before="0" w:after="283"/>
              <w:jc w:val="right"/>
              <w:rPr>
                <w:sz w:val="15"/>
              </w:rPr>
            </w:pPr>
            <w:r>
              <w:rPr>
                <w:sz w:val="15"/>
              </w:rPr>
              <w:t xml:space="preserve">23,028,596 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0" w:type="dxa"/>
            <w:tcBorders>
              <w:top w:val="single" w:sz="12" w:space="0" w:color="000000"/>
            </w:tcBorders>
            <w:shd w:fill="FFFFFF" w:val="clear"/>
            <w:tcMar>
              <w:top w:w="28" w:type="dxa"/>
            </w:tcMar>
            <w:vAlign w:val="bottom"/>
          </w:tcPr>
          <w:p>
            <w:pPr>
              <w:pStyle w:val="TableContents"/>
              <w:spacing w:before="0" w:after="283"/>
              <w:jc w:val="right"/>
              <w:rPr>
                <w:sz w:val="15"/>
              </w:rPr>
            </w:pPr>
            <w:r>
              <w:rPr>
                <w:sz w:val="15"/>
              </w:rPr>
              <w:t xml:space="preserve">22,764,666 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15" w:type="dxa"/>
            <w:tcBorders>
              <w:top w:val="single" w:sz="12" w:space="0" w:color="000000"/>
            </w:tcBorders>
            <w:shd w:fill="FFFFFF" w:val="clear"/>
            <w:tcMar>
              <w:top w:w="28" w:type="dxa"/>
            </w:tcMar>
            <w:vAlign w:val="bottom"/>
          </w:tcPr>
          <w:p>
            <w:pPr>
              <w:pStyle w:val="TableContents"/>
              <w:spacing w:before="0" w:after="283"/>
              <w:jc w:val="right"/>
              <w:rPr>
                <w:sz w:val="15"/>
              </w:rPr>
            </w:pPr>
            <w:r>
              <w:rPr>
                <w:sz w:val="15"/>
              </w:rPr>
              <w:t xml:space="preserve">22,781,392  </w:t>
            </w:r>
          </w:p>
        </w:tc>
      </w:tr>
      <w:tr>
        <w:trPr/>
        <w:tc>
          <w:tcPr>
            <w:tcW w:w="6065" w:type="dxa"/>
            <w:tcBorders>
              <w:bottom w:val="single" w:sz="12" w:space="0" w:color="000000"/>
            </w:tcBorders>
            <w:shd w:fill="CCEEFF" w:val="clear"/>
            <w:tcMar>
              <w:bottom w:w="28" w:type="dxa"/>
            </w:tcMar>
            <w:vAlign w:val="bottom"/>
          </w:tcPr>
          <w:p>
            <w:pPr>
              <w:pStyle w:val="TableContents"/>
              <w:spacing w:before="0" w:after="1"/>
              <w:ind w:left="0" w:right="0" w:hanging="0"/>
              <w:jc w:val="both"/>
              <w:rPr>
                <w:b/>
                <w:sz w:val="15"/>
              </w:rPr>
            </w:pPr>
            <w:r>
              <w:rPr>
                <w:b/>
                <w:sz w:val="15"/>
              </w:rPr>
              <w:t>Weighted average number of shares outstanding–diluted</w:t>
            </w:r>
          </w:p>
        </w:tc>
        <w:tc>
          <w:tcPr>
            <w:tcW w:w="95"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sz w:val="15"/>
              </w:rPr>
            </w:pPr>
            <w:r>
              <w:rPr>
                <w:sz w:val="15"/>
              </w:rPr>
              <w:t xml:space="preserve">23,028,596  </w:t>
            </w:r>
          </w:p>
        </w:tc>
        <w:tc>
          <w:tcPr>
            <w:tcW w:w="95"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sz w:val="15"/>
              </w:rPr>
            </w:pPr>
            <w:r>
              <w:rPr>
                <w:sz w:val="15"/>
              </w:rPr>
              <w:t xml:space="preserve">22,993,135  </w:t>
            </w:r>
          </w:p>
        </w:tc>
        <w:tc>
          <w:tcPr>
            <w:tcW w:w="95"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815" w:type="dxa"/>
            <w:tcBorders>
              <w:bottom w:val="single" w:sz="12" w:space="0" w:color="000000"/>
            </w:tcBorders>
            <w:shd w:fill="CCEEFF" w:val="clear"/>
            <w:tcMar>
              <w:bottom w:w="28" w:type="dxa"/>
            </w:tcMar>
            <w:vAlign w:val="bottom"/>
          </w:tcPr>
          <w:p>
            <w:pPr>
              <w:pStyle w:val="TableContents"/>
              <w:spacing w:before="0" w:after="283"/>
              <w:jc w:val="right"/>
              <w:rPr>
                <w:sz w:val="15"/>
              </w:rPr>
            </w:pPr>
            <w:r>
              <w:rPr>
                <w:sz w:val="15"/>
              </w:rPr>
              <w:t xml:space="preserve">22,781,392  </w:t>
            </w:r>
          </w:p>
        </w:tc>
      </w:tr>
    </w:tbl>
    <w:p>
      <w:pPr>
        <w:pStyle w:val="TextBody"/>
        <w:spacing w:before="0" w:after="0"/>
        <w:ind w:left="1440" w:right="0" w:hanging="0"/>
        <w:jc w:val="both"/>
        <w:rPr/>
      </w:pPr>
      <w:r>
        <w:rPr/>
        <w:t xml:space="preserve">  </w:t>
      </w:r>
    </w:p>
    <w:p>
      <w:pPr>
        <w:pStyle w:val="TextBody"/>
        <w:spacing w:before="0" w:after="200"/>
        <w:ind w:left="1440" w:right="0" w:hanging="0"/>
        <w:jc w:val="center"/>
        <w:rPr>
          <w:sz w:val="13"/>
        </w:rPr>
      </w:pPr>
      <w:r>
        <w:rPr>
          <w:sz w:val="13"/>
        </w:rPr>
        <w:t xml:space="preserve">See accompanying notes to consolidated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57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sz w:val="17"/>
        </w:rPr>
      </w:pPr>
      <w:r>
        <w:rPr>
          <w:b/>
          <w:sz w:val="17"/>
        </w:rPr>
        <w:t>Reading International, Inc. and Subsidiaries</w:t>
      </w:r>
      <w:r>
        <w:rPr>
          <w:sz w:val="17"/>
        </w:rPr>
        <w:t xml:space="preserve"> </w:t>
      </w:r>
    </w:p>
    <w:p>
      <w:pPr>
        <w:pStyle w:val="TextBody"/>
        <w:spacing w:before="0" w:after="0"/>
        <w:ind w:left="1440" w:right="0" w:hanging="0"/>
        <w:jc w:val="both"/>
        <w:rPr>
          <w:sz w:val="17"/>
        </w:rPr>
      </w:pPr>
      <w:r>
        <w:rPr>
          <w:b/>
          <w:sz w:val="17"/>
        </w:rPr>
        <w:t>Consolidated Statements of Comprehensive Income (Loss) for the Three Years Ended December 31, 2012</w:t>
      </w:r>
      <w:r>
        <w:rPr>
          <w:sz w:val="17"/>
        </w:rPr>
        <w:t xml:space="preserve"> </w:t>
      </w:r>
    </w:p>
    <w:p>
      <w:pPr>
        <w:pStyle w:val="TextBody"/>
        <w:spacing w:before="0" w:after="0"/>
        <w:ind w:left="1440" w:right="0" w:hanging="0"/>
        <w:jc w:val="both"/>
        <w:rPr>
          <w:sz w:val="17"/>
        </w:rPr>
      </w:pPr>
      <w:r>
        <w:rPr>
          <w:b/>
          <w:sz w:val="17"/>
        </w:rPr>
        <w:t>(U.S. dollars in thousands)</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7655" w:type="dxa"/>
        <w:jc w:val="left"/>
        <w:tblInd w:w="1440" w:type="dxa"/>
        <w:tblCellMar>
          <w:top w:w="0" w:type="dxa"/>
          <w:left w:w="0" w:type="dxa"/>
          <w:bottom w:w="0" w:type="dxa"/>
          <w:right w:w="0" w:type="dxa"/>
        </w:tblCellMar>
      </w:tblPr>
      <w:tblGrid>
        <w:gridCol w:w="5750"/>
        <w:gridCol w:w="95"/>
        <w:gridCol w:w="500"/>
        <w:gridCol w:w="95"/>
        <w:gridCol w:w="530"/>
        <w:gridCol w:w="95"/>
        <w:gridCol w:w="590"/>
      </w:tblGrid>
      <w:tr>
        <w:trPr/>
        <w:tc>
          <w:tcPr>
            <w:tcW w:w="575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575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575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810" w:type="dxa"/>
            <w:gridSpan w:val="5"/>
            <w:tcBorders/>
            <w:shd w:fill="auto" w:val="clear"/>
            <w:vAlign w:val="bottom"/>
          </w:tcPr>
          <w:p>
            <w:pPr>
              <w:pStyle w:val="TableContents"/>
              <w:spacing w:before="0" w:after="1"/>
              <w:ind w:left="0" w:right="0" w:hanging="0"/>
              <w:jc w:val="center"/>
              <w:rPr>
                <w:b/>
                <w:sz w:val="15"/>
                <w:u w:val="single"/>
              </w:rPr>
            </w:pPr>
            <w:r>
              <w:rPr>
                <w:b/>
                <w:sz w:val="15"/>
                <w:u w:val="single"/>
              </w:rPr>
              <w:t>Years Ended December 31,</w:t>
            </w:r>
          </w:p>
        </w:tc>
      </w:tr>
      <w:tr>
        <w:trPr/>
        <w:tc>
          <w:tcPr>
            <w:tcW w:w="575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2011</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2010</w:t>
            </w:r>
          </w:p>
        </w:tc>
      </w:tr>
      <w:tr>
        <w:trPr/>
        <w:tc>
          <w:tcPr>
            <w:tcW w:w="5750"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Net income (loss)</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(1,406)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10,896 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(12,034) </w:t>
            </w:r>
          </w:p>
        </w:tc>
      </w:tr>
      <w:tr>
        <w:trPr/>
        <w:tc>
          <w:tcPr>
            <w:tcW w:w="5750" w:type="dxa"/>
            <w:tcBorders/>
            <w:shd w:fill="FFFFFF" w:val="clear"/>
            <w:vAlign w:val="bottom"/>
          </w:tcPr>
          <w:p>
            <w:pPr>
              <w:pStyle w:val="TableContents"/>
              <w:spacing w:before="0" w:after="1"/>
              <w:ind w:left="0" w:right="0" w:hanging="0"/>
              <w:jc w:val="both"/>
              <w:rPr>
                <w:sz w:val="15"/>
              </w:rPr>
            </w:pPr>
            <w:r>
              <w:rPr>
                <w:sz w:val="15"/>
              </w:rPr>
              <w:t>Reclassification of realized gain on available for sale investments included in net income (loss)</w:t>
            </w:r>
          </w:p>
        </w:tc>
        <w:tc>
          <w:tcPr>
            <w:tcW w:w="95" w:type="dxa"/>
            <w:tcBorders/>
            <w:shd w:fill="FFFFFF" w:val="clear"/>
            <w:vAlign w:val="bottom"/>
          </w:tcPr>
          <w:p>
            <w:pPr>
              <w:pStyle w:val="TableContents"/>
              <w:spacing w:before="0" w:after="1"/>
              <w:ind w:left="0" w:right="0" w:hanging="0"/>
              <w:jc w:val="both"/>
              <w:rPr/>
            </w:pPr>
            <w:r>
              <w:rPr/>
              <w:t> </w:t>
            </w:r>
          </w:p>
        </w:tc>
        <w:tc>
          <w:tcPr>
            <w:tcW w:w="500" w:type="dxa"/>
            <w:tcBorders/>
            <w:shd w:fill="FFFFFF" w:val="clear"/>
            <w:vAlign w:val="bottom"/>
          </w:tcPr>
          <w:p>
            <w:pPr>
              <w:pStyle w:val="TableContents"/>
              <w:spacing w:before="0" w:after="283"/>
              <w:jc w:val="right"/>
              <w:rPr>
                <w:sz w:val="15"/>
              </w:rPr>
            </w:pPr>
            <w:r>
              <w:rPr>
                <w:sz w:val="15"/>
              </w:rPr>
              <w:t xml:space="preserve">(109) </w:t>
            </w:r>
          </w:p>
        </w:tc>
        <w:tc>
          <w:tcPr>
            <w:tcW w:w="95" w:type="dxa"/>
            <w:tcBorders/>
            <w:shd w:fill="FFFFFF" w:val="clear"/>
            <w:vAlign w:val="bottom"/>
          </w:tcPr>
          <w:p>
            <w:pPr>
              <w:pStyle w:val="TableContents"/>
              <w:spacing w:before="0" w:after="1"/>
              <w:ind w:left="0" w:right="0" w:hanging="0"/>
              <w:jc w:val="both"/>
              <w:rPr/>
            </w:pPr>
            <w:r>
              <w:rPr/>
              <w:t> </w:t>
            </w:r>
          </w:p>
        </w:tc>
        <w:tc>
          <w:tcPr>
            <w:tcW w:w="530" w:type="dxa"/>
            <w:tcBorders/>
            <w:shd w:fill="FFFFFF" w:val="clear"/>
            <w:vAlign w:val="bottom"/>
          </w:tcPr>
          <w:p>
            <w:pPr>
              <w:pStyle w:val="TableContents"/>
              <w:spacing w:before="0" w:after="283"/>
              <w:jc w:val="right"/>
              <w:rPr>
                <w:sz w:val="15"/>
              </w:rPr>
            </w:pPr>
            <w:r>
              <w:rPr>
                <w:sz w:val="15"/>
              </w:rPr>
              <w:t xml:space="preserve">(25) </w:t>
            </w:r>
          </w:p>
        </w:tc>
        <w:tc>
          <w:tcPr>
            <w:tcW w:w="95" w:type="dxa"/>
            <w:tcBorders/>
            <w:shd w:fill="FFFFFF" w:val="clear"/>
            <w:vAlign w:val="bottom"/>
          </w:tcPr>
          <w:p>
            <w:pPr>
              <w:pStyle w:val="TableContents"/>
              <w:spacing w:before="0" w:after="1"/>
              <w:ind w:left="0" w:right="0" w:hanging="0"/>
              <w:jc w:val="both"/>
              <w:rPr/>
            </w:pPr>
            <w:r>
              <w:rPr/>
              <w:t> </w:t>
            </w:r>
          </w:p>
        </w:tc>
        <w:tc>
          <w:tcPr>
            <w:tcW w:w="590" w:type="dxa"/>
            <w:tcBorders/>
            <w:shd w:fill="FFFFFF" w:val="clear"/>
            <w:vAlign w:val="bottom"/>
          </w:tcPr>
          <w:p>
            <w:pPr>
              <w:pStyle w:val="TableContents"/>
              <w:spacing w:before="0" w:after="1"/>
              <w:ind w:left="0" w:right="0" w:hanging="0"/>
              <w:jc w:val="right"/>
              <w:rPr>
                <w:sz w:val="15"/>
              </w:rPr>
            </w:pPr>
            <w:r>
              <w:rPr>
                <w:sz w:val="15"/>
              </w:rPr>
              <w:t>--</w:t>
            </w:r>
          </w:p>
        </w:tc>
      </w:tr>
      <w:tr>
        <w:trPr/>
        <w:tc>
          <w:tcPr>
            <w:tcW w:w="5750" w:type="dxa"/>
            <w:tcBorders/>
            <w:shd w:fill="CCEEFF" w:val="clear"/>
            <w:vAlign w:val="bottom"/>
          </w:tcPr>
          <w:p>
            <w:pPr>
              <w:pStyle w:val="TableContents"/>
              <w:spacing w:before="0" w:after="1"/>
              <w:ind w:left="0" w:right="0" w:hanging="0"/>
              <w:jc w:val="both"/>
              <w:rPr>
                <w:sz w:val="15"/>
              </w:rPr>
            </w:pPr>
            <w:r>
              <w:rPr>
                <w:sz w:val="15"/>
              </w:rPr>
              <w:t>Unrealized income (loss) on available for sale investments</w:t>
            </w:r>
          </w:p>
        </w:tc>
        <w:tc>
          <w:tcPr>
            <w:tcW w:w="95"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5"/>
              </w:rPr>
            </w:pPr>
            <w:r>
              <w:rPr>
                <w:sz w:val="15"/>
              </w:rPr>
              <w:t xml:space="preserve">107  </w:t>
            </w:r>
          </w:p>
        </w:tc>
        <w:tc>
          <w:tcPr>
            <w:tcW w:w="95"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5"/>
              </w:rPr>
            </w:pPr>
            <w:r>
              <w:rPr>
                <w:sz w:val="15"/>
              </w:rPr>
              <w:t xml:space="preserve">(7)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(478) </w:t>
            </w:r>
          </w:p>
        </w:tc>
      </w:tr>
      <w:tr>
        <w:trPr/>
        <w:tc>
          <w:tcPr>
            <w:tcW w:w="5750" w:type="dxa"/>
            <w:tcBorders/>
            <w:shd w:fill="FFFFFF" w:val="clear"/>
            <w:vAlign w:val="bottom"/>
          </w:tcPr>
          <w:p>
            <w:pPr>
              <w:pStyle w:val="TableContents"/>
              <w:spacing w:before="0" w:after="1"/>
              <w:ind w:left="0" w:right="0" w:hanging="0"/>
              <w:jc w:val="both"/>
              <w:rPr>
                <w:sz w:val="15"/>
              </w:rPr>
            </w:pPr>
            <w:r>
              <w:rPr>
                <w:sz w:val="15"/>
              </w:rPr>
              <w:t>Cumulative foreign currency adjustment</w:t>
            </w:r>
          </w:p>
        </w:tc>
        <w:tc>
          <w:tcPr>
            <w:tcW w:w="95"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5"/>
              </w:rPr>
            </w:pPr>
            <w:r>
              <w:rPr>
                <w:sz w:val="15"/>
              </w:rPr>
              <w:t xml:space="preserve">4,419  </w:t>
            </w:r>
          </w:p>
        </w:tc>
        <w:tc>
          <w:tcPr>
            <w:tcW w:w="95"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5"/>
              </w:rPr>
            </w:pPr>
            <w:r>
              <w:rPr>
                <w:sz w:val="15"/>
              </w:rPr>
              <w:t xml:space="preserve">1,028 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16,015  </w:t>
            </w:r>
          </w:p>
        </w:tc>
      </w:tr>
      <w:tr>
        <w:trPr/>
        <w:tc>
          <w:tcPr>
            <w:tcW w:w="57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Accrued pension service benefit (costs)</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0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(1,980)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832 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112  </w:t>
            </w:r>
          </w:p>
        </w:tc>
      </w:tr>
      <w:tr>
        <w:trPr/>
        <w:tc>
          <w:tcPr>
            <w:tcW w:w="5750" w:type="dxa"/>
            <w:tcBorders>
              <w:top w:val="single" w:sz="8" w:space="0" w:color="000000"/>
            </w:tcBorders>
            <w:shd w:fill="FFFFFF" w:val="clear"/>
            <w:tcMar>
              <w:top w:w="28" w:type="dxa"/>
            </w:tcMar>
            <w:vAlign w:val="bottom"/>
          </w:tcPr>
          <w:p>
            <w:pPr>
              <w:pStyle w:val="TableContents"/>
              <w:spacing w:before="0" w:after="1"/>
              <w:ind w:left="0" w:right="0" w:hanging="0"/>
              <w:jc w:val="both"/>
              <w:rPr>
                <w:sz w:val="15"/>
              </w:rPr>
            </w:pPr>
            <w:r>
              <w:rPr>
                <w:sz w:val="15"/>
              </w:rPr>
              <w:t>Comprehensive income</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0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1,031 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12,724 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3,615  </w:t>
            </w:r>
          </w:p>
        </w:tc>
      </w:tr>
      <w:tr>
        <w:trPr/>
        <w:tc>
          <w:tcPr>
            <w:tcW w:w="5750" w:type="dxa"/>
            <w:tcBorders/>
            <w:shd w:fill="CCEEFF" w:val="clear"/>
            <w:vAlign w:val="bottom"/>
          </w:tcPr>
          <w:p>
            <w:pPr>
              <w:pStyle w:val="TableContents"/>
              <w:spacing w:before="0" w:after="1"/>
              <w:ind w:left="0" w:right="0" w:hanging="0"/>
              <w:jc w:val="both"/>
              <w:rPr>
                <w:sz w:val="15"/>
              </w:rPr>
            </w:pPr>
            <w:r>
              <w:rPr>
                <w:sz w:val="15"/>
              </w:rPr>
              <w:t>Net (income) loss attributable to noncontrolling interests</w:t>
            </w:r>
          </w:p>
        </w:tc>
        <w:tc>
          <w:tcPr>
            <w:tcW w:w="95"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5"/>
              </w:rPr>
            </w:pPr>
            <w:r>
              <w:rPr>
                <w:sz w:val="15"/>
              </w:rPr>
              <w:t xml:space="preserve">492  </w:t>
            </w:r>
          </w:p>
        </w:tc>
        <w:tc>
          <w:tcPr>
            <w:tcW w:w="95"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5"/>
              </w:rPr>
            </w:pPr>
            <w:r>
              <w:rPr>
                <w:sz w:val="15"/>
              </w:rPr>
              <w:t xml:space="preserve">(940)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(616) </w:t>
            </w:r>
          </w:p>
        </w:tc>
      </w:tr>
      <w:tr>
        <w:trPr/>
        <w:tc>
          <w:tcPr>
            <w:tcW w:w="575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Comprehensive income attributable to noncontrolling interests</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(5)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3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(11)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(43) </w:t>
            </w:r>
          </w:p>
        </w:tc>
      </w:tr>
      <w:tr>
        <w:trPr/>
        <w:tc>
          <w:tcPr>
            <w:tcW w:w="57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Comprehensive income attributable to Reading International, Inc.</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1,518 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11,773 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2,956  </w:t>
            </w:r>
          </w:p>
        </w:tc>
      </w:tr>
    </w:tbl>
    <w:p>
      <w:pPr>
        <w:pStyle w:val="TextBody"/>
        <w:spacing w:before="100" w:after="100"/>
        <w:ind w:left="1440" w:right="0" w:hanging="0"/>
        <w:jc w:val="center"/>
        <w:rPr>
          <w:rFonts w:ascii="Courier New" w:hAnsi="Courier New"/>
          <w:sz w:val="13"/>
        </w:rPr>
      </w:pPr>
      <w:r>
        <w:rPr>
          <w:rFonts w:ascii="Times New Roman" w:hAnsi="Times New Roman"/>
          <w:sz w:val="13"/>
        </w:rPr>
        <w:t>See accompanying notes to consolidated financial statements.</w:t>
      </w:r>
      <w:r>
        <w:rPr>
          <w:rFonts w:ascii="Courier New" w:hAnsi="Courier New"/>
          <w:sz w:val="13"/>
        </w:rPr>
        <w:t xml:space="preserve"> </w:t>
      </w:r>
    </w:p>
    <w:tbl>
      <w:tblPr>
        <w:tblW w:w="90" w:type="dxa"/>
        <w:jc w:val="left"/>
        <w:tblInd w:w="1440" w:type="dxa"/>
        <w:tblCellMar>
          <w:top w:w="0" w:type="dxa"/>
          <w:left w:w="0" w:type="dxa"/>
          <w:bottom w:w="0" w:type="dxa"/>
          <w:right w:w="0" w:type="dxa"/>
        </w:tblCellMar>
      </w:tblPr>
      <w:tblGrid>
        <w:gridCol w:w="90"/>
      </w:tblGrid>
      <w:tr>
        <w:trPr/>
        <w:tc>
          <w:tcPr>
            <w:tcW w:w="90" w:type="dxa"/>
            <w:tcBorders/>
            <w:shd w:fill="FFFFFF" w:val="clear"/>
            <w:vAlign w:val="bottom"/>
          </w:tcPr>
          <w:p>
            <w:pPr>
              <w:pStyle w:val="TableContents"/>
              <w:spacing w:before="100" w:after="100"/>
              <w:ind w:left="0" w:right="0" w:hanging="0"/>
              <w:jc w:val="center"/>
              <w:rPr/>
            </w:pPr>
            <w:r>
              <w:rPr/>
              <w:t> </w:t>
            </w:r>
          </w:p>
        </w:tc>
      </w:tr>
    </w:tbl>
    <w:p>
      <w:pPr>
        <w:pStyle w:val="TextBody"/>
        <w:spacing w:before="100" w:after="100"/>
        <w:ind w:left="1440" w:right="0" w:hanging="0"/>
        <w:jc w:val="both"/>
        <w:rPr/>
      </w:pPr>
      <w:r>
        <w:rPr/>
        <w:t xml:space="preserve">  </w:t>
      </w:r>
    </w:p>
    <w:p>
      <w:pPr>
        <w:pStyle w:val="TextBody"/>
        <w:spacing w:before="100" w:after="100"/>
        <w:ind w:left="1440" w:right="0" w:hanging="0"/>
        <w:jc w:val="both"/>
        <w:rPr/>
      </w:pPr>
      <w:r>
        <w:rPr/>
        <w:t xml:space="preserve">  </w:t>
      </w:r>
    </w:p>
    <w:p>
      <w:pPr>
        <w:pStyle w:val="TextBody"/>
        <w:spacing w:before="0" w:after="200"/>
        <w:ind w:left="420" w:right="0" w:hanging="0"/>
        <w:jc w:val="both"/>
        <w:rPr/>
      </w:pPr>
      <w:r>
        <w:rPr/>
        <w:t xml:space="preserve">  </w:t>
      </w:r>
    </w:p>
    <w:p>
      <w:pPr>
        <w:pStyle w:val="TextBody"/>
        <w:spacing w:before="0" w:after="0"/>
        <w:ind w:left="420" w:right="0" w:hanging="0"/>
        <w:jc w:val="center"/>
        <w:rPr>
          <w:sz w:val="17"/>
        </w:rPr>
      </w:pPr>
      <w:r>
        <w:rPr>
          <w:sz w:val="17"/>
        </w:rPr>
        <w:t xml:space="preserve">58 </w:t>
      </w:r>
    </w:p>
    <w:p>
      <w:pPr>
        <w:pStyle w:val="TextBody"/>
        <w:spacing w:before="0" w:after="0"/>
        <w:ind w:left="420" w:right="0" w:hanging="0"/>
        <w:jc w:val="both"/>
        <w:rPr/>
      </w:pPr>
      <w:r>
        <w:rPr/>
        <w:t xml:space="preserve">  </w:t>
      </w:r>
    </w:p>
    <w:p>
      <w:pPr>
        <w:pStyle w:val="HorizontalLine"/>
        <w:pBdr>
          <w:bottom w:val="double" w:sz="6" w:space="0" w:color="808080"/>
        </w:pBdr>
        <w:ind w:left="420" w:right="0" w:hanging="0"/>
        <w:rPr/>
      </w:pPr>
      <w:r>
        <w:rPr/>
      </w:r>
      <w:r>
        <w:br w:type="page"/>
      </w:r>
    </w:p>
    <w:p>
      <w:pPr>
        <w:pStyle w:val="TextBody"/>
        <w:ind w:left="420" w:right="0" w:hanging="0"/>
        <w:rPr/>
      </w:pPr>
      <w:r>
        <w:rPr/>
        <w:t> </w:t>
      </w:r>
    </w:p>
    <w:p>
      <w:pPr>
        <w:pStyle w:val="TextBody"/>
        <w:spacing w:before="0" w:after="0"/>
        <w:ind w:left="420" w:right="0" w:hanging="0"/>
        <w:jc w:val="both"/>
        <w:rPr/>
      </w:pPr>
      <w:r>
        <w:rPr/>
        <w:t xml:space="preserve">  </w:t>
      </w:r>
    </w:p>
    <w:p>
      <w:pPr>
        <w:pStyle w:val="TextBody"/>
        <w:spacing w:before="0" w:after="0"/>
        <w:ind w:left="420" w:right="0" w:hanging="0"/>
        <w:jc w:val="both"/>
        <w:rPr>
          <w:sz w:val="13"/>
        </w:rPr>
      </w:pPr>
      <w:r>
        <w:rPr>
          <w:b/>
          <w:sz w:val="13"/>
        </w:rPr>
        <w:t>Reading International, Inc. and Subsidiaries</w:t>
      </w:r>
      <w:r>
        <w:rPr>
          <w:sz w:val="13"/>
        </w:rPr>
        <w:t xml:space="preserve"> </w:t>
      </w:r>
    </w:p>
    <w:p>
      <w:pPr>
        <w:pStyle w:val="TextBody"/>
        <w:spacing w:before="0" w:after="0"/>
        <w:ind w:left="420" w:right="0" w:hanging="0"/>
        <w:jc w:val="both"/>
        <w:rPr>
          <w:sz w:val="13"/>
        </w:rPr>
      </w:pPr>
      <w:r>
        <w:rPr>
          <w:b/>
          <w:sz w:val="13"/>
        </w:rPr>
        <w:t>Consolidated Statements of Stockholders’ Equity for the Three Years Ended December 31, 2012</w:t>
      </w:r>
      <w:r>
        <w:rPr>
          <w:sz w:val="13"/>
        </w:rPr>
        <w:t xml:space="preserve"> </w:t>
      </w:r>
    </w:p>
    <w:p>
      <w:pPr>
        <w:pStyle w:val="TextBody"/>
        <w:spacing w:before="0" w:after="0"/>
        <w:ind w:left="420" w:right="0" w:hanging="0"/>
        <w:jc w:val="both"/>
        <w:rPr>
          <w:sz w:val="13"/>
        </w:rPr>
      </w:pPr>
      <w:r>
        <w:rPr>
          <w:b/>
          <w:sz w:val="13"/>
        </w:rPr>
        <w:t>(In thousands)</w:t>
      </w:r>
      <w:r>
        <w:rPr>
          <w:sz w:val="13"/>
        </w:rPr>
        <w:t xml:space="preserve"> </w:t>
      </w:r>
    </w:p>
    <w:tbl>
      <w:tblPr>
        <w:tblW w:w="9785" w:type="dxa"/>
        <w:jc w:val="left"/>
        <w:tblInd w:w="420" w:type="dxa"/>
        <w:tblCellMar>
          <w:top w:w="0" w:type="dxa"/>
          <w:left w:w="0" w:type="dxa"/>
          <w:bottom w:w="0" w:type="dxa"/>
          <w:right w:w="0" w:type="dxa"/>
        </w:tblCellMar>
      </w:tblPr>
      <w:tblGrid>
        <w:gridCol w:w="2912"/>
        <w:gridCol w:w="433"/>
        <w:gridCol w:w="60"/>
        <w:gridCol w:w="92"/>
        <w:gridCol w:w="302"/>
        <w:gridCol w:w="60"/>
        <w:gridCol w:w="388"/>
        <w:gridCol w:w="60"/>
        <w:gridCol w:w="118"/>
        <w:gridCol w:w="284"/>
        <w:gridCol w:w="80"/>
        <w:gridCol w:w="470"/>
        <w:gridCol w:w="81"/>
        <w:gridCol w:w="419"/>
        <w:gridCol w:w="106"/>
        <w:gridCol w:w="626"/>
        <w:gridCol w:w="137"/>
        <w:gridCol w:w="715"/>
        <w:gridCol w:w="130"/>
        <w:gridCol w:w="766"/>
        <w:gridCol w:w="131"/>
        <w:gridCol w:w="676"/>
        <w:gridCol w:w="102"/>
        <w:gridCol w:w="637"/>
      </w:tblGrid>
      <w:tr>
        <w:trPr/>
        <w:tc>
          <w:tcPr>
            <w:tcW w:w="2912" w:type="dxa"/>
            <w:tcBorders/>
            <w:shd w:fill="auto" w:val="clear"/>
            <w:vAlign w:val="bottom"/>
          </w:tcPr>
          <w:p>
            <w:pPr>
              <w:pStyle w:val="TableContents"/>
              <w:spacing w:before="0" w:after="1"/>
              <w:ind w:left="0" w:right="0" w:hanging="0"/>
              <w:jc w:val="both"/>
              <w:rPr/>
            </w:pPr>
            <w:r>
              <w:rPr/>
              <w:t> </w:t>
            </w:r>
          </w:p>
        </w:tc>
        <w:tc>
          <w:tcPr>
            <w:tcW w:w="433"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2" w:type="dxa"/>
            <w:tcBorders/>
            <w:shd w:fill="auto" w:val="clear"/>
            <w:vAlign w:val="bottom"/>
          </w:tcPr>
          <w:p>
            <w:pPr>
              <w:pStyle w:val="TableContents"/>
              <w:spacing w:before="0" w:after="1"/>
              <w:ind w:left="0" w:right="0" w:hanging="0"/>
              <w:jc w:val="both"/>
              <w:rPr/>
            </w:pPr>
            <w:r>
              <w:rPr/>
              <w:t> </w:t>
            </w:r>
          </w:p>
        </w:tc>
        <w:tc>
          <w:tcPr>
            <w:tcW w:w="302"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388"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8" w:type="dxa"/>
            <w:tcBorders/>
            <w:shd w:fill="auto" w:val="clear"/>
            <w:vAlign w:val="bottom"/>
          </w:tcPr>
          <w:p>
            <w:pPr>
              <w:pStyle w:val="TableContents"/>
              <w:spacing w:before="0" w:after="1"/>
              <w:ind w:left="0" w:right="0" w:hanging="0"/>
              <w:jc w:val="both"/>
              <w:rPr/>
            </w:pPr>
            <w:r>
              <w:rPr/>
              <w:t> </w:t>
            </w:r>
          </w:p>
        </w:tc>
        <w:tc>
          <w:tcPr>
            <w:tcW w:w="284"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81" w:type="dxa"/>
            <w:tcBorders/>
            <w:shd w:fill="auto" w:val="clear"/>
            <w:vAlign w:val="bottom"/>
          </w:tcPr>
          <w:p>
            <w:pPr>
              <w:pStyle w:val="TableContents"/>
              <w:spacing w:before="0" w:after="1"/>
              <w:ind w:left="0" w:right="0" w:hanging="0"/>
              <w:jc w:val="both"/>
              <w:rPr/>
            </w:pPr>
            <w:r>
              <w:rPr/>
              <w:t> </w:t>
            </w:r>
          </w:p>
        </w:tc>
        <w:tc>
          <w:tcPr>
            <w:tcW w:w="419" w:type="dxa"/>
            <w:tcBorders/>
            <w:shd w:fill="auto" w:val="clear"/>
            <w:vAlign w:val="bottom"/>
          </w:tcPr>
          <w:p>
            <w:pPr>
              <w:pStyle w:val="TableContents"/>
              <w:spacing w:before="0" w:after="1"/>
              <w:ind w:left="0" w:right="0" w:hanging="0"/>
              <w:jc w:val="both"/>
              <w:rPr/>
            </w:pPr>
            <w:r>
              <w:rPr/>
              <w:t> </w:t>
            </w:r>
          </w:p>
        </w:tc>
        <w:tc>
          <w:tcPr>
            <w:tcW w:w="106" w:type="dxa"/>
            <w:tcBorders/>
            <w:shd w:fill="auto" w:val="clear"/>
            <w:vAlign w:val="bottom"/>
          </w:tcPr>
          <w:p>
            <w:pPr>
              <w:pStyle w:val="TableContents"/>
              <w:spacing w:before="0" w:after="1"/>
              <w:ind w:left="0" w:right="0" w:hanging="0"/>
              <w:jc w:val="both"/>
              <w:rPr/>
            </w:pPr>
            <w:r>
              <w:rPr/>
              <w:t> </w:t>
            </w:r>
          </w:p>
        </w:tc>
        <w:tc>
          <w:tcPr>
            <w:tcW w:w="626" w:type="dxa"/>
            <w:tcBorders/>
            <w:shd w:fill="auto" w:val="clear"/>
            <w:vAlign w:val="bottom"/>
          </w:tcPr>
          <w:p>
            <w:pPr>
              <w:pStyle w:val="TableContents"/>
              <w:spacing w:before="0" w:after="1"/>
              <w:ind w:left="0" w:right="0" w:hanging="0"/>
              <w:jc w:val="both"/>
              <w:rPr/>
            </w:pPr>
            <w:r>
              <w:rPr/>
              <w:t> </w:t>
            </w:r>
          </w:p>
        </w:tc>
        <w:tc>
          <w:tcPr>
            <w:tcW w:w="137" w:type="dxa"/>
            <w:tcBorders/>
            <w:shd w:fill="auto" w:val="clear"/>
            <w:vAlign w:val="bottom"/>
          </w:tcPr>
          <w:p>
            <w:pPr>
              <w:pStyle w:val="TableContents"/>
              <w:spacing w:before="0" w:after="1"/>
              <w:ind w:left="0" w:right="0" w:hanging="0"/>
              <w:jc w:val="both"/>
              <w:rPr/>
            </w:pPr>
            <w:r>
              <w:rPr/>
              <w:t> </w:t>
            </w:r>
          </w:p>
        </w:tc>
        <w:tc>
          <w:tcPr>
            <w:tcW w:w="715" w:type="dxa"/>
            <w:tcBorders/>
            <w:shd w:fill="auto" w:val="clear"/>
            <w:vAlign w:val="bottom"/>
          </w:tcPr>
          <w:p>
            <w:pPr>
              <w:pStyle w:val="TableContents"/>
              <w:spacing w:before="0" w:after="1"/>
              <w:ind w:left="0" w:right="0" w:hanging="0"/>
              <w:jc w:val="both"/>
              <w:rPr/>
            </w:pPr>
            <w:r>
              <w:rPr/>
              <w:t> </w:t>
            </w:r>
          </w:p>
        </w:tc>
        <w:tc>
          <w:tcPr>
            <w:tcW w:w="130" w:type="dxa"/>
            <w:tcBorders/>
            <w:shd w:fill="auto" w:val="clear"/>
            <w:vAlign w:val="bottom"/>
          </w:tcPr>
          <w:p>
            <w:pPr>
              <w:pStyle w:val="TableContents"/>
              <w:spacing w:before="0" w:after="1"/>
              <w:ind w:left="0" w:right="0" w:hanging="0"/>
              <w:jc w:val="both"/>
              <w:rPr/>
            </w:pPr>
            <w:r>
              <w:rPr/>
              <w:t> </w:t>
            </w:r>
          </w:p>
        </w:tc>
        <w:tc>
          <w:tcPr>
            <w:tcW w:w="766" w:type="dxa"/>
            <w:tcBorders/>
            <w:shd w:fill="auto" w:val="clear"/>
            <w:vAlign w:val="bottom"/>
          </w:tcPr>
          <w:p>
            <w:pPr>
              <w:pStyle w:val="TableContents"/>
              <w:spacing w:before="0" w:after="1"/>
              <w:ind w:left="0" w:right="0" w:hanging="0"/>
              <w:jc w:val="both"/>
              <w:rPr/>
            </w:pPr>
            <w:r>
              <w:rPr/>
              <w:t> </w:t>
            </w:r>
          </w:p>
        </w:tc>
        <w:tc>
          <w:tcPr>
            <w:tcW w:w="131" w:type="dxa"/>
            <w:tcBorders/>
            <w:shd w:fill="auto" w:val="clear"/>
            <w:vAlign w:val="bottom"/>
          </w:tcPr>
          <w:p>
            <w:pPr>
              <w:pStyle w:val="TableContents"/>
              <w:spacing w:before="0" w:after="1"/>
              <w:ind w:left="0" w:right="0" w:hanging="0"/>
              <w:jc w:val="both"/>
              <w:rPr/>
            </w:pPr>
            <w:r>
              <w:rPr/>
              <w:t> </w:t>
            </w:r>
          </w:p>
        </w:tc>
        <w:tc>
          <w:tcPr>
            <w:tcW w:w="676"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637" w:type="dxa"/>
            <w:tcBorders/>
            <w:shd w:fill="auto" w:val="clear"/>
            <w:vAlign w:val="bottom"/>
          </w:tcPr>
          <w:p>
            <w:pPr>
              <w:pStyle w:val="TableContents"/>
              <w:spacing w:before="0" w:after="1"/>
              <w:ind w:left="0" w:right="0" w:hanging="0"/>
              <w:jc w:val="both"/>
              <w:rPr/>
            </w:pPr>
            <w:r>
              <w:rPr/>
              <w:t> </w:t>
            </w:r>
          </w:p>
        </w:tc>
      </w:tr>
      <w:tr>
        <w:trPr/>
        <w:tc>
          <w:tcPr>
            <w:tcW w:w="2912" w:type="dxa"/>
            <w:tcBorders/>
            <w:shd w:fill="auto" w:val="clear"/>
            <w:vAlign w:val="bottom"/>
          </w:tcPr>
          <w:p>
            <w:pPr>
              <w:pStyle w:val="TableContents"/>
              <w:spacing w:before="0" w:after="1"/>
              <w:ind w:left="0" w:right="0" w:hanging="0"/>
              <w:jc w:val="both"/>
              <w:rPr/>
            </w:pPr>
            <w:r>
              <w:rPr/>
              <w:t> </w:t>
            </w:r>
          </w:p>
        </w:tc>
        <w:tc>
          <w:tcPr>
            <w:tcW w:w="433"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2" w:type="dxa"/>
            <w:tcBorders/>
            <w:shd w:fill="auto" w:val="clear"/>
            <w:vAlign w:val="bottom"/>
          </w:tcPr>
          <w:p>
            <w:pPr>
              <w:pStyle w:val="TableContents"/>
              <w:spacing w:before="0" w:after="1"/>
              <w:ind w:left="0" w:right="0" w:hanging="0"/>
              <w:jc w:val="both"/>
              <w:rPr/>
            </w:pPr>
            <w:r>
              <w:rPr/>
              <w:t> </w:t>
            </w:r>
          </w:p>
        </w:tc>
        <w:tc>
          <w:tcPr>
            <w:tcW w:w="302"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388"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8" w:type="dxa"/>
            <w:tcBorders/>
            <w:shd w:fill="auto" w:val="clear"/>
            <w:vAlign w:val="bottom"/>
          </w:tcPr>
          <w:p>
            <w:pPr>
              <w:pStyle w:val="TableContents"/>
              <w:spacing w:before="0" w:after="1"/>
              <w:ind w:left="0" w:right="0" w:hanging="0"/>
              <w:jc w:val="both"/>
              <w:rPr/>
            </w:pPr>
            <w:r>
              <w:rPr/>
              <w:t> </w:t>
            </w:r>
          </w:p>
        </w:tc>
        <w:tc>
          <w:tcPr>
            <w:tcW w:w="284"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81" w:type="dxa"/>
            <w:tcBorders/>
            <w:shd w:fill="auto" w:val="clear"/>
            <w:vAlign w:val="bottom"/>
          </w:tcPr>
          <w:p>
            <w:pPr>
              <w:pStyle w:val="TableContents"/>
              <w:spacing w:before="0" w:after="1"/>
              <w:ind w:left="0" w:right="0" w:hanging="0"/>
              <w:jc w:val="both"/>
              <w:rPr/>
            </w:pPr>
            <w:r>
              <w:rPr/>
              <w:t> </w:t>
            </w:r>
          </w:p>
        </w:tc>
        <w:tc>
          <w:tcPr>
            <w:tcW w:w="419" w:type="dxa"/>
            <w:tcBorders/>
            <w:shd w:fill="auto" w:val="clear"/>
            <w:vAlign w:val="bottom"/>
          </w:tcPr>
          <w:p>
            <w:pPr>
              <w:pStyle w:val="TableContents"/>
              <w:spacing w:before="0" w:after="1"/>
              <w:ind w:left="0" w:right="0" w:hanging="0"/>
              <w:jc w:val="both"/>
              <w:rPr/>
            </w:pPr>
            <w:r>
              <w:rPr/>
              <w:t> </w:t>
            </w:r>
          </w:p>
        </w:tc>
        <w:tc>
          <w:tcPr>
            <w:tcW w:w="106" w:type="dxa"/>
            <w:tcBorders/>
            <w:shd w:fill="auto" w:val="clear"/>
            <w:vAlign w:val="bottom"/>
          </w:tcPr>
          <w:p>
            <w:pPr>
              <w:pStyle w:val="TableContents"/>
              <w:spacing w:before="0" w:after="1"/>
              <w:ind w:left="0" w:right="0" w:hanging="0"/>
              <w:jc w:val="both"/>
              <w:rPr/>
            </w:pPr>
            <w:r>
              <w:rPr/>
              <w:t> </w:t>
            </w:r>
          </w:p>
        </w:tc>
        <w:tc>
          <w:tcPr>
            <w:tcW w:w="626" w:type="dxa"/>
            <w:tcBorders/>
            <w:shd w:fill="auto" w:val="clear"/>
            <w:vAlign w:val="bottom"/>
          </w:tcPr>
          <w:p>
            <w:pPr>
              <w:pStyle w:val="TableContents"/>
              <w:spacing w:before="0" w:after="1"/>
              <w:ind w:left="0" w:right="0" w:hanging="0"/>
              <w:jc w:val="both"/>
              <w:rPr/>
            </w:pPr>
            <w:r>
              <w:rPr/>
              <w:t> </w:t>
            </w:r>
          </w:p>
        </w:tc>
        <w:tc>
          <w:tcPr>
            <w:tcW w:w="137" w:type="dxa"/>
            <w:tcBorders/>
            <w:shd w:fill="auto" w:val="clear"/>
            <w:vAlign w:val="bottom"/>
          </w:tcPr>
          <w:p>
            <w:pPr>
              <w:pStyle w:val="TableContents"/>
              <w:spacing w:before="0" w:after="1"/>
              <w:ind w:left="0" w:right="0" w:hanging="0"/>
              <w:jc w:val="both"/>
              <w:rPr/>
            </w:pPr>
            <w:r>
              <w:rPr/>
              <w:t> </w:t>
            </w:r>
          </w:p>
        </w:tc>
        <w:tc>
          <w:tcPr>
            <w:tcW w:w="715" w:type="dxa"/>
            <w:tcBorders/>
            <w:shd w:fill="auto" w:val="clear"/>
            <w:vAlign w:val="bottom"/>
          </w:tcPr>
          <w:p>
            <w:pPr>
              <w:pStyle w:val="TableContents"/>
              <w:spacing w:before="0" w:after="1"/>
              <w:ind w:left="0" w:right="0" w:hanging="0"/>
              <w:jc w:val="both"/>
              <w:rPr/>
            </w:pPr>
            <w:r>
              <w:rPr/>
              <w:t> </w:t>
            </w:r>
          </w:p>
        </w:tc>
        <w:tc>
          <w:tcPr>
            <w:tcW w:w="130" w:type="dxa"/>
            <w:tcBorders/>
            <w:shd w:fill="auto" w:val="clear"/>
            <w:vAlign w:val="bottom"/>
          </w:tcPr>
          <w:p>
            <w:pPr>
              <w:pStyle w:val="TableContents"/>
              <w:spacing w:before="0" w:after="1"/>
              <w:ind w:left="0" w:right="0" w:hanging="0"/>
              <w:jc w:val="both"/>
              <w:rPr/>
            </w:pPr>
            <w:r>
              <w:rPr/>
              <w:t> </w:t>
            </w:r>
          </w:p>
        </w:tc>
        <w:tc>
          <w:tcPr>
            <w:tcW w:w="766" w:type="dxa"/>
            <w:tcBorders/>
            <w:shd w:fill="auto" w:val="clear"/>
            <w:vAlign w:val="bottom"/>
          </w:tcPr>
          <w:p>
            <w:pPr>
              <w:pStyle w:val="TableContents"/>
              <w:spacing w:before="0" w:after="1"/>
              <w:ind w:left="0" w:right="0" w:hanging="0"/>
              <w:jc w:val="both"/>
              <w:rPr/>
            </w:pPr>
            <w:r>
              <w:rPr/>
              <w:t> </w:t>
            </w:r>
          </w:p>
        </w:tc>
        <w:tc>
          <w:tcPr>
            <w:tcW w:w="131" w:type="dxa"/>
            <w:tcBorders/>
            <w:shd w:fill="auto" w:val="clear"/>
            <w:vAlign w:val="bottom"/>
          </w:tcPr>
          <w:p>
            <w:pPr>
              <w:pStyle w:val="TableContents"/>
              <w:spacing w:before="0" w:after="1"/>
              <w:ind w:left="0" w:right="0" w:hanging="0"/>
              <w:jc w:val="both"/>
              <w:rPr/>
            </w:pPr>
            <w:r>
              <w:rPr/>
              <w:t> </w:t>
            </w:r>
          </w:p>
        </w:tc>
        <w:tc>
          <w:tcPr>
            <w:tcW w:w="676"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637" w:type="dxa"/>
            <w:tcBorders/>
            <w:shd w:fill="auto" w:val="clear"/>
            <w:vAlign w:val="bottom"/>
          </w:tcPr>
          <w:p>
            <w:pPr>
              <w:pStyle w:val="TableContents"/>
              <w:spacing w:before="0" w:after="1"/>
              <w:ind w:left="0" w:right="0" w:hanging="0"/>
              <w:jc w:val="both"/>
              <w:rPr/>
            </w:pPr>
            <w:r>
              <w:rPr/>
              <w:t> </w:t>
            </w:r>
          </w:p>
        </w:tc>
      </w:tr>
      <w:tr>
        <w:trPr/>
        <w:tc>
          <w:tcPr>
            <w:tcW w:w="2912" w:type="dxa"/>
            <w:tcBorders/>
            <w:shd w:fill="auto" w:val="clear"/>
            <w:vAlign w:val="bottom"/>
          </w:tcPr>
          <w:p>
            <w:pPr>
              <w:pStyle w:val="TableContents"/>
              <w:spacing w:before="0" w:after="1"/>
              <w:ind w:left="0" w:right="0" w:hanging="0"/>
              <w:jc w:val="both"/>
              <w:rPr/>
            </w:pPr>
            <w:r>
              <w:rPr/>
              <w:t> </w:t>
            </w:r>
          </w:p>
        </w:tc>
        <w:tc>
          <w:tcPr>
            <w:tcW w:w="1335" w:type="dxa"/>
            <w:gridSpan w:val="6"/>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Common Stock</w:t>
            </w:r>
          </w:p>
        </w:tc>
        <w:tc>
          <w:tcPr>
            <w:tcW w:w="60" w:type="dxa"/>
            <w:tcBorders>
              <w:bottom w:val="single" w:sz="8" w:space="0" w:color="000000"/>
            </w:tcBorders>
            <w:shd w:fill="auto" w:val="clear"/>
            <w:tcMar>
              <w:bottom w:w="28" w:type="dxa"/>
            </w:tcMar>
            <w:vAlign w:val="bottom"/>
          </w:tcPr>
          <w:p>
            <w:pPr>
              <w:pStyle w:val="TableContents"/>
              <w:spacing w:before="0" w:after="1"/>
              <w:ind w:left="0" w:right="0" w:hanging="0"/>
              <w:jc w:val="center"/>
              <w:rPr/>
            </w:pPr>
            <w:r>
              <w:rPr/>
              <w:t> </w:t>
            </w:r>
          </w:p>
        </w:tc>
        <w:tc>
          <w:tcPr>
            <w:tcW w:w="118" w:type="dxa"/>
            <w:tcBorders/>
            <w:shd w:fill="auto" w:val="clear"/>
            <w:vAlign w:val="bottom"/>
          </w:tcPr>
          <w:p>
            <w:pPr>
              <w:pStyle w:val="TableContents"/>
              <w:spacing w:before="0" w:after="1"/>
              <w:ind w:left="0" w:right="0" w:hanging="0"/>
              <w:jc w:val="both"/>
              <w:rPr/>
            </w:pPr>
            <w:r>
              <w:rPr/>
              <w:t> </w:t>
            </w:r>
          </w:p>
        </w:tc>
        <w:tc>
          <w:tcPr>
            <w:tcW w:w="284"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81" w:type="dxa"/>
            <w:tcBorders/>
            <w:shd w:fill="auto" w:val="clear"/>
            <w:vAlign w:val="bottom"/>
          </w:tcPr>
          <w:p>
            <w:pPr>
              <w:pStyle w:val="TableContents"/>
              <w:spacing w:before="0" w:after="1"/>
              <w:ind w:left="0" w:right="0" w:hanging="0"/>
              <w:jc w:val="both"/>
              <w:rPr/>
            </w:pPr>
            <w:r>
              <w:rPr/>
              <w:t> </w:t>
            </w:r>
          </w:p>
        </w:tc>
        <w:tc>
          <w:tcPr>
            <w:tcW w:w="419" w:type="dxa"/>
            <w:tcBorders/>
            <w:shd w:fill="auto" w:val="clear"/>
            <w:vAlign w:val="bottom"/>
          </w:tcPr>
          <w:p>
            <w:pPr>
              <w:pStyle w:val="TableContents"/>
              <w:spacing w:before="0" w:after="1"/>
              <w:ind w:left="0" w:right="0" w:hanging="0"/>
              <w:jc w:val="both"/>
              <w:rPr/>
            </w:pPr>
            <w:r>
              <w:rPr/>
              <w:t> </w:t>
            </w:r>
          </w:p>
        </w:tc>
        <w:tc>
          <w:tcPr>
            <w:tcW w:w="106" w:type="dxa"/>
            <w:tcBorders/>
            <w:shd w:fill="auto" w:val="clear"/>
            <w:vAlign w:val="bottom"/>
          </w:tcPr>
          <w:p>
            <w:pPr>
              <w:pStyle w:val="TableContents"/>
              <w:spacing w:before="0" w:after="1"/>
              <w:ind w:left="0" w:right="0" w:hanging="0"/>
              <w:jc w:val="both"/>
              <w:rPr/>
            </w:pPr>
            <w:r>
              <w:rPr/>
              <w:t> </w:t>
            </w:r>
          </w:p>
        </w:tc>
        <w:tc>
          <w:tcPr>
            <w:tcW w:w="626" w:type="dxa"/>
            <w:tcBorders/>
            <w:shd w:fill="auto" w:val="clear"/>
            <w:vAlign w:val="bottom"/>
          </w:tcPr>
          <w:p>
            <w:pPr>
              <w:pStyle w:val="TableContents"/>
              <w:spacing w:before="0" w:after="1"/>
              <w:ind w:left="0" w:right="0" w:hanging="0"/>
              <w:jc w:val="both"/>
              <w:rPr/>
            </w:pPr>
            <w:r>
              <w:rPr/>
              <w:t> </w:t>
            </w:r>
          </w:p>
        </w:tc>
        <w:tc>
          <w:tcPr>
            <w:tcW w:w="852" w:type="dxa"/>
            <w:gridSpan w:val="2"/>
            <w:tcBorders/>
            <w:shd w:fill="auto" w:val="clear"/>
            <w:vAlign w:val="bottom"/>
          </w:tcPr>
          <w:p>
            <w:pPr>
              <w:pStyle w:val="TableContents"/>
              <w:spacing w:before="0" w:after="1"/>
              <w:ind w:left="0" w:right="0" w:hanging="0"/>
              <w:jc w:val="center"/>
              <w:rPr>
                <w:b/>
                <w:sz w:val="12"/>
              </w:rPr>
            </w:pPr>
            <w:r>
              <w:rPr>
                <w:b/>
                <w:sz w:val="12"/>
              </w:rPr>
              <w:t xml:space="preserve">Accumulated </w:t>
            </w:r>
          </w:p>
        </w:tc>
        <w:tc>
          <w:tcPr>
            <w:tcW w:w="896" w:type="dxa"/>
            <w:gridSpan w:val="2"/>
            <w:tcBorders/>
            <w:shd w:fill="auto" w:val="clear"/>
            <w:vAlign w:val="bottom"/>
          </w:tcPr>
          <w:p>
            <w:pPr>
              <w:pStyle w:val="TableContents"/>
              <w:spacing w:before="0" w:after="1"/>
              <w:ind w:left="0" w:right="0" w:hanging="0"/>
              <w:jc w:val="center"/>
              <w:rPr>
                <w:b/>
                <w:sz w:val="12"/>
              </w:rPr>
            </w:pPr>
            <w:r>
              <w:rPr>
                <w:b/>
                <w:sz w:val="12"/>
              </w:rPr>
              <w:t>Reading</w:t>
            </w:r>
          </w:p>
        </w:tc>
        <w:tc>
          <w:tcPr>
            <w:tcW w:w="131" w:type="dxa"/>
            <w:tcBorders/>
            <w:shd w:fill="auto" w:val="clear"/>
            <w:vAlign w:val="bottom"/>
          </w:tcPr>
          <w:p>
            <w:pPr>
              <w:pStyle w:val="TableContents"/>
              <w:spacing w:before="0" w:after="1"/>
              <w:ind w:left="0" w:right="0" w:hanging="0"/>
              <w:jc w:val="both"/>
              <w:rPr/>
            </w:pPr>
            <w:r>
              <w:rPr/>
              <w:t> </w:t>
            </w:r>
          </w:p>
        </w:tc>
        <w:tc>
          <w:tcPr>
            <w:tcW w:w="676"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637" w:type="dxa"/>
            <w:tcBorders/>
            <w:shd w:fill="auto" w:val="clear"/>
            <w:vAlign w:val="bottom"/>
          </w:tcPr>
          <w:p>
            <w:pPr>
              <w:pStyle w:val="TableContents"/>
              <w:spacing w:before="0" w:after="1"/>
              <w:ind w:left="0" w:right="0" w:hanging="0"/>
              <w:jc w:val="both"/>
              <w:rPr/>
            </w:pPr>
            <w:r>
              <w:rPr/>
              <w:t> </w:t>
            </w:r>
          </w:p>
        </w:tc>
      </w:tr>
      <w:tr>
        <w:trPr/>
        <w:tc>
          <w:tcPr>
            <w:tcW w:w="2912" w:type="dxa"/>
            <w:tcBorders>
              <w:right w:val="single" w:sz="8" w:space="0" w:color="000000"/>
            </w:tcBorders>
            <w:shd w:fill="auto" w:val="clear"/>
            <w:tcMar>
              <w:right w:w="28" w:type="dxa"/>
            </w:tcMar>
            <w:vAlign w:val="bottom"/>
          </w:tcPr>
          <w:p>
            <w:pPr>
              <w:pStyle w:val="TableContents"/>
              <w:spacing w:before="0" w:after="1"/>
              <w:ind w:left="0" w:right="0" w:hanging="0"/>
              <w:jc w:val="center"/>
              <w:rPr/>
            </w:pPr>
            <w:r>
              <w:rPr/>
              <w:t> </w:t>
            </w:r>
          </w:p>
        </w:tc>
        <w:tc>
          <w:tcPr>
            <w:tcW w:w="433" w:type="dxa"/>
            <w:tcBorders>
              <w:top w:val="single" w:sz="8" w:space="0" w:color="000000"/>
              <w:left w:val="single" w:sz="8" w:space="0" w:color="000000"/>
            </w:tcBorders>
            <w:shd w:fill="auto" w:val="clear"/>
            <w:tcMar>
              <w:top w:w="28" w:type="dxa"/>
              <w:left w:w="28" w:type="dxa"/>
            </w:tcMar>
            <w:vAlign w:val="bottom"/>
          </w:tcPr>
          <w:p>
            <w:pPr>
              <w:pStyle w:val="TableContents"/>
              <w:spacing w:before="0" w:after="1"/>
              <w:ind w:left="0" w:right="0" w:hanging="0"/>
              <w:jc w:val="center"/>
              <w:rPr/>
            </w:pPr>
            <w:r>
              <w:rPr/>
              <w:t> </w:t>
            </w:r>
          </w:p>
        </w:tc>
        <w:tc>
          <w:tcPr>
            <w:tcW w:w="60" w:type="dxa"/>
            <w:tcBorders>
              <w:top w:val="single" w:sz="8" w:space="0" w:color="000000"/>
              <w:right w:val="single" w:sz="8" w:space="0" w:color="000000"/>
            </w:tcBorders>
            <w:shd w:fill="auto" w:val="clear"/>
            <w:tcMar>
              <w:top w:w="28" w:type="dxa"/>
              <w:right w:w="28" w:type="dxa"/>
            </w:tcMar>
            <w:vAlign w:val="bottom"/>
          </w:tcPr>
          <w:p>
            <w:pPr>
              <w:pStyle w:val="TableContents"/>
              <w:spacing w:before="0" w:after="1"/>
              <w:ind w:left="0" w:right="0" w:hanging="0"/>
              <w:jc w:val="center"/>
              <w:rPr/>
            </w:pPr>
            <w:r>
              <w:rPr/>
              <w:t> </w:t>
            </w:r>
          </w:p>
        </w:tc>
        <w:tc>
          <w:tcPr>
            <w:tcW w:w="394" w:type="dxa"/>
            <w:gridSpan w:val="2"/>
            <w:tcBorders>
              <w:left w:val="single" w:sz="8" w:space="0" w:color="000000"/>
            </w:tcBorders>
            <w:shd w:fill="auto" w:val="clear"/>
            <w:tcMar>
              <w:left w:w="28" w:type="dxa"/>
            </w:tcMar>
            <w:vAlign w:val="bottom"/>
          </w:tcPr>
          <w:p>
            <w:pPr>
              <w:pStyle w:val="TableContents"/>
              <w:spacing w:before="0" w:after="1"/>
              <w:ind w:left="0" w:right="0" w:hanging="0"/>
              <w:jc w:val="center"/>
              <w:rPr>
                <w:b/>
                <w:sz w:val="12"/>
              </w:rPr>
            </w:pPr>
            <w:r>
              <w:rPr>
                <w:b/>
                <w:sz w:val="12"/>
              </w:rPr>
              <w:t>Class A</w:t>
            </w:r>
          </w:p>
        </w:tc>
        <w:tc>
          <w:tcPr>
            <w:tcW w:w="60" w:type="dxa"/>
            <w:tcBorders>
              <w:right w:val="single" w:sz="8" w:space="0" w:color="000000"/>
            </w:tcBorders>
            <w:shd w:fill="auto" w:val="clear"/>
            <w:tcMar>
              <w:right w:w="28" w:type="dxa"/>
            </w:tcMar>
            <w:vAlign w:val="bottom"/>
          </w:tcPr>
          <w:p>
            <w:pPr>
              <w:pStyle w:val="TableContents"/>
              <w:spacing w:before="0" w:after="1"/>
              <w:ind w:left="0" w:right="0" w:hanging="0"/>
              <w:jc w:val="both"/>
              <w:rPr/>
            </w:pPr>
            <w:r>
              <w:rPr/>
              <w:t> </w:t>
            </w:r>
          </w:p>
        </w:tc>
        <w:tc>
          <w:tcPr>
            <w:tcW w:w="388" w:type="dxa"/>
            <w:tcBorders>
              <w:top w:val="single" w:sz="8" w:space="0" w:color="000000"/>
              <w:left w:val="single" w:sz="8" w:space="0" w:color="000000"/>
            </w:tcBorders>
            <w:shd w:fill="auto" w:val="clear"/>
            <w:tcMar>
              <w:top w:w="28" w:type="dxa"/>
              <w:left w:w="28" w:type="dxa"/>
            </w:tcMar>
            <w:vAlign w:val="bottom"/>
          </w:tcPr>
          <w:p>
            <w:pPr>
              <w:pStyle w:val="TableContents"/>
              <w:spacing w:before="0" w:after="1"/>
              <w:ind w:left="0" w:right="0" w:hanging="0"/>
              <w:jc w:val="center"/>
              <w:rPr/>
            </w:pPr>
            <w:r>
              <w:rPr/>
              <w:t> </w:t>
            </w:r>
          </w:p>
        </w:tc>
        <w:tc>
          <w:tcPr>
            <w:tcW w:w="60" w:type="dxa"/>
            <w:tcBorders>
              <w:top w:val="single" w:sz="8" w:space="0" w:color="000000"/>
              <w:right w:val="single" w:sz="8" w:space="0" w:color="000000"/>
            </w:tcBorders>
            <w:shd w:fill="auto" w:val="clear"/>
            <w:tcMar>
              <w:top w:w="28" w:type="dxa"/>
              <w:right w:w="28" w:type="dxa"/>
            </w:tcMar>
            <w:vAlign w:val="bottom"/>
          </w:tcPr>
          <w:p>
            <w:pPr>
              <w:pStyle w:val="TableContents"/>
              <w:spacing w:before="0" w:after="1"/>
              <w:ind w:left="0" w:right="0" w:hanging="0"/>
              <w:jc w:val="center"/>
              <w:rPr/>
            </w:pPr>
            <w:r>
              <w:rPr/>
              <w:t> </w:t>
            </w:r>
          </w:p>
        </w:tc>
        <w:tc>
          <w:tcPr>
            <w:tcW w:w="402" w:type="dxa"/>
            <w:gridSpan w:val="2"/>
            <w:tcBorders>
              <w:left w:val="single" w:sz="8" w:space="0" w:color="000000"/>
            </w:tcBorders>
            <w:shd w:fill="auto" w:val="clear"/>
            <w:tcMar>
              <w:left w:w="28" w:type="dxa"/>
            </w:tcMar>
            <w:vAlign w:val="bottom"/>
          </w:tcPr>
          <w:p>
            <w:pPr>
              <w:pStyle w:val="TableContents"/>
              <w:spacing w:before="0" w:after="1"/>
              <w:ind w:left="0" w:right="0" w:hanging="0"/>
              <w:jc w:val="center"/>
              <w:rPr>
                <w:b/>
                <w:sz w:val="12"/>
              </w:rPr>
            </w:pPr>
            <w:r>
              <w:rPr>
                <w:b/>
                <w:sz w:val="12"/>
              </w:rPr>
              <w:t xml:space="preserve">Class B </w:t>
            </w:r>
          </w:p>
        </w:tc>
        <w:tc>
          <w:tcPr>
            <w:tcW w:w="550" w:type="dxa"/>
            <w:gridSpan w:val="2"/>
            <w:tcBorders/>
            <w:shd w:fill="auto" w:val="clear"/>
            <w:vAlign w:val="bottom"/>
          </w:tcPr>
          <w:p>
            <w:pPr>
              <w:pStyle w:val="TableContents"/>
              <w:spacing w:before="0" w:after="1"/>
              <w:ind w:left="0" w:right="0" w:hanging="0"/>
              <w:jc w:val="center"/>
              <w:rPr>
                <w:b/>
                <w:sz w:val="12"/>
              </w:rPr>
            </w:pPr>
            <w:r>
              <w:rPr>
                <w:b/>
                <w:sz w:val="12"/>
              </w:rPr>
              <w:t>Additional</w:t>
            </w:r>
          </w:p>
        </w:tc>
        <w:tc>
          <w:tcPr>
            <w:tcW w:w="81" w:type="dxa"/>
            <w:tcBorders/>
            <w:shd w:fill="auto" w:val="clear"/>
            <w:vAlign w:val="bottom"/>
          </w:tcPr>
          <w:p>
            <w:pPr>
              <w:pStyle w:val="TableContents"/>
              <w:spacing w:before="0" w:after="1"/>
              <w:ind w:left="0" w:right="0" w:hanging="0"/>
              <w:jc w:val="center"/>
              <w:rPr/>
            </w:pPr>
            <w:r>
              <w:rPr/>
              <w:t> </w:t>
            </w:r>
          </w:p>
        </w:tc>
        <w:tc>
          <w:tcPr>
            <w:tcW w:w="419" w:type="dxa"/>
            <w:tcBorders/>
            <w:shd w:fill="auto" w:val="clear"/>
            <w:vAlign w:val="bottom"/>
          </w:tcPr>
          <w:p>
            <w:pPr>
              <w:pStyle w:val="TableContents"/>
              <w:spacing w:before="0" w:after="1"/>
              <w:ind w:left="0" w:right="0" w:hanging="0"/>
              <w:jc w:val="center"/>
              <w:rPr/>
            </w:pPr>
            <w:r>
              <w:rPr/>
              <w:t> </w:t>
            </w:r>
          </w:p>
        </w:tc>
        <w:tc>
          <w:tcPr>
            <w:tcW w:w="106" w:type="dxa"/>
            <w:tcBorders/>
            <w:shd w:fill="auto" w:val="clear"/>
            <w:vAlign w:val="bottom"/>
          </w:tcPr>
          <w:p>
            <w:pPr>
              <w:pStyle w:val="TableContents"/>
              <w:spacing w:before="0" w:after="1"/>
              <w:ind w:left="0" w:right="0" w:hanging="0"/>
              <w:jc w:val="center"/>
              <w:rPr/>
            </w:pPr>
            <w:r>
              <w:rPr/>
              <w:t> </w:t>
            </w:r>
          </w:p>
        </w:tc>
        <w:tc>
          <w:tcPr>
            <w:tcW w:w="626" w:type="dxa"/>
            <w:tcBorders/>
            <w:shd w:fill="auto" w:val="clear"/>
            <w:vAlign w:val="bottom"/>
          </w:tcPr>
          <w:p>
            <w:pPr>
              <w:pStyle w:val="TableContents"/>
              <w:spacing w:before="0" w:after="1"/>
              <w:ind w:left="0" w:right="0" w:hanging="0"/>
              <w:jc w:val="center"/>
              <w:rPr/>
            </w:pPr>
            <w:r>
              <w:rPr/>
              <w:t> </w:t>
            </w:r>
          </w:p>
        </w:tc>
        <w:tc>
          <w:tcPr>
            <w:tcW w:w="852" w:type="dxa"/>
            <w:gridSpan w:val="2"/>
            <w:tcBorders/>
            <w:shd w:fill="auto" w:val="clear"/>
            <w:vAlign w:val="bottom"/>
          </w:tcPr>
          <w:p>
            <w:pPr>
              <w:pStyle w:val="TableContents"/>
              <w:spacing w:before="0" w:after="1"/>
              <w:ind w:left="0" w:right="0" w:hanging="0"/>
              <w:jc w:val="center"/>
              <w:rPr>
                <w:b/>
                <w:sz w:val="12"/>
              </w:rPr>
            </w:pPr>
            <w:r>
              <w:rPr>
                <w:b/>
                <w:sz w:val="12"/>
              </w:rPr>
              <w:t xml:space="preserve">Other </w:t>
            </w:r>
          </w:p>
        </w:tc>
        <w:tc>
          <w:tcPr>
            <w:tcW w:w="896" w:type="dxa"/>
            <w:gridSpan w:val="2"/>
            <w:tcBorders/>
            <w:shd w:fill="auto" w:val="clear"/>
            <w:vAlign w:val="bottom"/>
          </w:tcPr>
          <w:p>
            <w:pPr>
              <w:pStyle w:val="TableContents"/>
              <w:spacing w:before="0" w:after="1"/>
              <w:ind w:left="0" w:right="0" w:hanging="0"/>
              <w:jc w:val="center"/>
              <w:rPr>
                <w:b/>
                <w:sz w:val="12"/>
              </w:rPr>
            </w:pPr>
            <w:r>
              <w:rPr>
                <w:b/>
                <w:sz w:val="12"/>
              </w:rPr>
              <w:t xml:space="preserve">International Inc. </w:t>
            </w:r>
          </w:p>
        </w:tc>
        <w:tc>
          <w:tcPr>
            <w:tcW w:w="131" w:type="dxa"/>
            <w:tcBorders/>
            <w:shd w:fill="auto" w:val="clear"/>
            <w:vAlign w:val="bottom"/>
          </w:tcPr>
          <w:p>
            <w:pPr>
              <w:pStyle w:val="TableContents"/>
              <w:spacing w:before="0" w:after="1"/>
              <w:ind w:left="0" w:right="0" w:hanging="0"/>
              <w:jc w:val="center"/>
              <w:rPr/>
            </w:pPr>
            <w:r>
              <w:rPr/>
              <w:t> </w:t>
            </w:r>
          </w:p>
        </w:tc>
        <w:tc>
          <w:tcPr>
            <w:tcW w:w="676" w:type="dxa"/>
            <w:tcBorders/>
            <w:shd w:fill="auto" w:val="clear"/>
          </w:tcPr>
          <w:p>
            <w:pPr>
              <w:pStyle w:val="TableContents"/>
              <w:spacing w:before="0" w:after="1"/>
              <w:ind w:left="0" w:right="0" w:hanging="0"/>
              <w:jc w:val="center"/>
              <w:rPr/>
            </w:pPr>
            <w:r>
              <w:rPr/>
              <w:t> </w:t>
            </w:r>
          </w:p>
        </w:tc>
        <w:tc>
          <w:tcPr>
            <w:tcW w:w="739" w:type="dxa"/>
            <w:gridSpan w:val="2"/>
            <w:tcBorders/>
            <w:shd w:fill="auto" w:val="clear"/>
            <w:vAlign w:val="bottom"/>
          </w:tcPr>
          <w:p>
            <w:pPr>
              <w:pStyle w:val="TableContents"/>
              <w:spacing w:before="0" w:after="1"/>
              <w:ind w:left="0" w:right="0" w:hanging="0"/>
              <w:jc w:val="center"/>
              <w:rPr>
                <w:b/>
                <w:sz w:val="12"/>
              </w:rPr>
            </w:pPr>
            <w:r>
              <w:rPr>
                <w:b/>
                <w:sz w:val="12"/>
              </w:rPr>
              <w:t>Total</w:t>
            </w:r>
          </w:p>
        </w:tc>
      </w:tr>
      <w:tr>
        <w:trPr/>
        <w:tc>
          <w:tcPr>
            <w:tcW w:w="2912" w:type="dxa"/>
            <w:tcBorders>
              <w:right w:val="single" w:sz="8" w:space="0" w:color="000000"/>
            </w:tcBorders>
            <w:shd w:fill="auto" w:val="clear"/>
            <w:tcMar>
              <w:right w:w="28" w:type="dxa"/>
            </w:tcMar>
            <w:vAlign w:val="bottom"/>
          </w:tcPr>
          <w:p>
            <w:pPr>
              <w:pStyle w:val="TableContents"/>
              <w:spacing w:before="0" w:after="1"/>
              <w:ind w:left="0" w:right="0" w:hanging="0"/>
              <w:jc w:val="center"/>
              <w:rPr/>
            </w:pPr>
            <w:r>
              <w:rPr/>
              <w:t> </w:t>
            </w:r>
          </w:p>
        </w:tc>
        <w:tc>
          <w:tcPr>
            <w:tcW w:w="433" w:type="dxa"/>
            <w:tcBorders>
              <w:left w:val="single" w:sz="8" w:space="0" w:color="000000"/>
            </w:tcBorders>
            <w:shd w:fill="auto" w:val="clear"/>
            <w:tcMar>
              <w:left w:w="28" w:type="dxa"/>
            </w:tcMar>
            <w:vAlign w:val="bottom"/>
          </w:tcPr>
          <w:p>
            <w:pPr>
              <w:pStyle w:val="TableContents"/>
              <w:spacing w:before="0" w:after="1"/>
              <w:ind w:left="0" w:right="0" w:hanging="0"/>
              <w:jc w:val="center"/>
              <w:rPr>
                <w:b/>
                <w:sz w:val="12"/>
              </w:rPr>
            </w:pPr>
            <w:r>
              <w:rPr>
                <w:b/>
                <w:sz w:val="12"/>
              </w:rPr>
              <w:t xml:space="preserve">Class A </w:t>
            </w:r>
          </w:p>
        </w:tc>
        <w:tc>
          <w:tcPr>
            <w:tcW w:w="60" w:type="dxa"/>
            <w:tcBorders>
              <w:right w:val="single" w:sz="8" w:space="0" w:color="000000"/>
            </w:tcBorders>
            <w:shd w:fill="auto" w:val="clear"/>
            <w:tcMar>
              <w:right w:w="28" w:type="dxa"/>
            </w:tcMar>
            <w:vAlign w:val="bottom"/>
          </w:tcPr>
          <w:p>
            <w:pPr>
              <w:pStyle w:val="TableContents"/>
              <w:spacing w:before="0" w:after="1"/>
              <w:ind w:left="0" w:right="0" w:hanging="0"/>
              <w:jc w:val="center"/>
              <w:rPr/>
            </w:pPr>
            <w:r>
              <w:rPr/>
              <w:t> </w:t>
            </w:r>
          </w:p>
        </w:tc>
        <w:tc>
          <w:tcPr>
            <w:tcW w:w="394" w:type="dxa"/>
            <w:gridSpan w:val="2"/>
            <w:tcBorders>
              <w:left w:val="single" w:sz="8" w:space="0" w:color="000000"/>
            </w:tcBorders>
            <w:shd w:fill="auto" w:val="clear"/>
            <w:tcMar>
              <w:left w:w="28" w:type="dxa"/>
            </w:tcMar>
            <w:vAlign w:val="bottom"/>
          </w:tcPr>
          <w:p>
            <w:pPr>
              <w:pStyle w:val="TableContents"/>
              <w:spacing w:before="0" w:after="1"/>
              <w:ind w:left="0" w:right="0" w:hanging="0"/>
              <w:jc w:val="center"/>
              <w:rPr>
                <w:b/>
                <w:sz w:val="12"/>
              </w:rPr>
            </w:pPr>
            <w:r>
              <w:rPr>
                <w:b/>
                <w:sz w:val="12"/>
              </w:rPr>
              <w:t xml:space="preserve">Par </w:t>
            </w:r>
          </w:p>
        </w:tc>
        <w:tc>
          <w:tcPr>
            <w:tcW w:w="60" w:type="dxa"/>
            <w:tcBorders>
              <w:right w:val="single" w:sz="8" w:space="0" w:color="000000"/>
            </w:tcBorders>
            <w:shd w:fill="auto" w:val="clear"/>
            <w:tcMar>
              <w:right w:w="28" w:type="dxa"/>
            </w:tcMar>
            <w:vAlign w:val="bottom"/>
          </w:tcPr>
          <w:p>
            <w:pPr>
              <w:pStyle w:val="TableContents"/>
              <w:spacing w:before="0" w:after="1"/>
              <w:ind w:left="0" w:right="0" w:hanging="0"/>
              <w:jc w:val="both"/>
              <w:rPr/>
            </w:pPr>
            <w:r>
              <w:rPr/>
              <w:t> </w:t>
            </w:r>
          </w:p>
        </w:tc>
        <w:tc>
          <w:tcPr>
            <w:tcW w:w="388" w:type="dxa"/>
            <w:tcBorders>
              <w:left w:val="single" w:sz="8" w:space="0" w:color="000000"/>
            </w:tcBorders>
            <w:shd w:fill="auto" w:val="clear"/>
            <w:tcMar>
              <w:left w:w="28" w:type="dxa"/>
            </w:tcMar>
            <w:vAlign w:val="bottom"/>
          </w:tcPr>
          <w:p>
            <w:pPr>
              <w:pStyle w:val="TableContents"/>
              <w:spacing w:before="0" w:after="1"/>
              <w:ind w:left="0" w:right="0" w:hanging="0"/>
              <w:jc w:val="center"/>
              <w:rPr>
                <w:b/>
                <w:sz w:val="12"/>
              </w:rPr>
            </w:pPr>
            <w:r>
              <w:rPr>
                <w:b/>
                <w:sz w:val="12"/>
              </w:rPr>
              <w:t>Class B</w:t>
            </w:r>
          </w:p>
        </w:tc>
        <w:tc>
          <w:tcPr>
            <w:tcW w:w="60" w:type="dxa"/>
            <w:tcBorders>
              <w:right w:val="single" w:sz="8" w:space="0" w:color="000000"/>
            </w:tcBorders>
            <w:shd w:fill="auto" w:val="clear"/>
            <w:tcMar>
              <w:right w:w="28" w:type="dxa"/>
            </w:tcMar>
            <w:vAlign w:val="bottom"/>
          </w:tcPr>
          <w:p>
            <w:pPr>
              <w:pStyle w:val="TableContents"/>
              <w:spacing w:before="0" w:after="1"/>
              <w:ind w:left="0" w:right="0" w:hanging="0"/>
              <w:jc w:val="center"/>
              <w:rPr/>
            </w:pPr>
            <w:r>
              <w:rPr/>
              <w:t> </w:t>
            </w:r>
          </w:p>
        </w:tc>
        <w:tc>
          <w:tcPr>
            <w:tcW w:w="402" w:type="dxa"/>
            <w:gridSpan w:val="2"/>
            <w:tcBorders>
              <w:left w:val="single" w:sz="8" w:space="0" w:color="000000"/>
            </w:tcBorders>
            <w:shd w:fill="auto" w:val="clear"/>
            <w:tcMar>
              <w:left w:w="28" w:type="dxa"/>
            </w:tcMar>
            <w:vAlign w:val="bottom"/>
          </w:tcPr>
          <w:p>
            <w:pPr>
              <w:pStyle w:val="TableContents"/>
              <w:spacing w:before="0" w:after="1"/>
              <w:ind w:left="0" w:right="0" w:hanging="0"/>
              <w:jc w:val="center"/>
              <w:rPr>
                <w:b/>
                <w:sz w:val="12"/>
              </w:rPr>
            </w:pPr>
            <w:r>
              <w:rPr>
                <w:b/>
                <w:sz w:val="12"/>
              </w:rPr>
              <w:t>Par</w:t>
            </w:r>
          </w:p>
        </w:tc>
        <w:tc>
          <w:tcPr>
            <w:tcW w:w="550" w:type="dxa"/>
            <w:gridSpan w:val="2"/>
            <w:tcBorders/>
            <w:shd w:fill="auto" w:val="clear"/>
            <w:vAlign w:val="bottom"/>
          </w:tcPr>
          <w:p>
            <w:pPr>
              <w:pStyle w:val="TableContents"/>
              <w:spacing w:before="0" w:after="1"/>
              <w:ind w:left="0" w:right="0" w:hanging="0"/>
              <w:jc w:val="center"/>
              <w:rPr>
                <w:b/>
                <w:sz w:val="12"/>
              </w:rPr>
            </w:pPr>
            <w:r>
              <w:rPr>
                <w:b/>
                <w:sz w:val="12"/>
              </w:rPr>
              <w:t>Paid-In</w:t>
            </w:r>
          </w:p>
        </w:tc>
        <w:tc>
          <w:tcPr>
            <w:tcW w:w="500" w:type="dxa"/>
            <w:gridSpan w:val="2"/>
            <w:tcBorders/>
            <w:shd w:fill="auto" w:val="clear"/>
            <w:vAlign w:val="bottom"/>
          </w:tcPr>
          <w:p>
            <w:pPr>
              <w:pStyle w:val="TableContents"/>
              <w:spacing w:before="0" w:after="1"/>
              <w:ind w:left="0" w:right="0" w:hanging="0"/>
              <w:jc w:val="center"/>
              <w:rPr>
                <w:b/>
                <w:sz w:val="12"/>
              </w:rPr>
            </w:pPr>
            <w:r>
              <w:rPr>
                <w:b/>
                <w:sz w:val="12"/>
              </w:rPr>
              <w:t>Treasury</w:t>
            </w:r>
          </w:p>
        </w:tc>
        <w:tc>
          <w:tcPr>
            <w:tcW w:w="732" w:type="dxa"/>
            <w:gridSpan w:val="2"/>
            <w:tcBorders/>
            <w:shd w:fill="auto" w:val="clear"/>
            <w:vAlign w:val="bottom"/>
          </w:tcPr>
          <w:p>
            <w:pPr>
              <w:pStyle w:val="TableContents"/>
              <w:spacing w:before="0" w:after="1"/>
              <w:ind w:left="0" w:right="0" w:hanging="0"/>
              <w:jc w:val="center"/>
              <w:rPr>
                <w:b/>
                <w:sz w:val="12"/>
              </w:rPr>
            </w:pPr>
            <w:r>
              <w:rPr>
                <w:b/>
                <w:sz w:val="12"/>
              </w:rPr>
              <w:t xml:space="preserve">Accumulated </w:t>
            </w:r>
          </w:p>
        </w:tc>
        <w:tc>
          <w:tcPr>
            <w:tcW w:w="852" w:type="dxa"/>
            <w:gridSpan w:val="2"/>
            <w:tcBorders/>
            <w:shd w:fill="auto" w:val="clear"/>
            <w:vAlign w:val="bottom"/>
          </w:tcPr>
          <w:p>
            <w:pPr>
              <w:pStyle w:val="TableContents"/>
              <w:spacing w:before="0" w:after="1"/>
              <w:ind w:left="0" w:right="0" w:hanging="0"/>
              <w:jc w:val="center"/>
              <w:rPr>
                <w:b/>
                <w:sz w:val="12"/>
              </w:rPr>
            </w:pPr>
            <w:r>
              <w:rPr>
                <w:b/>
                <w:sz w:val="12"/>
              </w:rPr>
              <w:t xml:space="preserve">Comprehensive </w:t>
            </w:r>
          </w:p>
        </w:tc>
        <w:tc>
          <w:tcPr>
            <w:tcW w:w="896" w:type="dxa"/>
            <w:gridSpan w:val="2"/>
            <w:tcBorders/>
            <w:shd w:fill="auto" w:val="clear"/>
            <w:vAlign w:val="bottom"/>
          </w:tcPr>
          <w:p>
            <w:pPr>
              <w:pStyle w:val="TableContents"/>
              <w:spacing w:before="0" w:after="1"/>
              <w:ind w:left="0" w:right="0" w:hanging="0"/>
              <w:jc w:val="center"/>
              <w:rPr>
                <w:b/>
                <w:sz w:val="12"/>
              </w:rPr>
            </w:pPr>
            <w:r>
              <w:rPr>
                <w:b/>
                <w:sz w:val="12"/>
              </w:rPr>
              <w:t xml:space="preserve">Stockholders’ </w:t>
            </w:r>
          </w:p>
        </w:tc>
        <w:tc>
          <w:tcPr>
            <w:tcW w:w="807" w:type="dxa"/>
            <w:gridSpan w:val="2"/>
            <w:tcBorders/>
            <w:shd w:fill="auto" w:val="clear"/>
            <w:vAlign w:val="bottom"/>
          </w:tcPr>
          <w:p>
            <w:pPr>
              <w:pStyle w:val="TableContents"/>
              <w:spacing w:before="0" w:after="1"/>
              <w:ind w:left="0" w:right="0" w:hanging="0"/>
              <w:jc w:val="center"/>
              <w:rPr>
                <w:b/>
                <w:sz w:val="12"/>
              </w:rPr>
            </w:pPr>
            <w:r>
              <w:rPr>
                <w:b/>
                <w:sz w:val="12"/>
              </w:rPr>
              <w:t xml:space="preserve">Noncontrolling </w:t>
            </w:r>
          </w:p>
        </w:tc>
        <w:tc>
          <w:tcPr>
            <w:tcW w:w="739" w:type="dxa"/>
            <w:gridSpan w:val="2"/>
            <w:tcBorders/>
            <w:shd w:fill="auto" w:val="clear"/>
            <w:vAlign w:val="bottom"/>
          </w:tcPr>
          <w:p>
            <w:pPr>
              <w:pStyle w:val="TableContents"/>
              <w:spacing w:before="0" w:after="1"/>
              <w:ind w:left="0" w:right="0" w:hanging="0"/>
              <w:jc w:val="center"/>
              <w:rPr>
                <w:b/>
                <w:sz w:val="12"/>
              </w:rPr>
            </w:pPr>
            <w:r>
              <w:rPr>
                <w:b/>
                <w:sz w:val="12"/>
              </w:rPr>
              <w:t>Stockholders’</w:t>
            </w:r>
          </w:p>
        </w:tc>
      </w:tr>
      <w:tr>
        <w:trPr/>
        <w:tc>
          <w:tcPr>
            <w:tcW w:w="2912"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1"/>
              <w:ind w:left="0" w:right="0" w:hanging="0"/>
              <w:jc w:val="center"/>
              <w:rPr/>
            </w:pPr>
            <w:r>
              <w:rPr/>
              <w:t> </w:t>
            </w:r>
          </w:p>
        </w:tc>
        <w:tc>
          <w:tcPr>
            <w:tcW w:w="433"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1"/>
              <w:ind w:left="0" w:right="0" w:hanging="0"/>
              <w:jc w:val="center"/>
              <w:rPr>
                <w:b/>
                <w:sz w:val="12"/>
              </w:rPr>
            </w:pPr>
            <w:r>
              <w:rPr>
                <w:b/>
                <w:sz w:val="12"/>
              </w:rPr>
              <w:t>Shares</w:t>
            </w:r>
          </w:p>
        </w:tc>
        <w:tc>
          <w:tcPr>
            <w:tcW w:w="60"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1"/>
              <w:ind w:left="0" w:right="0" w:hanging="0"/>
              <w:jc w:val="center"/>
              <w:rPr/>
            </w:pPr>
            <w:r>
              <w:rPr/>
              <w:t> </w:t>
            </w:r>
          </w:p>
        </w:tc>
        <w:tc>
          <w:tcPr>
            <w:tcW w:w="394" w:type="dxa"/>
            <w:gridSpan w:val="2"/>
            <w:tcBorders>
              <w:left w:val="single" w:sz="8" w:space="0" w:color="000000"/>
              <w:bottom w:val="single" w:sz="8" w:space="0" w:color="000000"/>
            </w:tcBorders>
            <w:shd w:fill="auto" w:val="clear"/>
            <w:tcMar>
              <w:left w:w="28" w:type="dxa"/>
              <w:bottom w:w="28" w:type="dxa"/>
            </w:tcMar>
            <w:vAlign w:val="bottom"/>
          </w:tcPr>
          <w:p>
            <w:pPr>
              <w:pStyle w:val="TableContents"/>
              <w:spacing w:before="0" w:after="1"/>
              <w:ind w:left="0" w:right="0" w:hanging="0"/>
              <w:jc w:val="center"/>
              <w:rPr>
                <w:b/>
                <w:sz w:val="12"/>
              </w:rPr>
            </w:pPr>
            <w:r>
              <w:rPr>
                <w:b/>
                <w:sz w:val="12"/>
              </w:rPr>
              <w:t>Value</w:t>
            </w:r>
          </w:p>
        </w:tc>
        <w:tc>
          <w:tcPr>
            <w:tcW w:w="60"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1"/>
              <w:ind w:left="0" w:right="0" w:hanging="0"/>
              <w:jc w:val="both"/>
              <w:rPr/>
            </w:pPr>
            <w:r>
              <w:rPr/>
              <w:t> </w:t>
            </w:r>
          </w:p>
        </w:tc>
        <w:tc>
          <w:tcPr>
            <w:tcW w:w="388"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1"/>
              <w:ind w:left="0" w:right="0" w:hanging="0"/>
              <w:jc w:val="center"/>
              <w:rPr>
                <w:b/>
                <w:sz w:val="12"/>
              </w:rPr>
            </w:pPr>
            <w:r>
              <w:rPr>
                <w:b/>
                <w:sz w:val="12"/>
              </w:rPr>
              <w:t>Shares</w:t>
            </w:r>
          </w:p>
        </w:tc>
        <w:tc>
          <w:tcPr>
            <w:tcW w:w="60"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1"/>
              <w:ind w:left="0" w:right="0" w:hanging="0"/>
              <w:jc w:val="center"/>
              <w:rPr/>
            </w:pPr>
            <w:r>
              <w:rPr/>
              <w:t> </w:t>
            </w:r>
          </w:p>
        </w:tc>
        <w:tc>
          <w:tcPr>
            <w:tcW w:w="402" w:type="dxa"/>
            <w:gridSpan w:val="2"/>
            <w:tcBorders>
              <w:left w:val="single" w:sz="8" w:space="0" w:color="000000"/>
              <w:bottom w:val="single" w:sz="8" w:space="0" w:color="000000"/>
            </w:tcBorders>
            <w:shd w:fill="auto" w:val="clear"/>
            <w:tcMar>
              <w:left w:w="28" w:type="dxa"/>
              <w:bottom w:w="28" w:type="dxa"/>
            </w:tcMar>
            <w:vAlign w:val="bottom"/>
          </w:tcPr>
          <w:p>
            <w:pPr>
              <w:pStyle w:val="TableContents"/>
              <w:spacing w:before="0" w:after="1"/>
              <w:ind w:left="0" w:right="0" w:hanging="0"/>
              <w:jc w:val="center"/>
              <w:rPr>
                <w:b/>
                <w:sz w:val="12"/>
              </w:rPr>
            </w:pPr>
            <w:r>
              <w:rPr>
                <w:b/>
                <w:sz w:val="12"/>
              </w:rPr>
              <w:t>Value</w:t>
            </w:r>
          </w:p>
        </w:tc>
        <w:tc>
          <w:tcPr>
            <w:tcW w:w="550"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Capital</w:t>
            </w:r>
          </w:p>
        </w:tc>
        <w:tc>
          <w:tcPr>
            <w:tcW w:w="500"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Stock</w:t>
            </w:r>
          </w:p>
        </w:tc>
        <w:tc>
          <w:tcPr>
            <w:tcW w:w="732"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Deficit</w:t>
            </w:r>
          </w:p>
        </w:tc>
        <w:tc>
          <w:tcPr>
            <w:tcW w:w="852"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Income/(Loss)</w:t>
            </w:r>
          </w:p>
        </w:tc>
        <w:tc>
          <w:tcPr>
            <w:tcW w:w="896"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 xml:space="preserve">Equity </w:t>
            </w:r>
          </w:p>
        </w:tc>
        <w:tc>
          <w:tcPr>
            <w:tcW w:w="807"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Interests</w:t>
            </w:r>
          </w:p>
        </w:tc>
        <w:tc>
          <w:tcPr>
            <w:tcW w:w="73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2"/>
              </w:rPr>
            </w:pPr>
            <w:r>
              <w:rPr>
                <w:b/>
                <w:sz w:val="12"/>
              </w:rPr>
              <w:t>Equity</w:t>
            </w:r>
          </w:p>
        </w:tc>
      </w:tr>
      <w:tr>
        <w:trPr/>
        <w:tc>
          <w:tcPr>
            <w:tcW w:w="2912"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both"/>
              <w:rPr>
                <w:sz w:val="12"/>
              </w:rPr>
            </w:pPr>
            <w:r>
              <w:rPr>
                <w:sz w:val="12"/>
              </w:rPr>
              <w:t>At January 1, 2010</w:t>
            </w:r>
          </w:p>
        </w:tc>
        <w:tc>
          <w:tcPr>
            <w:tcW w:w="433"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283"/>
              <w:jc w:val="right"/>
              <w:rPr>
                <w:sz w:val="12"/>
              </w:rPr>
            </w:pPr>
            <w:r>
              <w:rPr>
                <w:sz w:val="12"/>
              </w:rPr>
              <w:t xml:space="preserve">21,133 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92"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30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215 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388"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283"/>
              <w:jc w:val="right"/>
              <w:rPr>
                <w:sz w:val="12"/>
              </w:rPr>
            </w:pPr>
            <w:r>
              <w:rPr>
                <w:sz w:val="12"/>
              </w:rPr>
              <w:t xml:space="preserve">1,495 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118"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284"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15  </w:t>
            </w:r>
          </w:p>
        </w:tc>
        <w:tc>
          <w:tcPr>
            <w:tcW w:w="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134,044  </w:t>
            </w:r>
          </w:p>
        </w:tc>
        <w:tc>
          <w:tcPr>
            <w:tcW w:w="8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19"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(3,514) </w:t>
            </w:r>
          </w:p>
        </w:tc>
        <w:tc>
          <w:tcPr>
            <w:tcW w:w="10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2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(63,385) </w:t>
            </w:r>
          </w:p>
        </w:tc>
        <w:tc>
          <w:tcPr>
            <w:tcW w:w="13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41,514  </w:t>
            </w:r>
          </w:p>
        </w:tc>
        <w:tc>
          <w:tcPr>
            <w:tcW w:w="1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6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108,889  </w:t>
            </w:r>
          </w:p>
        </w:tc>
        <w:tc>
          <w:tcPr>
            <w:tcW w:w="13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7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1,374  </w:t>
            </w:r>
          </w:p>
        </w:tc>
        <w:tc>
          <w:tcPr>
            <w:tcW w:w="10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3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110,263  </w:t>
            </w:r>
          </w:p>
        </w:tc>
      </w:tr>
      <w:tr>
        <w:trPr/>
        <w:tc>
          <w:tcPr>
            <w:tcW w:w="2912"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pPr>
            <w:r>
              <w:rPr/>
              <w:t> </w:t>
            </w:r>
          </w:p>
        </w:tc>
        <w:tc>
          <w:tcPr>
            <w:tcW w:w="433"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both"/>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pPr>
            <w:r>
              <w:rPr/>
              <w:t> </w:t>
            </w:r>
          </w:p>
        </w:tc>
        <w:tc>
          <w:tcPr>
            <w:tcW w:w="92"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302"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pPr>
            <w:r>
              <w:rPr/>
              <w:t> </w:t>
            </w:r>
          </w:p>
        </w:tc>
        <w:tc>
          <w:tcPr>
            <w:tcW w:w="388"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both"/>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pPr>
            <w:r>
              <w:rPr/>
              <w:t> </w:t>
            </w:r>
          </w:p>
        </w:tc>
        <w:tc>
          <w:tcPr>
            <w:tcW w:w="118"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284"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8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7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8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19"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0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26"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3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71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3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766"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3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76"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0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37"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Net loss</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1"/>
              <w:ind w:left="0" w:right="0" w:hanging="0"/>
              <w:jc w:val="right"/>
              <w:rPr>
                <w:sz w:val="12"/>
              </w:rPr>
            </w:pPr>
            <w:r>
              <w:rPr>
                <w:sz w:val="12"/>
              </w:rPr>
              <w:t>--</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283"/>
              <w:jc w:val="right"/>
              <w:rPr>
                <w:sz w:val="12"/>
              </w:rPr>
            </w:pPr>
            <w:r>
              <w:rPr>
                <w:sz w:val="12"/>
              </w:rPr>
              <w:t xml:space="preserve">(12,650) </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(12,650)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283"/>
              <w:jc w:val="right"/>
              <w:rPr>
                <w:sz w:val="12"/>
              </w:rPr>
            </w:pPr>
            <w:r>
              <w:rPr>
                <w:sz w:val="12"/>
              </w:rPr>
              <w:t xml:space="preserve">616  </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(12,034)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Other comprehensive income, net of tax</w:t>
            </w:r>
          </w:p>
        </w:tc>
        <w:tc>
          <w:tcPr>
            <w:tcW w:w="433"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1"/>
              <w:ind w:left="0" w:right="0" w:hanging="0"/>
              <w:jc w:val="right"/>
              <w:rPr>
                <w:sz w:val="12"/>
              </w:rPr>
            </w:pPr>
            <w:r>
              <w:rPr>
                <w:sz w:val="12"/>
              </w:rPr>
              <w:t>--</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1"/>
              <w:ind w:left="0" w:right="0" w:hanging="0"/>
              <w:jc w:val="right"/>
              <w:rPr>
                <w:sz w:val="12"/>
              </w:rPr>
            </w:pPr>
            <w:r>
              <w:rPr>
                <w:sz w:val="12"/>
              </w:rPr>
              <w:t>--</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283"/>
              <w:jc w:val="right"/>
              <w:rPr>
                <w:sz w:val="12"/>
              </w:rPr>
            </w:pPr>
            <w:r>
              <w:rPr>
                <w:sz w:val="12"/>
              </w:rPr>
              <w:t xml:space="preserve">15,606  </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15,606 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283"/>
              <w:jc w:val="right"/>
              <w:rPr>
                <w:sz w:val="12"/>
              </w:rPr>
            </w:pPr>
            <w:r>
              <w:rPr>
                <w:sz w:val="12"/>
              </w:rPr>
              <w:t xml:space="preserve">43  </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15,649 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Stock option and restricted stock compensation expense</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283"/>
              <w:jc w:val="right"/>
              <w:rPr>
                <w:sz w:val="12"/>
              </w:rPr>
            </w:pPr>
            <w:r>
              <w:rPr>
                <w:sz w:val="12"/>
              </w:rPr>
              <w:t xml:space="preserve">821  </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821 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1"/>
              <w:ind w:left="0" w:right="0" w:hanging="0"/>
              <w:jc w:val="right"/>
              <w:rPr>
                <w:sz w:val="12"/>
              </w:rPr>
            </w:pPr>
            <w:r>
              <w:rPr>
                <w:sz w:val="12"/>
              </w:rPr>
              <w:t>--</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821 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Purchase of treasury shares</w:t>
            </w:r>
          </w:p>
        </w:tc>
        <w:tc>
          <w:tcPr>
            <w:tcW w:w="433" w:type="dxa"/>
            <w:tcBorders>
              <w:left w:val="single" w:sz="8" w:space="0" w:color="000000"/>
            </w:tcBorders>
            <w:shd w:fill="FFFFFF" w:val="clear"/>
            <w:tcMar>
              <w:left w:w="28" w:type="dxa"/>
            </w:tcMar>
            <w:vAlign w:val="bottom"/>
          </w:tcPr>
          <w:p>
            <w:pPr>
              <w:pStyle w:val="TableContents"/>
              <w:spacing w:before="0" w:after="283"/>
              <w:jc w:val="right"/>
              <w:rPr>
                <w:sz w:val="12"/>
              </w:rPr>
            </w:pPr>
            <w:r>
              <w:rPr>
                <w:sz w:val="12"/>
              </w:rPr>
              <w:t xml:space="preserve">(63) </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1"/>
              <w:ind w:left="0" w:right="0" w:hanging="0"/>
              <w:jc w:val="right"/>
              <w:rPr>
                <w:sz w:val="12"/>
              </w:rPr>
            </w:pPr>
            <w:r>
              <w:rPr>
                <w:sz w:val="12"/>
              </w:rPr>
              <w:t>--</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283"/>
              <w:jc w:val="right"/>
              <w:rPr>
                <w:sz w:val="12"/>
              </w:rPr>
            </w:pPr>
            <w:r>
              <w:rPr>
                <w:sz w:val="12"/>
              </w:rPr>
              <w:t xml:space="preserve">(251) </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1"/>
              <w:ind w:left="0" w:right="0" w:hanging="0"/>
              <w:jc w:val="right"/>
              <w:rPr>
                <w:sz w:val="12"/>
              </w:rPr>
            </w:pPr>
            <w:r>
              <w:rPr>
                <w:sz w:val="12"/>
              </w:rPr>
              <w:t>--</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(251)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1"/>
              <w:ind w:left="0" w:right="0" w:hanging="0"/>
              <w:jc w:val="right"/>
              <w:rPr>
                <w:sz w:val="12"/>
              </w:rPr>
            </w:pPr>
            <w:r>
              <w:rPr>
                <w:sz w:val="12"/>
              </w:rPr>
              <w:t>--</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(251)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Class A common stock issued for stock bonuses and options exercised</w:t>
            </w:r>
          </w:p>
        </w:tc>
        <w:tc>
          <w:tcPr>
            <w:tcW w:w="433" w:type="dxa"/>
            <w:tcBorders>
              <w:left w:val="single" w:sz="8" w:space="0" w:color="000000"/>
            </w:tcBorders>
            <w:shd w:fill="CCEEFF" w:val="clear"/>
            <w:tcMar>
              <w:left w:w="28" w:type="dxa"/>
            </w:tcMar>
            <w:vAlign w:val="bottom"/>
          </w:tcPr>
          <w:p>
            <w:pPr>
              <w:pStyle w:val="TableContents"/>
              <w:spacing w:before="0" w:after="283"/>
              <w:jc w:val="right"/>
              <w:rPr>
                <w:sz w:val="12"/>
              </w:rPr>
            </w:pPr>
            <w:r>
              <w:rPr>
                <w:sz w:val="12"/>
              </w:rPr>
              <w:t xml:space="preserve">239  </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283"/>
              <w:jc w:val="right"/>
              <w:rPr>
                <w:sz w:val="12"/>
              </w:rPr>
            </w:pPr>
            <w:r>
              <w:rPr>
                <w:sz w:val="12"/>
              </w:rPr>
              <w:t xml:space="preserve">1  </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283"/>
              <w:jc w:val="right"/>
              <w:rPr>
                <w:sz w:val="12"/>
              </w:rPr>
            </w:pPr>
            <w:r>
              <w:rPr>
                <w:sz w:val="12"/>
              </w:rPr>
              <w:t xml:space="preserve">248  </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249 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1"/>
              <w:ind w:left="0" w:right="0" w:hanging="0"/>
              <w:jc w:val="right"/>
              <w:rPr>
                <w:sz w:val="12"/>
              </w:rPr>
            </w:pPr>
            <w:r>
              <w:rPr>
                <w:sz w:val="12"/>
              </w:rPr>
              <w:t>--</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249 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Deemed distribution from capital lease</w:t>
            </w:r>
          </w:p>
        </w:tc>
        <w:tc>
          <w:tcPr>
            <w:tcW w:w="433"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283"/>
              <w:jc w:val="right"/>
              <w:rPr>
                <w:sz w:val="12"/>
              </w:rPr>
            </w:pPr>
            <w:r>
              <w:rPr>
                <w:sz w:val="12"/>
              </w:rPr>
              <w:t xml:space="preserve">(877) </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1"/>
              <w:ind w:left="0" w:right="0" w:hanging="0"/>
              <w:jc w:val="right"/>
              <w:rPr>
                <w:sz w:val="12"/>
              </w:rPr>
            </w:pPr>
            <w:r>
              <w:rPr>
                <w:sz w:val="12"/>
              </w:rPr>
              <w:t>--</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1"/>
              <w:ind w:left="0" w:right="0" w:hanging="0"/>
              <w:jc w:val="right"/>
              <w:rPr>
                <w:sz w:val="12"/>
              </w:rPr>
            </w:pPr>
            <w:r>
              <w:rPr>
                <w:sz w:val="12"/>
              </w:rPr>
              <w:t>--</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(877)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1"/>
              <w:ind w:left="0" w:right="0" w:hanging="0"/>
              <w:jc w:val="right"/>
              <w:rPr>
                <w:sz w:val="12"/>
              </w:rPr>
            </w:pPr>
            <w:r>
              <w:rPr>
                <w:sz w:val="12"/>
              </w:rPr>
              <w:t>--</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(877)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Contributions from noncontrolling shareholders</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1"/>
              <w:ind w:left="0" w:right="0" w:hanging="0"/>
              <w:jc w:val="right"/>
              <w:rPr>
                <w:sz w:val="12"/>
              </w:rPr>
            </w:pPr>
            <w:r>
              <w:rPr>
                <w:sz w:val="12"/>
              </w:rPr>
              <w:t>--</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1"/>
              <w:ind w:left="0" w:right="0" w:hanging="0"/>
              <w:jc w:val="right"/>
              <w:rPr>
                <w:sz w:val="12"/>
              </w:rPr>
            </w:pPr>
            <w:r>
              <w:rPr>
                <w:sz w:val="12"/>
              </w:rPr>
              <w:t>--</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283"/>
              <w:jc w:val="right"/>
              <w:rPr>
                <w:sz w:val="12"/>
              </w:rPr>
            </w:pPr>
            <w:r>
              <w:rPr>
                <w:sz w:val="12"/>
              </w:rPr>
              <w:t xml:space="preserve">225  </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225  </w:t>
            </w:r>
          </w:p>
        </w:tc>
      </w:tr>
      <w:tr>
        <w:trPr/>
        <w:tc>
          <w:tcPr>
            <w:tcW w:w="2912"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both"/>
              <w:rPr>
                <w:sz w:val="12"/>
              </w:rPr>
            </w:pPr>
            <w:r>
              <w:rPr>
                <w:sz w:val="12"/>
              </w:rPr>
              <w:t>Distributions to noncontrolling shareholders</w:t>
            </w:r>
          </w:p>
        </w:tc>
        <w:tc>
          <w:tcPr>
            <w:tcW w:w="433"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right"/>
              <w:rPr/>
            </w:pPr>
            <w:r>
              <w:rPr/>
              <w:t> </w:t>
            </w:r>
          </w:p>
        </w:tc>
        <w:tc>
          <w:tcPr>
            <w:tcW w:w="92"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pPr>
            <w:r>
              <w:rPr/>
              <w:t> </w:t>
            </w:r>
          </w:p>
        </w:tc>
        <w:tc>
          <w:tcPr>
            <w:tcW w:w="302"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right"/>
              <w:rPr/>
            </w:pPr>
            <w:r>
              <w:rPr/>
              <w:t> </w:t>
            </w:r>
          </w:p>
        </w:tc>
        <w:tc>
          <w:tcPr>
            <w:tcW w:w="388"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right"/>
              <w:rPr/>
            </w:pPr>
            <w:r>
              <w:rPr/>
              <w:t> </w:t>
            </w:r>
          </w:p>
        </w:tc>
        <w:tc>
          <w:tcPr>
            <w:tcW w:w="118"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pPr>
            <w:r>
              <w:rPr/>
              <w:t> </w:t>
            </w:r>
          </w:p>
        </w:tc>
        <w:tc>
          <w:tcPr>
            <w:tcW w:w="284"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70"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81"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19"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06"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6"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37"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1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3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66"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31"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76" w:type="dxa"/>
            <w:tcBorders>
              <w:bottom w:val="single" w:sz="8" w:space="0" w:color="000000"/>
            </w:tcBorders>
            <w:shd w:fill="FFFFFF" w:val="clear"/>
            <w:tcMar>
              <w:bottom w:w="28" w:type="dxa"/>
            </w:tcMar>
            <w:vAlign w:val="bottom"/>
          </w:tcPr>
          <w:p>
            <w:pPr>
              <w:pStyle w:val="TableContents"/>
              <w:spacing w:before="0" w:after="283"/>
              <w:jc w:val="right"/>
              <w:rPr>
                <w:sz w:val="12"/>
              </w:rPr>
            </w:pPr>
            <w:r>
              <w:rPr>
                <w:sz w:val="12"/>
              </w:rPr>
              <w:t xml:space="preserve">(1,406) </w:t>
            </w:r>
          </w:p>
        </w:tc>
        <w:tc>
          <w:tcPr>
            <w:tcW w:w="102"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37" w:type="dxa"/>
            <w:tcBorders>
              <w:bottom w:val="single" w:sz="8" w:space="0" w:color="000000"/>
            </w:tcBorders>
            <w:shd w:fill="FFFFFF" w:val="clear"/>
            <w:tcMar>
              <w:bottom w:w="28" w:type="dxa"/>
            </w:tcMar>
            <w:vAlign w:val="bottom"/>
          </w:tcPr>
          <w:p>
            <w:pPr>
              <w:pStyle w:val="TableContents"/>
              <w:spacing w:before="0" w:after="283"/>
              <w:jc w:val="right"/>
              <w:rPr>
                <w:sz w:val="12"/>
              </w:rPr>
            </w:pPr>
            <w:r>
              <w:rPr>
                <w:sz w:val="12"/>
              </w:rPr>
              <w:t xml:space="preserve">(1,406) </w:t>
            </w:r>
          </w:p>
        </w:tc>
      </w:tr>
      <w:tr>
        <w:trPr/>
        <w:tc>
          <w:tcPr>
            <w:tcW w:w="2912"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both"/>
              <w:rPr>
                <w:sz w:val="12"/>
              </w:rPr>
            </w:pPr>
            <w:r>
              <w:rPr>
                <w:sz w:val="12"/>
              </w:rPr>
              <w:t>At December 31, 2010</w:t>
            </w:r>
          </w:p>
        </w:tc>
        <w:tc>
          <w:tcPr>
            <w:tcW w:w="433"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283"/>
              <w:jc w:val="right"/>
              <w:rPr>
                <w:sz w:val="12"/>
              </w:rPr>
            </w:pPr>
            <w:r>
              <w:rPr>
                <w:sz w:val="12"/>
              </w:rPr>
              <w:t xml:space="preserve">21,309 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92"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30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216 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388"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283"/>
              <w:jc w:val="right"/>
              <w:rPr>
                <w:sz w:val="12"/>
              </w:rPr>
            </w:pPr>
            <w:r>
              <w:rPr>
                <w:sz w:val="12"/>
              </w:rPr>
              <w:t xml:space="preserve">1,495 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118"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284"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15  </w:t>
            </w:r>
          </w:p>
        </w:tc>
        <w:tc>
          <w:tcPr>
            <w:tcW w:w="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134,236  </w:t>
            </w:r>
          </w:p>
        </w:tc>
        <w:tc>
          <w:tcPr>
            <w:tcW w:w="8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19"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(3,765) </w:t>
            </w:r>
          </w:p>
        </w:tc>
        <w:tc>
          <w:tcPr>
            <w:tcW w:w="10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2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(76,035) </w:t>
            </w:r>
          </w:p>
        </w:tc>
        <w:tc>
          <w:tcPr>
            <w:tcW w:w="13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57,120  </w:t>
            </w:r>
          </w:p>
        </w:tc>
        <w:tc>
          <w:tcPr>
            <w:tcW w:w="1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6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111,787  </w:t>
            </w:r>
          </w:p>
        </w:tc>
        <w:tc>
          <w:tcPr>
            <w:tcW w:w="13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7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852  </w:t>
            </w:r>
          </w:p>
        </w:tc>
        <w:tc>
          <w:tcPr>
            <w:tcW w:w="10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3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112,639  </w:t>
            </w:r>
          </w:p>
        </w:tc>
      </w:tr>
      <w:tr>
        <w:trPr/>
        <w:tc>
          <w:tcPr>
            <w:tcW w:w="2912"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pPr>
            <w:r>
              <w:rPr/>
              <w:t> </w:t>
            </w:r>
          </w:p>
        </w:tc>
        <w:tc>
          <w:tcPr>
            <w:tcW w:w="433"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right"/>
              <w:rPr/>
            </w:pPr>
            <w:r>
              <w:rPr/>
              <w:t> </w:t>
            </w:r>
          </w:p>
        </w:tc>
        <w:tc>
          <w:tcPr>
            <w:tcW w:w="92"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30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right"/>
              <w:rPr/>
            </w:pPr>
            <w:r>
              <w:rPr/>
              <w:t> </w:t>
            </w:r>
          </w:p>
        </w:tc>
        <w:tc>
          <w:tcPr>
            <w:tcW w:w="388"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right"/>
              <w:rPr/>
            </w:pPr>
            <w:r>
              <w:rPr/>
              <w:t> </w:t>
            </w:r>
          </w:p>
        </w:tc>
        <w:tc>
          <w:tcPr>
            <w:tcW w:w="118"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284"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7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19"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0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2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3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71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3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76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3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7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0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3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Net income</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1"/>
              <w:ind w:left="0" w:right="0" w:hanging="0"/>
              <w:jc w:val="right"/>
              <w:rPr>
                <w:sz w:val="12"/>
              </w:rPr>
            </w:pPr>
            <w:r>
              <w:rPr>
                <w:sz w:val="12"/>
              </w:rPr>
              <w:t>--</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283"/>
              <w:jc w:val="right"/>
              <w:rPr>
                <w:sz w:val="12"/>
              </w:rPr>
            </w:pPr>
            <w:r>
              <w:rPr>
                <w:sz w:val="12"/>
              </w:rPr>
              <w:t xml:space="preserve">9,956  </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9,956 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283"/>
              <w:jc w:val="right"/>
              <w:rPr>
                <w:sz w:val="12"/>
              </w:rPr>
            </w:pPr>
            <w:r>
              <w:rPr>
                <w:sz w:val="12"/>
              </w:rPr>
              <w:t xml:space="preserve">940  </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10,896 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Other comprehensive income, net of tax</w:t>
            </w:r>
          </w:p>
        </w:tc>
        <w:tc>
          <w:tcPr>
            <w:tcW w:w="433"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1"/>
              <w:ind w:left="0" w:right="0" w:hanging="0"/>
              <w:jc w:val="right"/>
              <w:rPr>
                <w:sz w:val="12"/>
              </w:rPr>
            </w:pPr>
            <w:r>
              <w:rPr>
                <w:sz w:val="12"/>
              </w:rPr>
              <w:t>--</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1"/>
              <w:ind w:left="0" w:right="0" w:hanging="0"/>
              <w:jc w:val="right"/>
              <w:rPr>
                <w:sz w:val="12"/>
              </w:rPr>
            </w:pPr>
            <w:r>
              <w:rPr>
                <w:sz w:val="12"/>
              </w:rPr>
              <w:t>--</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283"/>
              <w:jc w:val="right"/>
              <w:rPr>
                <w:sz w:val="12"/>
              </w:rPr>
            </w:pPr>
            <w:r>
              <w:rPr>
                <w:sz w:val="12"/>
              </w:rPr>
              <w:t xml:space="preserve">1,817  </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1,817 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283"/>
              <w:jc w:val="right"/>
              <w:rPr>
                <w:sz w:val="12"/>
              </w:rPr>
            </w:pPr>
            <w:r>
              <w:rPr>
                <w:sz w:val="12"/>
              </w:rPr>
              <w:t xml:space="preserve">11  </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1,828 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Stock option and restricted stock compensation expense</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283"/>
              <w:jc w:val="right"/>
              <w:rPr>
                <w:sz w:val="12"/>
              </w:rPr>
            </w:pPr>
            <w:r>
              <w:rPr>
                <w:sz w:val="12"/>
              </w:rPr>
              <w:t xml:space="preserve">4  </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283"/>
              <w:jc w:val="right"/>
              <w:rPr>
                <w:sz w:val="12"/>
              </w:rPr>
            </w:pPr>
            <w:r>
              <w:rPr>
                <w:sz w:val="12"/>
              </w:rPr>
              <w:t xml:space="preserve">935  </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939 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1"/>
              <w:ind w:left="0" w:right="0" w:hanging="0"/>
              <w:jc w:val="right"/>
              <w:rPr>
                <w:sz w:val="12"/>
              </w:rPr>
            </w:pPr>
            <w:r>
              <w:rPr>
                <w:sz w:val="12"/>
              </w:rPr>
              <w:t>--</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939 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Purchase of treasury shares</w:t>
            </w:r>
          </w:p>
        </w:tc>
        <w:tc>
          <w:tcPr>
            <w:tcW w:w="433" w:type="dxa"/>
            <w:tcBorders>
              <w:left w:val="single" w:sz="8" w:space="0" w:color="000000"/>
            </w:tcBorders>
            <w:shd w:fill="FFFFFF" w:val="clear"/>
            <w:tcMar>
              <w:left w:w="28" w:type="dxa"/>
            </w:tcMar>
            <w:vAlign w:val="bottom"/>
          </w:tcPr>
          <w:p>
            <w:pPr>
              <w:pStyle w:val="TableContents"/>
              <w:spacing w:before="0" w:after="283"/>
              <w:jc w:val="right"/>
              <w:rPr>
                <w:sz w:val="12"/>
              </w:rPr>
            </w:pPr>
            <w:r>
              <w:rPr>
                <w:sz w:val="12"/>
              </w:rPr>
              <w:t xml:space="preserve">(172) </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1"/>
              <w:ind w:left="0" w:right="0" w:hanging="0"/>
              <w:jc w:val="right"/>
              <w:rPr>
                <w:sz w:val="12"/>
              </w:rPr>
            </w:pPr>
            <w:r>
              <w:rPr>
                <w:sz w:val="12"/>
              </w:rPr>
              <w:t>--</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283"/>
              <w:jc w:val="right"/>
              <w:rPr>
                <w:sz w:val="12"/>
              </w:rPr>
            </w:pPr>
            <w:r>
              <w:rPr>
                <w:sz w:val="12"/>
              </w:rPr>
              <w:t xml:space="preserve">(747) </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1"/>
              <w:ind w:left="0" w:right="0" w:hanging="0"/>
              <w:jc w:val="right"/>
              <w:rPr>
                <w:sz w:val="12"/>
              </w:rPr>
            </w:pPr>
            <w:r>
              <w:rPr>
                <w:sz w:val="12"/>
              </w:rPr>
              <w:t>--</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(747)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1"/>
              <w:ind w:left="0" w:right="0" w:hanging="0"/>
              <w:jc w:val="right"/>
              <w:rPr>
                <w:sz w:val="12"/>
              </w:rPr>
            </w:pPr>
            <w:r>
              <w:rPr>
                <w:sz w:val="12"/>
              </w:rPr>
              <w:t>--</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(747)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Class A common stock issued for stock bonuses and options exercised</w:t>
            </w:r>
          </w:p>
        </w:tc>
        <w:tc>
          <w:tcPr>
            <w:tcW w:w="433" w:type="dxa"/>
            <w:tcBorders>
              <w:left w:val="single" w:sz="8" w:space="0" w:color="000000"/>
            </w:tcBorders>
            <w:shd w:fill="CCEEFF" w:val="clear"/>
            <w:tcMar>
              <w:left w:w="28" w:type="dxa"/>
            </w:tcMar>
            <w:vAlign w:val="bottom"/>
          </w:tcPr>
          <w:p>
            <w:pPr>
              <w:pStyle w:val="TableContents"/>
              <w:spacing w:before="0" w:after="283"/>
              <w:jc w:val="right"/>
              <w:rPr>
                <w:sz w:val="12"/>
              </w:rPr>
            </w:pPr>
            <w:r>
              <w:rPr>
                <w:sz w:val="12"/>
              </w:rPr>
              <w:t xml:space="preserve">174  </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1"/>
              <w:ind w:left="0" w:right="0" w:hanging="0"/>
              <w:jc w:val="right"/>
              <w:rPr>
                <w:sz w:val="12"/>
              </w:rPr>
            </w:pPr>
            <w:r>
              <w:rPr>
                <w:sz w:val="12"/>
              </w:rPr>
              <w:t>--</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1"/>
              <w:ind w:left="0" w:right="0" w:hanging="0"/>
              <w:jc w:val="right"/>
              <w:rPr>
                <w:sz w:val="12"/>
              </w:rPr>
            </w:pPr>
            <w:r>
              <w:rPr>
                <w:sz w:val="12"/>
              </w:rPr>
              <w:t>--</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1"/>
              <w:ind w:left="0" w:right="0" w:hanging="0"/>
              <w:jc w:val="right"/>
              <w:rPr>
                <w:sz w:val="12"/>
              </w:rPr>
            </w:pPr>
            <w:r>
              <w:rPr>
                <w:sz w:val="12"/>
              </w:rPr>
              <w:t>--</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1"/>
              <w:ind w:left="0" w:right="0" w:hanging="0"/>
              <w:jc w:val="right"/>
              <w:rPr>
                <w:sz w:val="12"/>
              </w:rPr>
            </w:pPr>
            <w:r>
              <w:rPr>
                <w:sz w:val="12"/>
              </w:rPr>
              <w:t>--</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Cinema sale to noncontrolling shareholder</w:t>
            </w:r>
          </w:p>
        </w:tc>
        <w:tc>
          <w:tcPr>
            <w:tcW w:w="433"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1"/>
              <w:ind w:left="0" w:right="0" w:hanging="0"/>
              <w:jc w:val="right"/>
              <w:rPr>
                <w:sz w:val="12"/>
              </w:rPr>
            </w:pPr>
            <w:r>
              <w:rPr>
                <w:sz w:val="12"/>
              </w:rPr>
              <w:t>--</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1"/>
              <w:ind w:left="0" w:right="0" w:hanging="0"/>
              <w:jc w:val="right"/>
              <w:rPr>
                <w:sz w:val="12"/>
              </w:rPr>
            </w:pPr>
            <w:r>
              <w:rPr>
                <w:sz w:val="12"/>
              </w:rPr>
              <w:t>--</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1"/>
              <w:ind w:left="0" w:right="0" w:hanging="0"/>
              <w:jc w:val="right"/>
              <w:rPr>
                <w:sz w:val="12"/>
              </w:rPr>
            </w:pPr>
            <w:r>
              <w:rPr>
                <w:sz w:val="12"/>
              </w:rPr>
              <w:t>--</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1"/>
              <w:ind w:left="0" w:right="0" w:hanging="0"/>
              <w:jc w:val="right"/>
              <w:rPr>
                <w:sz w:val="12"/>
              </w:rPr>
            </w:pPr>
            <w:r>
              <w:rPr>
                <w:sz w:val="12"/>
              </w:rPr>
              <w:t>--</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283"/>
              <w:jc w:val="right"/>
              <w:rPr>
                <w:sz w:val="12"/>
              </w:rPr>
            </w:pPr>
            <w:r>
              <w:rPr>
                <w:sz w:val="12"/>
              </w:rPr>
              <w:t xml:space="preserve">(147) </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(147)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Contributions from noncontrolling shareholders</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1"/>
              <w:ind w:left="0" w:right="0" w:hanging="0"/>
              <w:jc w:val="right"/>
              <w:rPr>
                <w:sz w:val="12"/>
              </w:rPr>
            </w:pPr>
            <w:r>
              <w:rPr>
                <w:sz w:val="12"/>
              </w:rPr>
              <w:t>--</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1"/>
              <w:ind w:left="0" w:right="0" w:hanging="0"/>
              <w:jc w:val="right"/>
              <w:rPr>
                <w:sz w:val="12"/>
              </w:rPr>
            </w:pPr>
            <w:r>
              <w:rPr>
                <w:sz w:val="12"/>
              </w:rPr>
              <w:t>--</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283"/>
              <w:jc w:val="right"/>
              <w:rPr>
                <w:sz w:val="12"/>
              </w:rPr>
            </w:pPr>
            <w:r>
              <w:rPr>
                <w:sz w:val="12"/>
              </w:rPr>
              <w:t xml:space="preserve">233  </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233  </w:t>
            </w:r>
          </w:p>
        </w:tc>
      </w:tr>
      <w:tr>
        <w:trPr/>
        <w:tc>
          <w:tcPr>
            <w:tcW w:w="2912"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both"/>
              <w:rPr>
                <w:sz w:val="12"/>
              </w:rPr>
            </w:pPr>
            <w:r>
              <w:rPr>
                <w:sz w:val="12"/>
              </w:rPr>
              <w:t>Distributions to noncontrolling shareholders</w:t>
            </w:r>
          </w:p>
        </w:tc>
        <w:tc>
          <w:tcPr>
            <w:tcW w:w="433"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right"/>
              <w:rPr/>
            </w:pPr>
            <w:r>
              <w:rPr/>
              <w:t> </w:t>
            </w:r>
          </w:p>
        </w:tc>
        <w:tc>
          <w:tcPr>
            <w:tcW w:w="92"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pPr>
            <w:r>
              <w:rPr/>
              <w:t> </w:t>
            </w:r>
          </w:p>
        </w:tc>
        <w:tc>
          <w:tcPr>
            <w:tcW w:w="302"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right"/>
              <w:rPr/>
            </w:pPr>
            <w:r>
              <w:rPr/>
              <w:t> </w:t>
            </w:r>
          </w:p>
        </w:tc>
        <w:tc>
          <w:tcPr>
            <w:tcW w:w="388"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1"/>
              <w:ind w:left="0" w:right="0" w:hanging="0"/>
              <w:jc w:val="right"/>
              <w:rPr/>
            </w:pPr>
            <w:r>
              <w:rPr/>
              <w:t> </w:t>
            </w:r>
          </w:p>
        </w:tc>
        <w:tc>
          <w:tcPr>
            <w:tcW w:w="118"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1"/>
              <w:ind w:left="0" w:right="0" w:hanging="0"/>
              <w:jc w:val="right"/>
              <w:rPr/>
            </w:pPr>
            <w:r>
              <w:rPr/>
              <w:t> </w:t>
            </w:r>
          </w:p>
        </w:tc>
        <w:tc>
          <w:tcPr>
            <w:tcW w:w="284"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70"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81"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19"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06"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6"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37"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1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3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66"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2"/>
              </w:rPr>
            </w:pPr>
            <w:r>
              <w:rPr>
                <w:sz w:val="12"/>
              </w:rPr>
              <w:t>--</w:t>
            </w:r>
          </w:p>
        </w:tc>
        <w:tc>
          <w:tcPr>
            <w:tcW w:w="131"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76" w:type="dxa"/>
            <w:tcBorders>
              <w:bottom w:val="single" w:sz="8" w:space="0" w:color="000000"/>
            </w:tcBorders>
            <w:shd w:fill="FFFFFF" w:val="clear"/>
            <w:tcMar>
              <w:bottom w:w="28" w:type="dxa"/>
            </w:tcMar>
            <w:vAlign w:val="bottom"/>
          </w:tcPr>
          <w:p>
            <w:pPr>
              <w:pStyle w:val="TableContents"/>
              <w:spacing w:before="0" w:after="283"/>
              <w:jc w:val="right"/>
              <w:rPr>
                <w:sz w:val="12"/>
              </w:rPr>
            </w:pPr>
            <w:r>
              <w:rPr>
                <w:sz w:val="12"/>
              </w:rPr>
              <w:t xml:space="preserve">(654) </w:t>
            </w:r>
          </w:p>
        </w:tc>
        <w:tc>
          <w:tcPr>
            <w:tcW w:w="102"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37" w:type="dxa"/>
            <w:tcBorders>
              <w:bottom w:val="single" w:sz="8" w:space="0" w:color="000000"/>
            </w:tcBorders>
            <w:shd w:fill="FFFFFF" w:val="clear"/>
            <w:tcMar>
              <w:bottom w:w="28" w:type="dxa"/>
            </w:tcMar>
            <w:vAlign w:val="bottom"/>
          </w:tcPr>
          <w:p>
            <w:pPr>
              <w:pStyle w:val="TableContents"/>
              <w:spacing w:before="0" w:after="283"/>
              <w:jc w:val="right"/>
              <w:rPr>
                <w:sz w:val="12"/>
              </w:rPr>
            </w:pPr>
            <w:r>
              <w:rPr>
                <w:sz w:val="12"/>
              </w:rPr>
              <w:t xml:space="preserve">(654) </w:t>
            </w:r>
          </w:p>
        </w:tc>
      </w:tr>
      <w:tr>
        <w:trPr/>
        <w:tc>
          <w:tcPr>
            <w:tcW w:w="2912"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both"/>
              <w:rPr>
                <w:sz w:val="12"/>
              </w:rPr>
            </w:pPr>
            <w:r>
              <w:rPr>
                <w:sz w:val="12"/>
              </w:rPr>
              <w:t>At December 31, 2011</w:t>
            </w:r>
          </w:p>
        </w:tc>
        <w:tc>
          <w:tcPr>
            <w:tcW w:w="433"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283"/>
              <w:jc w:val="right"/>
              <w:rPr>
                <w:sz w:val="12"/>
              </w:rPr>
            </w:pPr>
            <w:r>
              <w:rPr>
                <w:sz w:val="12"/>
              </w:rPr>
              <w:t xml:space="preserve">21,311 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92"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30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220 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388"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283"/>
              <w:jc w:val="right"/>
              <w:rPr>
                <w:sz w:val="12"/>
              </w:rPr>
            </w:pPr>
            <w:r>
              <w:rPr>
                <w:sz w:val="12"/>
              </w:rPr>
              <w:t xml:space="preserve">1,495  </w:t>
            </w:r>
          </w:p>
        </w:tc>
        <w:tc>
          <w:tcPr>
            <w:tcW w:w="60" w:type="dxa"/>
            <w:tcBorders>
              <w:top w:val="single" w:sz="8" w:space="0" w:color="000000"/>
              <w:bottom w:val="single" w:sz="12" w:space="0" w:color="000000"/>
              <w:right w:val="single" w:sz="8" w:space="0" w:color="000000"/>
            </w:tcBorders>
            <w:shd w:fill="CCEEFF" w:val="clear"/>
            <w:tcMar>
              <w:top w:w="28" w:type="dxa"/>
              <w:bottom w:w="28" w:type="dxa"/>
              <w:right w:w="28" w:type="dxa"/>
            </w:tcMar>
            <w:vAlign w:val="bottom"/>
          </w:tcPr>
          <w:p>
            <w:pPr>
              <w:pStyle w:val="TableContents"/>
              <w:spacing w:before="0" w:after="1"/>
              <w:ind w:left="0" w:right="0" w:hanging="0"/>
              <w:jc w:val="right"/>
              <w:rPr/>
            </w:pPr>
            <w:r>
              <w:rPr/>
              <w:t> </w:t>
            </w:r>
          </w:p>
        </w:tc>
        <w:tc>
          <w:tcPr>
            <w:tcW w:w="118" w:type="dxa"/>
            <w:tcBorders>
              <w:top w:val="single" w:sz="8" w:space="0" w:color="000000"/>
              <w:left w:val="single" w:sz="8" w:space="0" w:color="000000"/>
              <w:bottom w:val="single" w:sz="12" w:space="0" w:color="000000"/>
            </w:tcBorders>
            <w:shd w:fill="CCEE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284"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15  </w:t>
            </w:r>
          </w:p>
        </w:tc>
        <w:tc>
          <w:tcPr>
            <w:tcW w:w="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135,171  </w:t>
            </w:r>
          </w:p>
        </w:tc>
        <w:tc>
          <w:tcPr>
            <w:tcW w:w="8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19"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(4,512) </w:t>
            </w:r>
          </w:p>
        </w:tc>
        <w:tc>
          <w:tcPr>
            <w:tcW w:w="10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2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(66,079) </w:t>
            </w:r>
          </w:p>
        </w:tc>
        <w:tc>
          <w:tcPr>
            <w:tcW w:w="13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58,937  </w:t>
            </w:r>
          </w:p>
        </w:tc>
        <w:tc>
          <w:tcPr>
            <w:tcW w:w="1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6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123,752  </w:t>
            </w:r>
          </w:p>
        </w:tc>
        <w:tc>
          <w:tcPr>
            <w:tcW w:w="13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7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1,235  </w:t>
            </w:r>
          </w:p>
        </w:tc>
        <w:tc>
          <w:tcPr>
            <w:tcW w:w="10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3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2"/>
              </w:rPr>
            </w:pPr>
            <w:r>
              <w:rPr>
                <w:sz w:val="12"/>
              </w:rPr>
              <w:t xml:space="preserve">124,987  </w:t>
            </w:r>
          </w:p>
        </w:tc>
      </w:tr>
      <w:tr>
        <w:trPr/>
        <w:tc>
          <w:tcPr>
            <w:tcW w:w="2912"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both"/>
              <w:rPr/>
            </w:pPr>
            <w:r>
              <w:rPr/>
              <w:t> </w:t>
            </w:r>
          </w:p>
        </w:tc>
        <w:tc>
          <w:tcPr>
            <w:tcW w:w="433"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right"/>
              <w:rPr/>
            </w:pPr>
            <w:r>
              <w:rPr/>
              <w:t> </w:t>
            </w:r>
          </w:p>
        </w:tc>
        <w:tc>
          <w:tcPr>
            <w:tcW w:w="92"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30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right"/>
              <w:rPr/>
            </w:pPr>
            <w:r>
              <w:rPr/>
              <w:t> </w:t>
            </w:r>
          </w:p>
        </w:tc>
        <w:tc>
          <w:tcPr>
            <w:tcW w:w="388"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60" w:type="dxa"/>
            <w:tcBorders>
              <w:top w:val="single" w:sz="12" w:space="0" w:color="000000"/>
              <w:right w:val="single" w:sz="8" w:space="0" w:color="000000"/>
            </w:tcBorders>
            <w:shd w:fill="FFFFFF" w:val="clear"/>
            <w:tcMar>
              <w:top w:w="28" w:type="dxa"/>
              <w:right w:w="28" w:type="dxa"/>
            </w:tcMar>
            <w:vAlign w:val="bottom"/>
          </w:tcPr>
          <w:p>
            <w:pPr>
              <w:pStyle w:val="TableContents"/>
              <w:spacing w:before="0" w:after="1"/>
              <w:ind w:left="0" w:right="0" w:hanging="0"/>
              <w:jc w:val="right"/>
              <w:rPr/>
            </w:pPr>
            <w:r>
              <w:rPr/>
              <w:t> </w:t>
            </w:r>
          </w:p>
        </w:tc>
        <w:tc>
          <w:tcPr>
            <w:tcW w:w="118" w:type="dxa"/>
            <w:tcBorders>
              <w:top w:val="single" w:sz="12" w:space="0" w:color="000000"/>
              <w:left w:val="single" w:sz="8" w:space="0" w:color="000000"/>
            </w:tcBorders>
            <w:shd w:fill="FFFFFF" w:val="clear"/>
            <w:tcMar>
              <w:top w:w="28" w:type="dxa"/>
              <w:left w:w="28" w:type="dxa"/>
            </w:tcMar>
            <w:vAlign w:val="bottom"/>
          </w:tcPr>
          <w:p>
            <w:pPr>
              <w:pStyle w:val="TableContents"/>
              <w:spacing w:before="0" w:after="1"/>
              <w:ind w:left="0" w:right="0" w:hanging="0"/>
              <w:jc w:val="right"/>
              <w:rPr/>
            </w:pPr>
            <w:r>
              <w:rPr/>
              <w:t> </w:t>
            </w:r>
          </w:p>
        </w:tc>
        <w:tc>
          <w:tcPr>
            <w:tcW w:w="284"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7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19"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0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2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3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71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3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76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3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7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0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3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Net loss</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1"/>
              <w:ind w:left="0" w:right="0" w:hanging="0"/>
              <w:jc w:val="right"/>
              <w:rPr>
                <w:sz w:val="12"/>
              </w:rPr>
            </w:pPr>
            <w:r>
              <w:rPr>
                <w:sz w:val="12"/>
              </w:rPr>
              <w:t>--</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283"/>
              <w:jc w:val="right"/>
              <w:rPr>
                <w:sz w:val="12"/>
              </w:rPr>
            </w:pPr>
            <w:r>
              <w:rPr>
                <w:sz w:val="12"/>
              </w:rPr>
              <w:t xml:space="preserve">(914) </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(914)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283"/>
              <w:jc w:val="right"/>
              <w:rPr>
                <w:sz w:val="12"/>
              </w:rPr>
            </w:pPr>
            <w:r>
              <w:rPr>
                <w:sz w:val="12"/>
              </w:rPr>
              <w:t xml:space="preserve">(492) </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(1,406)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Other comprehensive income, net of tax</w:t>
            </w:r>
          </w:p>
        </w:tc>
        <w:tc>
          <w:tcPr>
            <w:tcW w:w="433"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1"/>
              <w:ind w:left="0" w:right="0" w:hanging="0"/>
              <w:jc w:val="right"/>
              <w:rPr>
                <w:sz w:val="12"/>
              </w:rPr>
            </w:pPr>
            <w:r>
              <w:rPr>
                <w:sz w:val="12"/>
              </w:rPr>
              <w:t>--</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1"/>
              <w:ind w:left="0" w:right="0" w:hanging="0"/>
              <w:jc w:val="right"/>
              <w:rPr>
                <w:sz w:val="12"/>
              </w:rPr>
            </w:pPr>
            <w:r>
              <w:rPr>
                <w:sz w:val="12"/>
              </w:rPr>
              <w:t>--</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283"/>
              <w:jc w:val="right"/>
              <w:rPr>
                <w:sz w:val="12"/>
              </w:rPr>
            </w:pPr>
            <w:r>
              <w:rPr>
                <w:sz w:val="12"/>
              </w:rPr>
              <w:t xml:space="preserve">2,432  </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2,432 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283"/>
              <w:jc w:val="right"/>
              <w:rPr>
                <w:sz w:val="12"/>
              </w:rPr>
            </w:pPr>
            <w:r>
              <w:rPr>
                <w:sz w:val="12"/>
              </w:rPr>
              <w:t xml:space="preserve">5  </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2,437  </w:t>
            </w:r>
          </w:p>
        </w:tc>
      </w:tr>
      <w:tr>
        <w:trPr/>
        <w:tc>
          <w:tcPr>
            <w:tcW w:w="2912" w:type="dxa"/>
            <w:tcBorders>
              <w:right w:val="single" w:sz="8" w:space="0" w:color="000000"/>
            </w:tcBorders>
            <w:shd w:fill="CCEEFF" w:val="clear"/>
            <w:tcMar>
              <w:right w:w="28" w:type="dxa"/>
            </w:tcMar>
            <w:vAlign w:val="bottom"/>
          </w:tcPr>
          <w:p>
            <w:pPr>
              <w:pStyle w:val="TableContents"/>
              <w:spacing w:before="0" w:after="1"/>
              <w:ind w:left="0" w:right="0" w:hanging="0"/>
              <w:jc w:val="both"/>
              <w:rPr>
                <w:sz w:val="12"/>
              </w:rPr>
            </w:pPr>
            <w:r>
              <w:rPr>
                <w:sz w:val="12"/>
              </w:rPr>
              <w:t>Stock option and restricted stock compensation expense</w:t>
            </w:r>
          </w:p>
        </w:tc>
        <w:tc>
          <w:tcPr>
            <w:tcW w:w="433"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302" w:type="dxa"/>
            <w:tcBorders/>
            <w:shd w:fill="CCEEFF" w:val="clear"/>
            <w:vAlign w:val="bottom"/>
          </w:tcPr>
          <w:p>
            <w:pPr>
              <w:pStyle w:val="TableContents"/>
              <w:spacing w:before="0" w:after="283"/>
              <w:jc w:val="right"/>
              <w:rPr>
                <w:sz w:val="12"/>
              </w:rPr>
            </w:pPr>
            <w:r>
              <w:rPr>
                <w:sz w:val="12"/>
              </w:rPr>
              <w:t xml:space="preserve">2  </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CCEE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CCEE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CCEEFF" w:val="clear"/>
            <w:tcMar>
              <w:left w:w="28" w:type="dxa"/>
            </w:tcMar>
            <w:vAlign w:val="bottom"/>
          </w:tcPr>
          <w:p>
            <w:pPr>
              <w:pStyle w:val="TableContents"/>
              <w:spacing w:before="0" w:after="1"/>
              <w:ind w:left="0" w:right="0" w:hanging="0"/>
              <w:jc w:val="right"/>
              <w:rPr/>
            </w:pPr>
            <w:r>
              <w:rPr/>
              <w:t> </w:t>
            </w:r>
          </w:p>
        </w:tc>
        <w:tc>
          <w:tcPr>
            <w:tcW w:w="284" w:type="dxa"/>
            <w:tcBorders/>
            <w:shd w:fill="CCEEFF" w:val="clear"/>
            <w:vAlign w:val="bottom"/>
          </w:tcPr>
          <w:p>
            <w:pPr>
              <w:pStyle w:val="TableContents"/>
              <w:spacing w:before="0" w:after="1"/>
              <w:ind w:left="0" w:right="0" w:hanging="0"/>
              <w:jc w:val="right"/>
              <w:rPr>
                <w:sz w:val="12"/>
              </w:rPr>
            </w:pPr>
            <w:r>
              <w:rPr>
                <w:sz w:val="12"/>
              </w:rPr>
              <w:t>--</w:t>
            </w:r>
          </w:p>
        </w:tc>
        <w:tc>
          <w:tcPr>
            <w:tcW w:w="80" w:type="dxa"/>
            <w:tcBorders/>
            <w:shd w:fill="CCEEFF" w:val="clear"/>
            <w:vAlign w:val="bottom"/>
          </w:tcPr>
          <w:p>
            <w:pPr>
              <w:pStyle w:val="TableContents"/>
              <w:spacing w:before="0" w:after="1"/>
              <w:ind w:left="0" w:right="0" w:hanging="0"/>
              <w:jc w:val="right"/>
              <w:rPr/>
            </w:pPr>
            <w:r>
              <w:rPr/>
              <w:t> </w:t>
            </w:r>
          </w:p>
        </w:tc>
        <w:tc>
          <w:tcPr>
            <w:tcW w:w="470" w:type="dxa"/>
            <w:tcBorders/>
            <w:shd w:fill="CCEEFF" w:val="clear"/>
            <w:vAlign w:val="bottom"/>
          </w:tcPr>
          <w:p>
            <w:pPr>
              <w:pStyle w:val="TableContents"/>
              <w:spacing w:before="0" w:after="283"/>
              <w:jc w:val="right"/>
              <w:rPr>
                <w:sz w:val="12"/>
              </w:rPr>
            </w:pPr>
            <w:r>
              <w:rPr>
                <w:sz w:val="12"/>
              </w:rPr>
              <w:t xml:space="preserve">1,276  </w:t>
            </w:r>
          </w:p>
        </w:tc>
        <w:tc>
          <w:tcPr>
            <w:tcW w:w="81" w:type="dxa"/>
            <w:tcBorders/>
            <w:shd w:fill="CCEEFF" w:val="clear"/>
            <w:vAlign w:val="bottom"/>
          </w:tcPr>
          <w:p>
            <w:pPr>
              <w:pStyle w:val="TableContents"/>
              <w:spacing w:before="0" w:after="1"/>
              <w:ind w:left="0" w:right="0" w:hanging="0"/>
              <w:jc w:val="right"/>
              <w:rPr/>
            </w:pPr>
            <w:r>
              <w:rPr/>
              <w:t> </w:t>
            </w:r>
          </w:p>
        </w:tc>
        <w:tc>
          <w:tcPr>
            <w:tcW w:w="419" w:type="dxa"/>
            <w:tcBorders/>
            <w:shd w:fill="CCEEFF" w:val="clear"/>
            <w:vAlign w:val="bottom"/>
          </w:tcPr>
          <w:p>
            <w:pPr>
              <w:pStyle w:val="TableContents"/>
              <w:spacing w:before="0" w:after="1"/>
              <w:ind w:left="0" w:right="0" w:hanging="0"/>
              <w:jc w:val="right"/>
              <w:rPr>
                <w:sz w:val="12"/>
              </w:rPr>
            </w:pPr>
            <w:r>
              <w:rPr>
                <w:sz w:val="12"/>
              </w:rPr>
              <w:t>--</w:t>
            </w:r>
          </w:p>
        </w:tc>
        <w:tc>
          <w:tcPr>
            <w:tcW w:w="106" w:type="dxa"/>
            <w:tcBorders/>
            <w:shd w:fill="CCEEFF" w:val="clear"/>
            <w:vAlign w:val="bottom"/>
          </w:tcPr>
          <w:p>
            <w:pPr>
              <w:pStyle w:val="TableContents"/>
              <w:spacing w:before="0" w:after="1"/>
              <w:ind w:left="0" w:right="0" w:hanging="0"/>
              <w:jc w:val="right"/>
              <w:rPr/>
            </w:pPr>
            <w:r>
              <w:rPr/>
              <w:t> </w:t>
            </w:r>
          </w:p>
        </w:tc>
        <w:tc>
          <w:tcPr>
            <w:tcW w:w="626" w:type="dxa"/>
            <w:tcBorders/>
            <w:shd w:fill="CCEEFF" w:val="clear"/>
            <w:vAlign w:val="bottom"/>
          </w:tcPr>
          <w:p>
            <w:pPr>
              <w:pStyle w:val="TableContents"/>
              <w:spacing w:before="0" w:after="1"/>
              <w:ind w:left="0" w:right="0" w:hanging="0"/>
              <w:jc w:val="right"/>
              <w:rPr>
                <w:sz w:val="12"/>
              </w:rPr>
            </w:pPr>
            <w:r>
              <w:rPr>
                <w:sz w:val="12"/>
              </w:rPr>
              <w:t>--</w:t>
            </w:r>
          </w:p>
        </w:tc>
        <w:tc>
          <w:tcPr>
            <w:tcW w:w="137" w:type="dxa"/>
            <w:tcBorders/>
            <w:shd w:fill="CCEEFF" w:val="clear"/>
            <w:vAlign w:val="bottom"/>
          </w:tcPr>
          <w:p>
            <w:pPr>
              <w:pStyle w:val="TableContents"/>
              <w:spacing w:before="0" w:after="1"/>
              <w:ind w:left="0" w:right="0" w:hanging="0"/>
              <w:jc w:val="right"/>
              <w:rPr/>
            </w:pPr>
            <w:r>
              <w:rPr/>
              <w:t> </w:t>
            </w:r>
          </w:p>
        </w:tc>
        <w:tc>
          <w:tcPr>
            <w:tcW w:w="715" w:type="dxa"/>
            <w:tcBorders/>
            <w:shd w:fill="CCEEFF" w:val="clear"/>
            <w:vAlign w:val="bottom"/>
          </w:tcPr>
          <w:p>
            <w:pPr>
              <w:pStyle w:val="TableContents"/>
              <w:spacing w:before="0" w:after="1"/>
              <w:ind w:left="0" w:right="0" w:hanging="0"/>
              <w:jc w:val="right"/>
              <w:rPr>
                <w:sz w:val="12"/>
              </w:rPr>
            </w:pPr>
            <w:r>
              <w:rPr>
                <w:sz w:val="12"/>
              </w:rPr>
              <w:t>--</w:t>
            </w:r>
          </w:p>
        </w:tc>
        <w:tc>
          <w:tcPr>
            <w:tcW w:w="130" w:type="dxa"/>
            <w:tcBorders/>
            <w:shd w:fill="CCEEFF" w:val="clear"/>
            <w:vAlign w:val="bottom"/>
          </w:tcPr>
          <w:p>
            <w:pPr>
              <w:pStyle w:val="TableContents"/>
              <w:spacing w:before="0" w:after="1"/>
              <w:ind w:left="0" w:right="0" w:hanging="0"/>
              <w:jc w:val="right"/>
              <w:rPr/>
            </w:pPr>
            <w:r>
              <w:rPr/>
              <w:t> </w:t>
            </w:r>
          </w:p>
        </w:tc>
        <w:tc>
          <w:tcPr>
            <w:tcW w:w="766" w:type="dxa"/>
            <w:tcBorders/>
            <w:shd w:fill="CCEEFF" w:val="clear"/>
            <w:vAlign w:val="bottom"/>
          </w:tcPr>
          <w:p>
            <w:pPr>
              <w:pStyle w:val="TableContents"/>
              <w:spacing w:before="0" w:after="283"/>
              <w:jc w:val="right"/>
              <w:rPr>
                <w:sz w:val="12"/>
              </w:rPr>
            </w:pPr>
            <w:r>
              <w:rPr>
                <w:sz w:val="12"/>
              </w:rPr>
              <w:t xml:space="preserve">1,278  </w:t>
            </w:r>
          </w:p>
        </w:tc>
        <w:tc>
          <w:tcPr>
            <w:tcW w:w="131" w:type="dxa"/>
            <w:tcBorders/>
            <w:shd w:fill="CCEEFF" w:val="clear"/>
            <w:vAlign w:val="bottom"/>
          </w:tcPr>
          <w:p>
            <w:pPr>
              <w:pStyle w:val="TableContents"/>
              <w:spacing w:before="0" w:after="1"/>
              <w:ind w:left="0" w:right="0" w:hanging="0"/>
              <w:jc w:val="right"/>
              <w:rPr/>
            </w:pPr>
            <w:r>
              <w:rPr/>
              <w:t> </w:t>
            </w:r>
          </w:p>
        </w:tc>
        <w:tc>
          <w:tcPr>
            <w:tcW w:w="676" w:type="dxa"/>
            <w:tcBorders/>
            <w:shd w:fill="CCEEFF" w:val="clear"/>
            <w:vAlign w:val="bottom"/>
          </w:tcPr>
          <w:p>
            <w:pPr>
              <w:pStyle w:val="TableContents"/>
              <w:spacing w:before="0" w:after="1"/>
              <w:ind w:left="0" w:right="0" w:hanging="0"/>
              <w:jc w:val="right"/>
              <w:rPr>
                <w:sz w:val="12"/>
              </w:rPr>
            </w:pPr>
            <w:r>
              <w:rPr>
                <w:sz w:val="12"/>
              </w:rPr>
              <w:t>--</w:t>
            </w:r>
          </w:p>
        </w:tc>
        <w:tc>
          <w:tcPr>
            <w:tcW w:w="102" w:type="dxa"/>
            <w:tcBorders/>
            <w:shd w:fill="CCEEFF" w:val="clear"/>
            <w:vAlign w:val="bottom"/>
          </w:tcPr>
          <w:p>
            <w:pPr>
              <w:pStyle w:val="TableContents"/>
              <w:spacing w:before="0" w:after="1"/>
              <w:ind w:left="0" w:right="0" w:hanging="0"/>
              <w:jc w:val="right"/>
              <w:rPr/>
            </w:pPr>
            <w:r>
              <w:rPr/>
              <w:t> </w:t>
            </w:r>
          </w:p>
        </w:tc>
        <w:tc>
          <w:tcPr>
            <w:tcW w:w="637" w:type="dxa"/>
            <w:tcBorders/>
            <w:shd w:fill="CCEEFF" w:val="clear"/>
            <w:vAlign w:val="bottom"/>
          </w:tcPr>
          <w:p>
            <w:pPr>
              <w:pStyle w:val="TableContents"/>
              <w:spacing w:before="0" w:after="283"/>
              <w:jc w:val="right"/>
              <w:rPr>
                <w:sz w:val="12"/>
              </w:rPr>
            </w:pPr>
            <w:r>
              <w:rPr>
                <w:sz w:val="12"/>
              </w:rPr>
              <w:t xml:space="preserve">1,278  </w:t>
            </w:r>
          </w:p>
        </w:tc>
      </w:tr>
      <w:tr>
        <w:trPr/>
        <w:tc>
          <w:tcPr>
            <w:tcW w:w="2912" w:type="dxa"/>
            <w:tcBorders>
              <w:right w:val="single" w:sz="8" w:space="0" w:color="000000"/>
            </w:tcBorders>
            <w:shd w:fill="FFFFFF" w:val="clear"/>
            <w:tcMar>
              <w:right w:w="28" w:type="dxa"/>
            </w:tcMar>
            <w:vAlign w:val="bottom"/>
          </w:tcPr>
          <w:p>
            <w:pPr>
              <w:pStyle w:val="TableContents"/>
              <w:spacing w:before="0" w:after="1"/>
              <w:ind w:left="0" w:right="0" w:hanging="0"/>
              <w:jc w:val="both"/>
              <w:rPr>
                <w:sz w:val="12"/>
              </w:rPr>
            </w:pPr>
            <w:r>
              <w:rPr>
                <w:sz w:val="12"/>
              </w:rPr>
              <w:t>Class A common stock issued for stock bonuses and options exercised</w:t>
            </w:r>
          </w:p>
        </w:tc>
        <w:tc>
          <w:tcPr>
            <w:tcW w:w="433" w:type="dxa"/>
            <w:tcBorders>
              <w:left w:val="single" w:sz="8" w:space="0" w:color="000000"/>
            </w:tcBorders>
            <w:shd w:fill="FFFFFF" w:val="clear"/>
            <w:tcMar>
              <w:left w:w="28" w:type="dxa"/>
            </w:tcMar>
            <w:vAlign w:val="bottom"/>
          </w:tcPr>
          <w:p>
            <w:pPr>
              <w:pStyle w:val="TableContents"/>
              <w:spacing w:before="0" w:after="283"/>
              <w:jc w:val="right"/>
              <w:rPr>
                <w:sz w:val="12"/>
              </w:rPr>
            </w:pPr>
            <w:r>
              <w:rPr>
                <w:sz w:val="12"/>
              </w:rPr>
              <w:t xml:space="preserve">277  </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92"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302" w:type="dxa"/>
            <w:tcBorders/>
            <w:shd w:fill="FFFFFF" w:val="clear"/>
            <w:vAlign w:val="bottom"/>
          </w:tcPr>
          <w:p>
            <w:pPr>
              <w:pStyle w:val="TableContents"/>
              <w:spacing w:before="0" w:after="283"/>
              <w:jc w:val="right"/>
              <w:rPr>
                <w:sz w:val="12"/>
              </w:rPr>
            </w:pPr>
            <w:r>
              <w:rPr>
                <w:sz w:val="12"/>
              </w:rPr>
              <w:t xml:space="preserve">1  </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388" w:type="dxa"/>
            <w:tcBorders>
              <w:left w:val="single" w:sz="8" w:space="0" w:color="000000"/>
            </w:tcBorders>
            <w:shd w:fill="FFFFFF" w:val="clear"/>
            <w:tcMar>
              <w:left w:w="28" w:type="dxa"/>
            </w:tcMar>
            <w:vAlign w:val="bottom"/>
          </w:tcPr>
          <w:p>
            <w:pPr>
              <w:pStyle w:val="TableContents"/>
              <w:spacing w:before="0" w:after="1"/>
              <w:ind w:left="0" w:right="0" w:hanging="0"/>
              <w:jc w:val="right"/>
              <w:rPr>
                <w:sz w:val="12"/>
              </w:rPr>
            </w:pPr>
            <w:r>
              <w:rPr>
                <w:sz w:val="12"/>
              </w:rPr>
              <w:t>--</w:t>
            </w:r>
          </w:p>
        </w:tc>
        <w:tc>
          <w:tcPr>
            <w:tcW w:w="60" w:type="dxa"/>
            <w:tcBorders>
              <w:right w:val="single" w:sz="8" w:space="0" w:color="000000"/>
            </w:tcBorders>
            <w:shd w:fill="FFFFFF" w:val="clear"/>
            <w:tcMar>
              <w:right w:w="28" w:type="dxa"/>
            </w:tcMar>
            <w:vAlign w:val="bottom"/>
          </w:tcPr>
          <w:p>
            <w:pPr>
              <w:pStyle w:val="TableContents"/>
              <w:spacing w:before="0" w:after="1"/>
              <w:ind w:left="0" w:right="0" w:hanging="0"/>
              <w:jc w:val="right"/>
              <w:rPr/>
            </w:pPr>
            <w:r>
              <w:rPr/>
              <w:t> </w:t>
            </w:r>
          </w:p>
        </w:tc>
        <w:tc>
          <w:tcPr>
            <w:tcW w:w="118" w:type="dxa"/>
            <w:tcBorders>
              <w:left w:val="single" w:sz="8" w:space="0" w:color="000000"/>
            </w:tcBorders>
            <w:shd w:fill="FFFFFF" w:val="clear"/>
            <w:tcMar>
              <w:left w:w="28" w:type="dxa"/>
            </w:tcMar>
            <w:vAlign w:val="bottom"/>
          </w:tcPr>
          <w:p>
            <w:pPr>
              <w:pStyle w:val="TableContents"/>
              <w:spacing w:before="0" w:after="1"/>
              <w:ind w:left="0" w:right="0" w:hanging="0"/>
              <w:jc w:val="right"/>
              <w:rPr/>
            </w:pPr>
            <w:r>
              <w:rPr/>
              <w:t> </w:t>
            </w:r>
          </w:p>
        </w:tc>
        <w:tc>
          <w:tcPr>
            <w:tcW w:w="284" w:type="dxa"/>
            <w:tcBorders/>
            <w:shd w:fill="FFFFFF" w:val="clear"/>
            <w:vAlign w:val="bottom"/>
          </w:tcPr>
          <w:p>
            <w:pPr>
              <w:pStyle w:val="TableContents"/>
              <w:spacing w:before="0" w:after="1"/>
              <w:ind w:left="0" w:right="0" w:hanging="0"/>
              <w:jc w:val="right"/>
              <w:rPr>
                <w:sz w:val="12"/>
              </w:rPr>
            </w:pPr>
            <w:r>
              <w:rPr>
                <w:sz w:val="12"/>
              </w:rPr>
              <w:t>--</w:t>
            </w:r>
          </w:p>
        </w:tc>
        <w:tc>
          <w:tcPr>
            <w:tcW w:w="80" w:type="dxa"/>
            <w:tcBorders/>
            <w:shd w:fill="FFFFFF" w:val="clear"/>
            <w:vAlign w:val="bottom"/>
          </w:tcPr>
          <w:p>
            <w:pPr>
              <w:pStyle w:val="TableContents"/>
              <w:spacing w:before="0" w:after="1"/>
              <w:ind w:left="0" w:right="0" w:hanging="0"/>
              <w:jc w:val="right"/>
              <w:rPr/>
            </w:pPr>
            <w:r>
              <w:rPr/>
              <w:t> </w:t>
            </w:r>
          </w:p>
        </w:tc>
        <w:tc>
          <w:tcPr>
            <w:tcW w:w="470" w:type="dxa"/>
            <w:tcBorders/>
            <w:shd w:fill="FFFFFF" w:val="clear"/>
            <w:vAlign w:val="bottom"/>
          </w:tcPr>
          <w:p>
            <w:pPr>
              <w:pStyle w:val="TableContents"/>
              <w:spacing w:before="0" w:after="283"/>
              <w:jc w:val="right"/>
              <w:rPr>
                <w:sz w:val="12"/>
              </w:rPr>
            </w:pPr>
            <w:r>
              <w:rPr>
                <w:sz w:val="12"/>
              </w:rPr>
              <w:t xml:space="preserve">307  </w:t>
            </w:r>
          </w:p>
        </w:tc>
        <w:tc>
          <w:tcPr>
            <w:tcW w:w="81" w:type="dxa"/>
            <w:tcBorders/>
            <w:shd w:fill="FFFFFF" w:val="clear"/>
            <w:vAlign w:val="bottom"/>
          </w:tcPr>
          <w:p>
            <w:pPr>
              <w:pStyle w:val="TableContents"/>
              <w:spacing w:before="0" w:after="1"/>
              <w:ind w:left="0" w:right="0" w:hanging="0"/>
              <w:jc w:val="right"/>
              <w:rPr/>
            </w:pPr>
            <w:r>
              <w:rPr/>
              <w:t> </w:t>
            </w:r>
          </w:p>
        </w:tc>
        <w:tc>
          <w:tcPr>
            <w:tcW w:w="419" w:type="dxa"/>
            <w:tcBorders/>
            <w:shd w:fill="FFFFFF" w:val="clear"/>
            <w:vAlign w:val="bottom"/>
          </w:tcPr>
          <w:p>
            <w:pPr>
              <w:pStyle w:val="TableContents"/>
              <w:spacing w:before="0" w:after="1"/>
              <w:ind w:left="0" w:right="0" w:hanging="0"/>
              <w:jc w:val="right"/>
              <w:rPr>
                <w:sz w:val="12"/>
              </w:rPr>
            </w:pPr>
            <w:r>
              <w:rPr>
                <w:sz w:val="12"/>
              </w:rPr>
              <w:t>--</w:t>
            </w:r>
          </w:p>
        </w:tc>
        <w:tc>
          <w:tcPr>
            <w:tcW w:w="106" w:type="dxa"/>
            <w:tcBorders/>
            <w:shd w:fill="FFFFFF" w:val="clear"/>
            <w:vAlign w:val="bottom"/>
          </w:tcPr>
          <w:p>
            <w:pPr>
              <w:pStyle w:val="TableContents"/>
              <w:spacing w:before="0" w:after="1"/>
              <w:ind w:left="0" w:right="0" w:hanging="0"/>
              <w:jc w:val="right"/>
              <w:rPr/>
            </w:pPr>
            <w:r>
              <w:rPr/>
              <w:t> </w:t>
            </w:r>
          </w:p>
        </w:tc>
        <w:tc>
          <w:tcPr>
            <w:tcW w:w="626" w:type="dxa"/>
            <w:tcBorders/>
            <w:shd w:fill="FFFFFF" w:val="clear"/>
            <w:vAlign w:val="bottom"/>
          </w:tcPr>
          <w:p>
            <w:pPr>
              <w:pStyle w:val="TableContents"/>
              <w:spacing w:before="0" w:after="1"/>
              <w:ind w:left="0" w:right="0" w:hanging="0"/>
              <w:jc w:val="right"/>
              <w:rPr>
                <w:sz w:val="12"/>
              </w:rPr>
            </w:pPr>
            <w:r>
              <w:rPr>
                <w:sz w:val="12"/>
              </w:rPr>
              <w:t>--</w:t>
            </w:r>
          </w:p>
        </w:tc>
        <w:tc>
          <w:tcPr>
            <w:tcW w:w="137" w:type="dxa"/>
            <w:tcBorders/>
            <w:shd w:fill="FFFFFF" w:val="clear"/>
            <w:vAlign w:val="bottom"/>
          </w:tcPr>
          <w:p>
            <w:pPr>
              <w:pStyle w:val="TableContents"/>
              <w:spacing w:before="0" w:after="1"/>
              <w:ind w:left="0" w:right="0" w:hanging="0"/>
              <w:jc w:val="right"/>
              <w:rPr/>
            </w:pPr>
            <w:r>
              <w:rPr/>
              <w:t> </w:t>
            </w:r>
          </w:p>
        </w:tc>
        <w:tc>
          <w:tcPr>
            <w:tcW w:w="715" w:type="dxa"/>
            <w:tcBorders/>
            <w:shd w:fill="FFFFFF" w:val="clear"/>
            <w:vAlign w:val="bottom"/>
          </w:tcPr>
          <w:p>
            <w:pPr>
              <w:pStyle w:val="TableContents"/>
              <w:spacing w:before="0" w:after="1"/>
              <w:ind w:left="0" w:right="0" w:hanging="0"/>
              <w:jc w:val="right"/>
              <w:rPr>
                <w:sz w:val="12"/>
              </w:rPr>
            </w:pPr>
            <w:r>
              <w:rPr>
                <w:sz w:val="12"/>
              </w:rPr>
              <w:t>--</w:t>
            </w:r>
          </w:p>
        </w:tc>
        <w:tc>
          <w:tcPr>
            <w:tcW w:w="130" w:type="dxa"/>
            <w:tcBorders/>
            <w:shd w:fill="FFFFFF" w:val="clear"/>
            <w:vAlign w:val="bottom"/>
          </w:tcPr>
          <w:p>
            <w:pPr>
              <w:pStyle w:val="TableContents"/>
              <w:spacing w:before="0" w:after="1"/>
              <w:ind w:left="0" w:right="0" w:hanging="0"/>
              <w:jc w:val="right"/>
              <w:rPr/>
            </w:pPr>
            <w:r>
              <w:rPr/>
              <w:t> </w:t>
            </w:r>
          </w:p>
        </w:tc>
        <w:tc>
          <w:tcPr>
            <w:tcW w:w="766" w:type="dxa"/>
            <w:tcBorders/>
            <w:shd w:fill="FFFFFF" w:val="clear"/>
            <w:vAlign w:val="bottom"/>
          </w:tcPr>
          <w:p>
            <w:pPr>
              <w:pStyle w:val="TableContents"/>
              <w:spacing w:before="0" w:after="283"/>
              <w:jc w:val="right"/>
              <w:rPr>
                <w:sz w:val="12"/>
              </w:rPr>
            </w:pPr>
            <w:r>
              <w:rPr>
                <w:sz w:val="12"/>
              </w:rPr>
              <w:t xml:space="preserve">308  </w:t>
            </w:r>
          </w:p>
        </w:tc>
        <w:tc>
          <w:tcPr>
            <w:tcW w:w="131" w:type="dxa"/>
            <w:tcBorders/>
            <w:shd w:fill="FFFFFF" w:val="clear"/>
            <w:vAlign w:val="bottom"/>
          </w:tcPr>
          <w:p>
            <w:pPr>
              <w:pStyle w:val="TableContents"/>
              <w:spacing w:before="0" w:after="1"/>
              <w:ind w:left="0" w:right="0" w:hanging="0"/>
              <w:jc w:val="right"/>
              <w:rPr/>
            </w:pPr>
            <w:r>
              <w:rPr/>
              <w:t> </w:t>
            </w:r>
          </w:p>
        </w:tc>
        <w:tc>
          <w:tcPr>
            <w:tcW w:w="676" w:type="dxa"/>
            <w:tcBorders/>
            <w:shd w:fill="FFFFFF" w:val="clear"/>
            <w:vAlign w:val="bottom"/>
          </w:tcPr>
          <w:p>
            <w:pPr>
              <w:pStyle w:val="TableContents"/>
              <w:spacing w:before="0" w:after="1"/>
              <w:ind w:left="0" w:right="0" w:hanging="0"/>
              <w:jc w:val="right"/>
              <w:rPr>
                <w:sz w:val="12"/>
              </w:rPr>
            </w:pPr>
            <w:r>
              <w:rPr>
                <w:sz w:val="12"/>
              </w:rPr>
              <w:t>--</w:t>
            </w:r>
          </w:p>
        </w:tc>
        <w:tc>
          <w:tcPr>
            <w:tcW w:w="102" w:type="dxa"/>
            <w:tcBorders/>
            <w:shd w:fill="FFFFFF" w:val="clear"/>
            <w:vAlign w:val="bottom"/>
          </w:tcPr>
          <w:p>
            <w:pPr>
              <w:pStyle w:val="TableContents"/>
              <w:spacing w:before="0" w:after="1"/>
              <w:ind w:left="0" w:right="0" w:hanging="0"/>
              <w:jc w:val="right"/>
              <w:rPr/>
            </w:pPr>
            <w:r>
              <w:rPr/>
              <w:t> </w:t>
            </w:r>
          </w:p>
        </w:tc>
        <w:tc>
          <w:tcPr>
            <w:tcW w:w="637" w:type="dxa"/>
            <w:tcBorders/>
            <w:shd w:fill="FFFFFF" w:val="clear"/>
            <w:vAlign w:val="bottom"/>
          </w:tcPr>
          <w:p>
            <w:pPr>
              <w:pStyle w:val="TableContents"/>
              <w:spacing w:before="0" w:after="283"/>
              <w:jc w:val="right"/>
              <w:rPr>
                <w:sz w:val="12"/>
              </w:rPr>
            </w:pPr>
            <w:r>
              <w:rPr>
                <w:sz w:val="12"/>
              </w:rPr>
              <w:t xml:space="preserve">308  </w:t>
            </w:r>
          </w:p>
        </w:tc>
      </w:tr>
      <w:tr>
        <w:trPr/>
        <w:tc>
          <w:tcPr>
            <w:tcW w:w="2912"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both"/>
              <w:rPr>
                <w:sz w:val="12"/>
              </w:rPr>
            </w:pPr>
            <w:r>
              <w:rPr>
                <w:sz w:val="12"/>
              </w:rPr>
              <w:t>Contributions from noncontrolling shareholders</w:t>
            </w:r>
          </w:p>
        </w:tc>
        <w:tc>
          <w:tcPr>
            <w:tcW w:w="433"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right"/>
              <w:rPr/>
            </w:pPr>
            <w:r>
              <w:rPr/>
              <w:t> </w:t>
            </w:r>
          </w:p>
        </w:tc>
        <w:tc>
          <w:tcPr>
            <w:tcW w:w="92"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1"/>
              <w:ind w:left="0" w:right="0" w:hanging="0"/>
              <w:jc w:val="right"/>
              <w:rPr/>
            </w:pPr>
            <w:r>
              <w:rPr/>
              <w:t> </w:t>
            </w:r>
          </w:p>
        </w:tc>
        <w:tc>
          <w:tcPr>
            <w:tcW w:w="302"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right"/>
              <w:rPr/>
            </w:pPr>
            <w:r>
              <w:rPr/>
              <w:t> </w:t>
            </w:r>
          </w:p>
        </w:tc>
        <w:tc>
          <w:tcPr>
            <w:tcW w:w="388"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1"/>
              <w:ind w:left="0" w:right="0" w:hanging="0"/>
              <w:jc w:val="right"/>
              <w:rPr>
                <w:sz w:val="12"/>
              </w:rPr>
            </w:pPr>
            <w:r>
              <w:rPr>
                <w:sz w:val="12"/>
              </w:rPr>
              <w:t>--</w:t>
            </w:r>
          </w:p>
        </w:tc>
        <w:tc>
          <w:tcPr>
            <w:tcW w:w="60" w:type="dxa"/>
            <w:tcBorders>
              <w:bottom w:val="single" w:sz="8" w:space="0" w:color="000000"/>
              <w:right w:val="single" w:sz="8" w:space="0" w:color="000000"/>
            </w:tcBorders>
            <w:shd w:fill="CCEEFF" w:val="clear"/>
            <w:tcMar>
              <w:bottom w:w="28" w:type="dxa"/>
              <w:right w:w="28" w:type="dxa"/>
            </w:tcMar>
            <w:vAlign w:val="bottom"/>
          </w:tcPr>
          <w:p>
            <w:pPr>
              <w:pStyle w:val="TableContents"/>
              <w:spacing w:before="0" w:after="1"/>
              <w:ind w:left="0" w:right="0" w:hanging="0"/>
              <w:jc w:val="right"/>
              <w:rPr/>
            </w:pPr>
            <w:r>
              <w:rPr/>
              <w:t> </w:t>
            </w:r>
          </w:p>
        </w:tc>
        <w:tc>
          <w:tcPr>
            <w:tcW w:w="118" w:type="dxa"/>
            <w:tcBorders>
              <w:left w:val="single" w:sz="8" w:space="0" w:color="000000"/>
              <w:bottom w:val="single" w:sz="8" w:space="0" w:color="000000"/>
            </w:tcBorders>
            <w:shd w:fill="CCEEFF" w:val="clear"/>
            <w:tcMar>
              <w:left w:w="28" w:type="dxa"/>
              <w:bottom w:w="28" w:type="dxa"/>
            </w:tcMar>
            <w:vAlign w:val="bottom"/>
          </w:tcPr>
          <w:p>
            <w:pPr>
              <w:pStyle w:val="TableContents"/>
              <w:spacing w:before="0" w:after="1"/>
              <w:ind w:left="0" w:right="0" w:hanging="0"/>
              <w:jc w:val="right"/>
              <w:rPr/>
            </w:pPr>
            <w:r>
              <w:rPr/>
              <w:t> </w:t>
            </w:r>
          </w:p>
        </w:tc>
        <w:tc>
          <w:tcPr>
            <w:tcW w:w="28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70"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81"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19"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106"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6"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137"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5"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13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66"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2"/>
              </w:rPr>
            </w:pPr>
            <w:r>
              <w:rPr>
                <w:sz w:val="12"/>
              </w:rPr>
              <w:t>--</w:t>
            </w:r>
          </w:p>
        </w:tc>
        <w:tc>
          <w:tcPr>
            <w:tcW w:w="131"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76" w:type="dxa"/>
            <w:tcBorders>
              <w:bottom w:val="single" w:sz="8" w:space="0" w:color="000000"/>
            </w:tcBorders>
            <w:shd w:fill="CCEEFF" w:val="clear"/>
            <w:tcMar>
              <w:bottom w:w="28" w:type="dxa"/>
            </w:tcMar>
            <w:vAlign w:val="bottom"/>
          </w:tcPr>
          <w:p>
            <w:pPr>
              <w:pStyle w:val="TableContents"/>
              <w:spacing w:before="0" w:after="283"/>
              <w:jc w:val="right"/>
              <w:rPr>
                <w:sz w:val="12"/>
              </w:rPr>
            </w:pPr>
            <w:r>
              <w:rPr>
                <w:sz w:val="12"/>
              </w:rPr>
              <w:t xml:space="preserve">3,350  </w:t>
            </w:r>
          </w:p>
        </w:tc>
        <w:tc>
          <w:tcPr>
            <w:tcW w:w="10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37" w:type="dxa"/>
            <w:tcBorders>
              <w:bottom w:val="single" w:sz="8" w:space="0" w:color="000000"/>
            </w:tcBorders>
            <w:shd w:fill="CCEEFF" w:val="clear"/>
            <w:tcMar>
              <w:bottom w:w="28" w:type="dxa"/>
            </w:tcMar>
            <w:vAlign w:val="bottom"/>
          </w:tcPr>
          <w:p>
            <w:pPr>
              <w:pStyle w:val="TableContents"/>
              <w:spacing w:before="0" w:after="283"/>
              <w:jc w:val="right"/>
              <w:rPr>
                <w:sz w:val="12"/>
              </w:rPr>
            </w:pPr>
            <w:r>
              <w:rPr>
                <w:sz w:val="12"/>
              </w:rPr>
              <w:t xml:space="preserve">3,350  </w:t>
            </w:r>
          </w:p>
        </w:tc>
      </w:tr>
      <w:tr>
        <w:trPr/>
        <w:tc>
          <w:tcPr>
            <w:tcW w:w="2912" w:type="dxa"/>
            <w:tcBorders>
              <w:top w:val="single" w:sz="8" w:space="0" w:color="000000"/>
              <w:bottom w:val="single" w:sz="12" w:space="0" w:color="000000"/>
              <w:right w:val="single" w:sz="8" w:space="0" w:color="000000"/>
            </w:tcBorders>
            <w:shd w:fill="FFFFFF" w:val="clear"/>
            <w:tcMar>
              <w:top w:w="28" w:type="dxa"/>
              <w:bottom w:w="28" w:type="dxa"/>
              <w:right w:w="28" w:type="dxa"/>
            </w:tcMar>
            <w:vAlign w:val="bottom"/>
          </w:tcPr>
          <w:p>
            <w:pPr>
              <w:pStyle w:val="TableContents"/>
              <w:spacing w:before="0" w:after="1"/>
              <w:ind w:left="0" w:right="0" w:hanging="0"/>
              <w:jc w:val="both"/>
              <w:rPr>
                <w:sz w:val="12"/>
              </w:rPr>
            </w:pPr>
            <w:r>
              <w:rPr>
                <w:sz w:val="12"/>
              </w:rPr>
              <w:t>At December 31, 2012</w:t>
            </w:r>
          </w:p>
        </w:tc>
        <w:tc>
          <w:tcPr>
            <w:tcW w:w="433"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spacing w:before="0" w:after="283"/>
              <w:jc w:val="right"/>
              <w:rPr>
                <w:sz w:val="12"/>
              </w:rPr>
            </w:pPr>
            <w:r>
              <w:rPr>
                <w:sz w:val="12"/>
              </w:rPr>
              <w:t xml:space="preserve">21,588  </w:t>
            </w:r>
          </w:p>
        </w:tc>
        <w:tc>
          <w:tcPr>
            <w:tcW w:w="60" w:type="dxa"/>
            <w:tcBorders>
              <w:top w:val="single" w:sz="8" w:space="0" w:color="000000"/>
              <w:bottom w:val="single" w:sz="12" w:space="0" w:color="000000"/>
              <w:right w:val="single" w:sz="8" w:space="0" w:color="000000"/>
            </w:tcBorders>
            <w:shd w:fill="FFFFFF" w:val="clear"/>
            <w:tcMar>
              <w:top w:w="28" w:type="dxa"/>
              <w:bottom w:w="28" w:type="dxa"/>
              <w:right w:w="28" w:type="dxa"/>
            </w:tcMar>
            <w:vAlign w:val="bottom"/>
          </w:tcPr>
          <w:p>
            <w:pPr>
              <w:pStyle w:val="TableContents"/>
              <w:spacing w:before="0" w:after="1"/>
              <w:ind w:left="0" w:right="0" w:hanging="0"/>
              <w:jc w:val="right"/>
              <w:rPr/>
            </w:pPr>
            <w:r>
              <w:rPr/>
              <w:t> </w:t>
            </w:r>
          </w:p>
        </w:tc>
        <w:tc>
          <w:tcPr>
            <w:tcW w:w="92"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30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223  </w:t>
            </w:r>
          </w:p>
        </w:tc>
        <w:tc>
          <w:tcPr>
            <w:tcW w:w="60" w:type="dxa"/>
            <w:tcBorders>
              <w:top w:val="single" w:sz="8" w:space="0" w:color="000000"/>
              <w:bottom w:val="single" w:sz="12" w:space="0" w:color="000000"/>
              <w:right w:val="single" w:sz="8" w:space="0" w:color="000000"/>
            </w:tcBorders>
            <w:shd w:fill="FFFFFF" w:val="clear"/>
            <w:tcMar>
              <w:top w:w="28" w:type="dxa"/>
              <w:bottom w:w="28" w:type="dxa"/>
              <w:right w:w="28" w:type="dxa"/>
            </w:tcMar>
            <w:vAlign w:val="bottom"/>
          </w:tcPr>
          <w:p>
            <w:pPr>
              <w:pStyle w:val="TableContents"/>
              <w:spacing w:before="0" w:after="1"/>
              <w:ind w:left="0" w:right="0" w:hanging="0"/>
              <w:jc w:val="right"/>
              <w:rPr/>
            </w:pPr>
            <w:r>
              <w:rPr/>
              <w:t> </w:t>
            </w:r>
          </w:p>
        </w:tc>
        <w:tc>
          <w:tcPr>
            <w:tcW w:w="388"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spacing w:before="0" w:after="283"/>
              <w:jc w:val="right"/>
              <w:rPr>
                <w:sz w:val="12"/>
              </w:rPr>
            </w:pPr>
            <w:r>
              <w:rPr>
                <w:sz w:val="12"/>
              </w:rPr>
              <w:t xml:space="preserve">1,495  </w:t>
            </w:r>
          </w:p>
        </w:tc>
        <w:tc>
          <w:tcPr>
            <w:tcW w:w="60" w:type="dxa"/>
            <w:tcBorders>
              <w:top w:val="single" w:sz="8" w:space="0" w:color="000000"/>
              <w:bottom w:val="single" w:sz="12" w:space="0" w:color="000000"/>
              <w:right w:val="single" w:sz="8" w:space="0" w:color="000000"/>
            </w:tcBorders>
            <w:shd w:fill="FFFFFF" w:val="clear"/>
            <w:tcMar>
              <w:top w:w="28" w:type="dxa"/>
              <w:bottom w:w="28" w:type="dxa"/>
              <w:right w:w="28" w:type="dxa"/>
            </w:tcMar>
            <w:vAlign w:val="bottom"/>
          </w:tcPr>
          <w:p>
            <w:pPr>
              <w:pStyle w:val="TableContents"/>
              <w:spacing w:before="0" w:after="1"/>
              <w:ind w:left="0" w:right="0" w:hanging="0"/>
              <w:jc w:val="right"/>
              <w:rPr/>
            </w:pPr>
            <w:r>
              <w:rPr/>
              <w:t> </w:t>
            </w:r>
          </w:p>
        </w:tc>
        <w:tc>
          <w:tcPr>
            <w:tcW w:w="118"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spacing w:before="0" w:after="1"/>
              <w:ind w:left="0" w:right="0" w:hanging="0"/>
              <w:jc w:val="right"/>
              <w:rPr>
                <w:sz w:val="12"/>
              </w:rPr>
            </w:pPr>
            <w:r>
              <w:rPr>
                <w:sz w:val="12"/>
              </w:rPr>
              <w:t>$</w:t>
            </w:r>
          </w:p>
        </w:tc>
        <w:tc>
          <w:tcPr>
            <w:tcW w:w="28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15  </w:t>
            </w:r>
          </w:p>
        </w:tc>
        <w:tc>
          <w:tcPr>
            <w:tcW w:w="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7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136,754  </w:t>
            </w:r>
          </w:p>
        </w:tc>
        <w:tc>
          <w:tcPr>
            <w:tcW w:w="81"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419"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(4,512) </w:t>
            </w:r>
          </w:p>
        </w:tc>
        <w:tc>
          <w:tcPr>
            <w:tcW w:w="106"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26"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(66,993) </w:t>
            </w:r>
          </w:p>
        </w:tc>
        <w:tc>
          <w:tcPr>
            <w:tcW w:w="13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61,369  </w:t>
            </w:r>
          </w:p>
        </w:tc>
        <w:tc>
          <w:tcPr>
            <w:tcW w:w="1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766"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126,856  </w:t>
            </w:r>
          </w:p>
        </w:tc>
        <w:tc>
          <w:tcPr>
            <w:tcW w:w="131"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76"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4,098  </w:t>
            </w:r>
          </w:p>
        </w:tc>
        <w:tc>
          <w:tcPr>
            <w:tcW w:w="10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2"/>
              </w:rPr>
            </w:pPr>
            <w:r>
              <w:rPr>
                <w:sz w:val="12"/>
              </w:rPr>
              <w:t>$</w:t>
            </w:r>
          </w:p>
        </w:tc>
        <w:tc>
          <w:tcPr>
            <w:tcW w:w="63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2"/>
              </w:rPr>
            </w:pPr>
            <w:r>
              <w:rPr>
                <w:sz w:val="12"/>
              </w:rPr>
              <w:t xml:space="preserve">130,954  </w:t>
            </w:r>
          </w:p>
        </w:tc>
      </w:tr>
    </w:tbl>
    <w:p>
      <w:pPr>
        <w:pStyle w:val="TextBody"/>
        <w:spacing w:before="0" w:after="0"/>
        <w:ind w:left="420" w:right="0" w:hanging="0"/>
        <w:jc w:val="both"/>
        <w:rPr/>
      </w:pPr>
      <w:r>
        <w:rPr/>
        <w:t xml:space="preserve">  </w:t>
      </w:r>
    </w:p>
    <w:p>
      <w:pPr>
        <w:pStyle w:val="TextBody"/>
        <w:spacing w:before="0" w:after="0"/>
        <w:ind w:left="420" w:right="0" w:hanging="0"/>
        <w:jc w:val="center"/>
        <w:rPr/>
      </w:pPr>
      <w:r>
        <w:rPr/>
        <w:t xml:space="preserve">  </w:t>
      </w:r>
    </w:p>
    <w:p>
      <w:pPr>
        <w:pStyle w:val="TextBody"/>
        <w:spacing w:before="0" w:after="200"/>
        <w:ind w:left="420" w:right="0" w:hanging="0"/>
        <w:jc w:val="center"/>
        <w:rPr>
          <w:sz w:val="13"/>
        </w:rPr>
      </w:pPr>
      <w:r>
        <w:rPr>
          <w:sz w:val="13"/>
        </w:rPr>
        <w:t xml:space="preserve">See accompanying notes to consolidated financial statement. </w:t>
      </w:r>
    </w:p>
    <w:p>
      <w:pPr>
        <w:pStyle w:val="TextBody"/>
        <w:spacing w:before="0" w:after="200"/>
        <w:ind w:left="420" w:right="0" w:hanging="0"/>
        <w:jc w:val="both"/>
        <w:rPr/>
      </w:pPr>
      <w:r>
        <w:rPr/>
        <w:t xml:space="preserve">  </w:t>
      </w:r>
    </w:p>
    <w:p>
      <w:pPr>
        <w:pStyle w:val="TextBody"/>
        <w:spacing w:before="0" w:after="0"/>
        <w:ind w:left="420" w:right="0" w:hanging="0"/>
        <w:jc w:val="center"/>
        <w:rPr>
          <w:sz w:val="17"/>
        </w:rPr>
      </w:pPr>
      <w:r>
        <w:rPr>
          <w:sz w:val="17"/>
        </w:rPr>
        <w:t xml:space="preserve">59 </w:t>
      </w:r>
    </w:p>
    <w:p>
      <w:pPr>
        <w:pStyle w:val="TextBody"/>
        <w:spacing w:before="0" w:after="0"/>
        <w:ind w:left="420" w:right="0" w:hanging="0"/>
        <w:jc w:val="both"/>
        <w:rPr/>
      </w:pPr>
      <w:r>
        <w:rPr/>
        <w:t xml:space="preserve">  </w:t>
      </w:r>
    </w:p>
    <w:p>
      <w:pPr>
        <w:pStyle w:val="HorizontalLine"/>
        <w:pBdr>
          <w:bottom w:val="double" w:sz="6" w:space="0" w:color="808080"/>
        </w:pBdr>
        <w:ind w:left="420" w:right="0" w:hanging="0"/>
        <w:rPr/>
      </w:pPr>
      <w:r>
        <w:rPr/>
      </w:r>
      <w:r>
        <w:br w:type="page"/>
      </w:r>
    </w:p>
    <w:p>
      <w:pPr>
        <w:pStyle w:val="TextBody"/>
        <w:ind w:left="420" w:right="0" w:hanging="0"/>
        <w:rPr/>
      </w:pPr>
      <w:r>
        <w:rPr/>
        <w:t> </w:t>
      </w:r>
    </w:p>
    <w:p>
      <w:pPr>
        <w:pStyle w:val="TextBody"/>
        <w:spacing w:before="0" w:after="0"/>
        <w:ind w:left="420" w:right="0" w:hanging="0"/>
        <w:jc w:val="center"/>
        <w:rPr/>
      </w:pPr>
      <w:r>
        <w:rPr/>
        <w:t xml:space="preserve">  </w:t>
      </w:r>
    </w:p>
    <w:p>
      <w:pPr>
        <w:pStyle w:val="TextBody"/>
        <w:spacing w:before="0" w:after="0"/>
        <w:ind w:left="420" w:right="0" w:hanging="0"/>
        <w:jc w:val="both"/>
        <w:rPr/>
      </w:pPr>
      <w:r>
        <w:rPr/>
        <w:t xml:space="preserve">  </w:t>
      </w:r>
    </w:p>
    <w:p>
      <w:pPr>
        <w:pStyle w:val="TextBody"/>
        <w:spacing w:before="0" w:after="0"/>
        <w:ind w:left="420" w:right="0" w:hanging="0"/>
        <w:jc w:val="both"/>
        <w:rPr/>
      </w:pPr>
      <w:r>
        <w:rPr/>
        <w:t xml:space="preserve">  </w:t>
      </w:r>
    </w:p>
    <w:p>
      <w:pPr>
        <w:pStyle w:val="TextBody"/>
        <w:spacing w:before="0" w:after="0"/>
        <w:ind w:left="420" w:right="0" w:hanging="0"/>
        <w:jc w:val="both"/>
        <w:rPr/>
      </w:pPr>
      <w:r>
        <w:rPr/>
        <w:t xml:space="preserve">  </w:t>
      </w:r>
    </w:p>
    <w:p>
      <w:pPr>
        <w:pStyle w:val="TextBody"/>
        <w:spacing w:before="0" w:after="0"/>
        <w:ind w:left="420" w:right="0" w:hanging="0"/>
        <w:jc w:val="both"/>
        <w:rPr/>
      </w:pPr>
      <w:r>
        <w:rPr/>
        <w:t xml:space="preserve">  </w:t>
      </w:r>
    </w:p>
    <w:p>
      <w:pPr>
        <w:pStyle w:val="TextBody"/>
        <w:spacing w:before="0" w:after="0"/>
        <w:ind w:left="1440" w:right="0" w:hanging="0"/>
        <w:jc w:val="both"/>
        <w:rPr>
          <w:sz w:val="2"/>
        </w:rPr>
      </w:pPr>
      <w:r>
        <w:rPr>
          <w:sz w:val="2"/>
        </w:rPr>
        <w:t xml:space="preserve">X </w:t>
      </w:r>
    </w:p>
    <w:p>
      <w:pPr>
        <w:pStyle w:val="TextBody"/>
        <w:spacing w:before="0" w:after="0"/>
        <w:ind w:left="1440" w:right="0" w:hanging="0"/>
        <w:jc w:val="both"/>
        <w:rPr>
          <w:sz w:val="17"/>
        </w:rPr>
      </w:pPr>
      <w:r>
        <w:rPr>
          <w:b/>
          <w:sz w:val="17"/>
        </w:rPr>
        <w:t>Reading International, Inc. and Subsidiaries</w:t>
      </w:r>
      <w:r>
        <w:rPr>
          <w:sz w:val="17"/>
        </w:rPr>
        <w:t xml:space="preserve"> </w:t>
      </w:r>
    </w:p>
    <w:p>
      <w:pPr>
        <w:pStyle w:val="TextBody"/>
        <w:spacing w:before="0" w:after="0"/>
        <w:ind w:left="1440" w:right="0" w:hanging="0"/>
        <w:jc w:val="both"/>
        <w:rPr>
          <w:sz w:val="17"/>
        </w:rPr>
      </w:pPr>
      <w:r>
        <w:rPr>
          <w:b/>
          <w:sz w:val="17"/>
        </w:rPr>
        <w:t>Consolidated Statements of Cash Flows for the Three Years Ended December 31, 2012</w:t>
      </w:r>
      <w:r>
        <w:rPr>
          <w:sz w:val="17"/>
        </w:rPr>
        <w:t xml:space="preserve"> </w:t>
      </w:r>
    </w:p>
    <w:p>
      <w:pPr>
        <w:pStyle w:val="TextBody"/>
        <w:spacing w:before="0" w:after="0"/>
        <w:ind w:left="1440" w:right="0" w:hanging="0"/>
        <w:jc w:val="both"/>
        <w:rPr>
          <w:sz w:val="17"/>
        </w:rPr>
      </w:pPr>
      <w:r>
        <w:rPr>
          <w:b/>
          <w:sz w:val="17"/>
        </w:rPr>
        <w:t>(U.S. dollars in thousands)</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5570" w:type="dxa"/>
        <w:jc w:val="left"/>
        <w:tblInd w:w="1440" w:type="dxa"/>
        <w:tblCellMar>
          <w:top w:w="0" w:type="dxa"/>
          <w:left w:w="0" w:type="dxa"/>
          <w:bottom w:w="0" w:type="dxa"/>
          <w:right w:w="0" w:type="dxa"/>
        </w:tblCellMar>
      </w:tblPr>
      <w:tblGrid>
        <w:gridCol w:w="3935"/>
        <w:gridCol w:w="80"/>
        <w:gridCol w:w="440"/>
        <w:gridCol w:w="80"/>
        <w:gridCol w:w="500"/>
        <w:gridCol w:w="80"/>
        <w:gridCol w:w="455"/>
      </w:tblGrid>
      <w:tr>
        <w:trPr/>
        <w:tc>
          <w:tcPr>
            <w:tcW w:w="3935"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40"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500"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55" w:type="dxa"/>
            <w:tcBorders/>
            <w:shd w:fill="auto" w:val="clear"/>
            <w:vAlign w:val="bottom"/>
          </w:tcPr>
          <w:p>
            <w:pPr>
              <w:pStyle w:val="TableContents"/>
              <w:spacing w:before="0" w:after="1"/>
              <w:ind w:left="0" w:right="0" w:hanging="0"/>
              <w:jc w:val="both"/>
              <w:rPr/>
            </w:pPr>
            <w:r>
              <w:rPr/>
              <w:t> </w:t>
            </w:r>
          </w:p>
        </w:tc>
      </w:tr>
      <w:tr>
        <w:trPr/>
        <w:tc>
          <w:tcPr>
            <w:tcW w:w="3935"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40"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500"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455" w:type="dxa"/>
            <w:tcBorders/>
            <w:shd w:fill="auto" w:val="clear"/>
            <w:vAlign w:val="bottom"/>
          </w:tcPr>
          <w:p>
            <w:pPr>
              <w:pStyle w:val="TableContents"/>
              <w:spacing w:before="0" w:after="1"/>
              <w:ind w:left="0" w:right="0" w:hanging="0"/>
              <w:jc w:val="both"/>
              <w:rPr/>
            </w:pPr>
            <w:r>
              <w:rPr/>
              <w:t> </w:t>
            </w:r>
          </w:p>
        </w:tc>
      </w:tr>
      <w:tr>
        <w:trPr/>
        <w:tc>
          <w:tcPr>
            <w:tcW w:w="3935" w:type="dxa"/>
            <w:tcBorders/>
            <w:shd w:fill="auto" w:val="clear"/>
            <w:vAlign w:val="bottom"/>
          </w:tcPr>
          <w:p>
            <w:pPr>
              <w:pStyle w:val="TableContents"/>
              <w:spacing w:before="0" w:after="1"/>
              <w:ind w:left="0" w:right="0" w:hanging="0"/>
              <w:jc w:val="both"/>
              <w:rPr/>
            </w:pPr>
            <w:r>
              <w:rPr/>
              <w:t> </w:t>
            </w:r>
          </w:p>
        </w:tc>
        <w:tc>
          <w:tcPr>
            <w:tcW w:w="80" w:type="dxa"/>
            <w:tcBorders/>
            <w:shd w:fill="auto" w:val="clear"/>
            <w:vAlign w:val="bottom"/>
          </w:tcPr>
          <w:p>
            <w:pPr>
              <w:pStyle w:val="TableContents"/>
              <w:spacing w:before="0" w:after="1"/>
              <w:ind w:left="0" w:right="0" w:hanging="0"/>
              <w:jc w:val="both"/>
              <w:rPr/>
            </w:pPr>
            <w:r>
              <w:rPr/>
              <w:t> </w:t>
            </w:r>
          </w:p>
        </w:tc>
        <w:tc>
          <w:tcPr>
            <w:tcW w:w="1555" w:type="dxa"/>
            <w:gridSpan w:val="5"/>
            <w:tcBorders>
              <w:bottom w:val="single" w:sz="8" w:space="0" w:color="000000"/>
            </w:tcBorders>
            <w:shd w:fill="auto" w:val="clear"/>
            <w:tcMar>
              <w:bottom w:w="28" w:type="dxa"/>
            </w:tcMar>
            <w:vAlign w:val="bottom"/>
          </w:tcPr>
          <w:p>
            <w:pPr>
              <w:pStyle w:val="TableContents"/>
              <w:spacing w:before="0" w:after="1"/>
              <w:ind w:left="0" w:right="0" w:hanging="0"/>
              <w:jc w:val="center"/>
              <w:rPr>
                <w:b/>
                <w:sz w:val="10"/>
              </w:rPr>
            </w:pPr>
            <w:r>
              <w:rPr>
                <w:b/>
                <w:sz w:val="10"/>
              </w:rPr>
              <w:t>Year Ended December 31,</w:t>
            </w:r>
          </w:p>
        </w:tc>
      </w:tr>
      <w:tr>
        <w:trPr/>
        <w:tc>
          <w:tcPr>
            <w:tcW w:w="393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44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0"/>
              </w:rPr>
            </w:pPr>
            <w:r>
              <w:rPr>
                <w:b/>
                <w:sz w:val="10"/>
              </w:rPr>
              <w:t>2012</w:t>
            </w:r>
          </w:p>
        </w:tc>
        <w:tc>
          <w:tcPr>
            <w:tcW w:w="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0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0"/>
              </w:rPr>
            </w:pPr>
            <w:r>
              <w:rPr>
                <w:b/>
                <w:sz w:val="10"/>
              </w:rPr>
              <w:t>2011</w:t>
            </w:r>
          </w:p>
        </w:tc>
        <w:tc>
          <w:tcPr>
            <w:tcW w:w="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45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0"/>
              </w:rPr>
            </w:pPr>
            <w:r>
              <w:rPr>
                <w:b/>
                <w:sz w:val="10"/>
              </w:rPr>
              <w:t>2010</w:t>
            </w:r>
          </w:p>
        </w:tc>
      </w:tr>
      <w:tr>
        <w:trPr/>
        <w:tc>
          <w:tcPr>
            <w:tcW w:w="3935" w:type="dxa"/>
            <w:tcBorders>
              <w:top w:val="single" w:sz="12" w:space="0" w:color="000000"/>
            </w:tcBorders>
            <w:shd w:fill="CCEEFF" w:val="clear"/>
            <w:tcMar>
              <w:top w:w="28" w:type="dxa"/>
            </w:tcMar>
            <w:vAlign w:val="bottom"/>
          </w:tcPr>
          <w:p>
            <w:pPr>
              <w:pStyle w:val="TableContents"/>
              <w:spacing w:before="0" w:after="1"/>
              <w:ind w:left="0" w:right="0" w:hanging="0"/>
              <w:jc w:val="both"/>
              <w:rPr>
                <w:b/>
                <w:sz w:val="10"/>
              </w:rPr>
            </w:pPr>
            <w:r>
              <w:rPr>
                <w:b/>
                <w:sz w:val="10"/>
              </w:rPr>
              <w:t>Operating Activities</w:t>
            </w:r>
          </w:p>
        </w:tc>
        <w:tc>
          <w:tcPr>
            <w:tcW w:w="8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44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8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0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8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45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3935" w:type="dxa"/>
            <w:tcBorders/>
            <w:shd w:fill="FFFFFF" w:val="clear"/>
            <w:vAlign w:val="bottom"/>
          </w:tcPr>
          <w:p>
            <w:pPr>
              <w:pStyle w:val="TableContents"/>
              <w:spacing w:before="0" w:after="1"/>
              <w:ind w:left="0" w:right="0" w:hanging="0"/>
              <w:jc w:val="both"/>
              <w:rPr>
                <w:sz w:val="10"/>
              </w:rPr>
            </w:pPr>
            <w:r>
              <w:rPr>
                <w:sz w:val="10"/>
              </w:rPr>
              <w:t>Net income (loss)</w:t>
            </w:r>
          </w:p>
        </w:tc>
        <w:tc>
          <w:tcPr>
            <w:tcW w:w="80" w:type="dxa"/>
            <w:tcBorders/>
            <w:shd w:fill="FFFFFF" w:val="clear"/>
            <w:vAlign w:val="bottom"/>
          </w:tcPr>
          <w:p>
            <w:pPr>
              <w:pStyle w:val="TableContents"/>
              <w:spacing w:before="0" w:after="1"/>
              <w:ind w:left="0" w:right="0" w:hanging="0"/>
              <w:jc w:val="right"/>
              <w:rPr>
                <w:sz w:val="10"/>
              </w:rPr>
            </w:pPr>
            <w:r>
              <w:rPr>
                <w:sz w:val="10"/>
              </w:rPr>
              <w:t>$</w:t>
            </w:r>
          </w:p>
        </w:tc>
        <w:tc>
          <w:tcPr>
            <w:tcW w:w="440" w:type="dxa"/>
            <w:tcBorders/>
            <w:shd w:fill="FFFFFF" w:val="clear"/>
            <w:vAlign w:val="bottom"/>
          </w:tcPr>
          <w:p>
            <w:pPr>
              <w:pStyle w:val="TableContents"/>
              <w:spacing w:before="0" w:after="283"/>
              <w:jc w:val="right"/>
              <w:rPr>
                <w:sz w:val="10"/>
              </w:rPr>
            </w:pPr>
            <w:r>
              <w:rPr>
                <w:sz w:val="10"/>
              </w:rPr>
              <w:t xml:space="preserve">(1,406) </w:t>
            </w:r>
          </w:p>
        </w:tc>
        <w:tc>
          <w:tcPr>
            <w:tcW w:w="80" w:type="dxa"/>
            <w:tcBorders/>
            <w:shd w:fill="FFFFFF" w:val="clear"/>
            <w:vAlign w:val="bottom"/>
          </w:tcPr>
          <w:p>
            <w:pPr>
              <w:pStyle w:val="TableContents"/>
              <w:spacing w:before="0" w:after="1"/>
              <w:ind w:left="0" w:right="0" w:hanging="0"/>
              <w:jc w:val="right"/>
              <w:rPr>
                <w:sz w:val="10"/>
              </w:rPr>
            </w:pPr>
            <w:r>
              <w:rPr>
                <w:sz w:val="10"/>
              </w:rPr>
              <w:t>$</w:t>
            </w:r>
          </w:p>
        </w:tc>
        <w:tc>
          <w:tcPr>
            <w:tcW w:w="500" w:type="dxa"/>
            <w:tcBorders/>
            <w:shd w:fill="FFFFFF" w:val="clear"/>
            <w:vAlign w:val="bottom"/>
          </w:tcPr>
          <w:p>
            <w:pPr>
              <w:pStyle w:val="TableContents"/>
              <w:spacing w:before="0" w:after="283"/>
              <w:jc w:val="right"/>
              <w:rPr>
                <w:sz w:val="10"/>
              </w:rPr>
            </w:pPr>
            <w:r>
              <w:rPr>
                <w:sz w:val="10"/>
              </w:rPr>
              <w:t xml:space="preserve">10,896  </w:t>
            </w:r>
          </w:p>
        </w:tc>
        <w:tc>
          <w:tcPr>
            <w:tcW w:w="80" w:type="dxa"/>
            <w:tcBorders/>
            <w:shd w:fill="FFFFFF" w:val="clear"/>
            <w:vAlign w:val="bottom"/>
          </w:tcPr>
          <w:p>
            <w:pPr>
              <w:pStyle w:val="TableContents"/>
              <w:spacing w:before="0" w:after="1"/>
              <w:ind w:left="0" w:right="0" w:hanging="0"/>
              <w:jc w:val="right"/>
              <w:rPr>
                <w:sz w:val="10"/>
              </w:rPr>
            </w:pPr>
            <w:r>
              <w:rPr>
                <w:sz w:val="10"/>
              </w:rPr>
              <w:t>$</w:t>
            </w:r>
          </w:p>
        </w:tc>
        <w:tc>
          <w:tcPr>
            <w:tcW w:w="455" w:type="dxa"/>
            <w:tcBorders/>
            <w:shd w:fill="FFFFFF" w:val="clear"/>
            <w:vAlign w:val="bottom"/>
          </w:tcPr>
          <w:p>
            <w:pPr>
              <w:pStyle w:val="TableContents"/>
              <w:spacing w:before="0" w:after="283"/>
              <w:jc w:val="right"/>
              <w:rPr>
                <w:sz w:val="10"/>
              </w:rPr>
            </w:pPr>
            <w:r>
              <w:rPr>
                <w:sz w:val="10"/>
              </w:rPr>
              <w:t xml:space="preserve">(12,034) </w:t>
            </w:r>
          </w:p>
        </w:tc>
      </w:tr>
      <w:tr>
        <w:trPr/>
        <w:tc>
          <w:tcPr>
            <w:tcW w:w="3935" w:type="dxa"/>
            <w:tcBorders/>
            <w:shd w:fill="CCEEFF" w:val="clear"/>
            <w:vAlign w:val="bottom"/>
          </w:tcPr>
          <w:p>
            <w:pPr>
              <w:pStyle w:val="TableContents"/>
              <w:spacing w:before="0" w:after="1"/>
              <w:ind w:left="120" w:right="0" w:hanging="0"/>
              <w:jc w:val="both"/>
              <w:rPr>
                <w:i/>
                <w:sz w:val="10"/>
              </w:rPr>
            </w:pPr>
            <w:r>
              <w:rPr>
                <w:i/>
                <w:sz w:val="10"/>
              </w:rPr>
              <w:t>Adjustments to reconcile net income (loss) to net cash provided by operating activities: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1"/>
              <w:ind w:left="0" w:right="0" w:hanging="0"/>
              <w:jc w:val="both"/>
              <w:rPr/>
            </w:pPr>
            <w:r>
              <w:rPr/>
              <w:t> </w:t>
            </w:r>
          </w:p>
        </w:tc>
      </w:tr>
      <w:tr>
        <w:trPr/>
        <w:tc>
          <w:tcPr>
            <w:tcW w:w="3935" w:type="dxa"/>
            <w:tcBorders/>
            <w:shd w:fill="FFFFFF" w:val="clear"/>
          </w:tcPr>
          <w:p>
            <w:pPr>
              <w:pStyle w:val="TableContents"/>
              <w:spacing w:before="0" w:after="1"/>
              <w:ind w:left="240" w:right="0" w:hanging="0"/>
              <w:jc w:val="both"/>
              <w:rPr>
                <w:sz w:val="10"/>
              </w:rPr>
            </w:pPr>
            <w:r>
              <w:rPr>
                <w:sz w:val="10"/>
              </w:rPr>
              <w:t>(Income) loss recognized on foreign currency transactions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(20)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16 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(59) </w:t>
            </w:r>
          </w:p>
        </w:tc>
      </w:tr>
      <w:tr>
        <w:trPr/>
        <w:tc>
          <w:tcPr>
            <w:tcW w:w="3935" w:type="dxa"/>
            <w:tcBorders/>
            <w:shd w:fill="CCEEFF" w:val="clear"/>
          </w:tcPr>
          <w:p>
            <w:pPr>
              <w:pStyle w:val="TableContents"/>
              <w:spacing w:before="0" w:after="1"/>
              <w:ind w:left="240" w:right="0" w:hanging="0"/>
              <w:jc w:val="both"/>
              <w:rPr>
                <w:sz w:val="10"/>
              </w:rPr>
            </w:pPr>
            <w:r>
              <w:rPr>
                <w:sz w:val="10"/>
              </w:rPr>
              <w:t>Equity (earnings) loss of unconsolidated joint ventures and entities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(1,621)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1,552 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(1,345) </w:t>
            </w:r>
          </w:p>
        </w:tc>
      </w:tr>
      <w:tr>
        <w:trPr/>
        <w:tc>
          <w:tcPr>
            <w:tcW w:w="3935" w:type="dxa"/>
            <w:tcBorders/>
            <w:shd w:fill="FFFFFF" w:val="clear"/>
          </w:tcPr>
          <w:p>
            <w:pPr>
              <w:pStyle w:val="TableContents"/>
              <w:spacing w:before="0" w:after="1"/>
              <w:ind w:left="240" w:right="0" w:hanging="0"/>
              <w:jc w:val="both"/>
              <w:rPr>
                <w:sz w:val="10"/>
              </w:rPr>
            </w:pPr>
            <w:r>
              <w:rPr>
                <w:sz w:val="10"/>
              </w:rPr>
              <w:t>Distributions of earnings from unconsolidated joint ventures and entities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1,540 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1,119 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1,352  </w:t>
            </w:r>
          </w:p>
        </w:tc>
      </w:tr>
      <w:tr>
        <w:trPr/>
        <w:tc>
          <w:tcPr>
            <w:tcW w:w="3935" w:type="dxa"/>
            <w:tcBorders/>
            <w:shd w:fill="CCEEFF" w:val="clear"/>
          </w:tcPr>
          <w:p>
            <w:pPr>
              <w:pStyle w:val="TableContents"/>
              <w:spacing w:before="0" w:after="1"/>
              <w:ind w:left="240" w:right="0" w:hanging="0"/>
              <w:jc w:val="both"/>
              <w:rPr>
                <w:sz w:val="10"/>
              </w:rPr>
            </w:pPr>
            <w:r>
              <w:rPr>
                <w:sz w:val="10"/>
              </w:rPr>
              <w:t>Loss provision on impairment of asset</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1,463 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369 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2,239  </w:t>
            </w:r>
          </w:p>
        </w:tc>
      </w:tr>
      <w:tr>
        <w:trPr/>
        <w:tc>
          <w:tcPr>
            <w:tcW w:w="3935" w:type="dxa"/>
            <w:tcBorders/>
            <w:shd w:fill="FFFFFF" w:val="clear"/>
          </w:tcPr>
          <w:p>
            <w:pPr>
              <w:pStyle w:val="TableContents"/>
              <w:spacing w:before="0" w:after="1"/>
              <w:ind w:left="240" w:right="0" w:hanging="0"/>
              <w:jc w:val="both"/>
              <w:rPr>
                <w:sz w:val="10"/>
              </w:rPr>
            </w:pPr>
            <w:r>
              <w:rPr>
                <w:sz w:val="10"/>
              </w:rPr>
              <w:t>(Gain) loss on sale of assets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176 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(1,589)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(352) </w:t>
            </w:r>
          </w:p>
        </w:tc>
      </w:tr>
      <w:tr>
        <w:trPr/>
        <w:tc>
          <w:tcPr>
            <w:tcW w:w="3935" w:type="dxa"/>
            <w:tcBorders/>
            <w:shd w:fill="CCEEFF" w:val="clear"/>
          </w:tcPr>
          <w:p>
            <w:pPr>
              <w:pStyle w:val="TableContents"/>
              <w:spacing w:before="0" w:after="1"/>
              <w:ind w:left="240" w:right="0" w:hanging="0"/>
              <w:jc w:val="both"/>
              <w:rPr>
                <w:sz w:val="10"/>
              </w:rPr>
            </w:pPr>
            <w:r>
              <w:rPr>
                <w:sz w:val="10"/>
              </w:rPr>
              <w:t>Change in valuation allowance on net deferred tax assets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1,929 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(15,028)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1"/>
              <w:ind w:left="0" w:right="0" w:hanging="0"/>
              <w:jc w:val="right"/>
              <w:rPr>
                <w:sz w:val="10"/>
              </w:rPr>
            </w:pPr>
            <w:r>
              <w:rPr>
                <w:sz w:val="10"/>
              </w:rPr>
              <w:t>--</w:t>
            </w:r>
          </w:p>
        </w:tc>
      </w:tr>
      <w:tr>
        <w:trPr/>
        <w:tc>
          <w:tcPr>
            <w:tcW w:w="3935" w:type="dxa"/>
            <w:tcBorders/>
            <w:shd w:fill="FFFFFF" w:val="clear"/>
          </w:tcPr>
          <w:p>
            <w:pPr>
              <w:pStyle w:val="TableContents"/>
              <w:spacing w:before="0" w:after="1"/>
              <w:ind w:left="240" w:right="0" w:hanging="0"/>
              <w:jc w:val="both"/>
              <w:rPr>
                <w:sz w:val="10"/>
              </w:rPr>
            </w:pPr>
            <w:r>
              <w:rPr>
                <w:sz w:val="10"/>
              </w:rPr>
              <w:t>Gain on sale of marketable securities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(109)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(25)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1"/>
              <w:ind w:left="0" w:right="0" w:hanging="0"/>
              <w:jc w:val="right"/>
              <w:rPr>
                <w:sz w:val="10"/>
              </w:rPr>
            </w:pPr>
            <w:r>
              <w:rPr>
                <w:sz w:val="10"/>
              </w:rPr>
              <w:t>--</w:t>
            </w:r>
          </w:p>
        </w:tc>
      </w:tr>
      <w:tr>
        <w:trPr/>
        <w:tc>
          <w:tcPr>
            <w:tcW w:w="3935" w:type="dxa"/>
            <w:tcBorders/>
            <w:shd w:fill="CCEEFF" w:val="clear"/>
          </w:tcPr>
          <w:p>
            <w:pPr>
              <w:pStyle w:val="TableContents"/>
              <w:spacing w:before="0" w:after="1"/>
              <w:ind w:left="240" w:right="0" w:hanging="0"/>
              <w:jc w:val="both"/>
              <w:rPr>
                <w:sz w:val="10"/>
              </w:rPr>
            </w:pPr>
            <w:r>
              <w:rPr>
                <w:sz w:val="10"/>
              </w:rPr>
              <w:t>Depreciation and amortization</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16,384 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16,960 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15,914  </w:t>
            </w:r>
          </w:p>
        </w:tc>
      </w:tr>
      <w:tr>
        <w:trPr/>
        <w:tc>
          <w:tcPr>
            <w:tcW w:w="3935" w:type="dxa"/>
            <w:tcBorders/>
            <w:shd w:fill="FFFFFF" w:val="clear"/>
          </w:tcPr>
          <w:p>
            <w:pPr>
              <w:pStyle w:val="TableContents"/>
              <w:spacing w:before="0" w:after="1"/>
              <w:ind w:left="240" w:right="0" w:hanging="0"/>
              <w:jc w:val="both"/>
              <w:rPr>
                <w:sz w:val="10"/>
              </w:rPr>
            </w:pPr>
            <w:r>
              <w:rPr>
                <w:sz w:val="10"/>
              </w:rPr>
              <w:t>Amortization of prior service costs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304 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832 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112  </w:t>
            </w:r>
          </w:p>
        </w:tc>
      </w:tr>
      <w:tr>
        <w:trPr/>
        <w:tc>
          <w:tcPr>
            <w:tcW w:w="3935" w:type="dxa"/>
            <w:tcBorders/>
            <w:shd w:fill="CCEEFF" w:val="clear"/>
          </w:tcPr>
          <w:p>
            <w:pPr>
              <w:pStyle w:val="TableContents"/>
              <w:spacing w:before="0" w:after="1"/>
              <w:ind w:left="240" w:right="0" w:hanging="0"/>
              <w:jc w:val="both"/>
              <w:rPr>
                <w:sz w:val="10"/>
              </w:rPr>
            </w:pPr>
            <w:r>
              <w:rPr>
                <w:sz w:val="10"/>
              </w:rPr>
              <w:t>Amortization of above and below market leases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395 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427 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924  </w:t>
            </w:r>
          </w:p>
        </w:tc>
      </w:tr>
      <w:tr>
        <w:trPr/>
        <w:tc>
          <w:tcPr>
            <w:tcW w:w="3935" w:type="dxa"/>
            <w:tcBorders/>
            <w:shd w:fill="FFFFFF" w:val="clear"/>
          </w:tcPr>
          <w:p>
            <w:pPr>
              <w:pStyle w:val="TableContents"/>
              <w:spacing w:before="0" w:after="1"/>
              <w:ind w:left="240" w:right="0" w:hanging="0"/>
              <w:jc w:val="both"/>
              <w:rPr>
                <w:sz w:val="10"/>
              </w:rPr>
            </w:pPr>
            <w:r>
              <w:rPr>
                <w:sz w:val="10"/>
              </w:rPr>
              <w:t>Amortization of deferred financing costs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1,440 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1,276 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1,402  </w:t>
            </w:r>
          </w:p>
        </w:tc>
      </w:tr>
      <w:tr>
        <w:trPr/>
        <w:tc>
          <w:tcPr>
            <w:tcW w:w="3935" w:type="dxa"/>
            <w:tcBorders/>
            <w:shd w:fill="CCEEFF" w:val="clear"/>
          </w:tcPr>
          <w:p>
            <w:pPr>
              <w:pStyle w:val="TableContents"/>
              <w:spacing w:before="0" w:after="1"/>
              <w:ind w:left="240" w:right="0" w:hanging="0"/>
              <w:jc w:val="both"/>
              <w:rPr>
                <w:sz w:val="10"/>
              </w:rPr>
            </w:pPr>
            <w:r>
              <w:rPr>
                <w:sz w:val="10"/>
              </w:rPr>
              <w:t>Amortization of straight-line rent</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1,213 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782 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(93) </w:t>
            </w:r>
          </w:p>
        </w:tc>
      </w:tr>
      <w:tr>
        <w:trPr/>
        <w:tc>
          <w:tcPr>
            <w:tcW w:w="3935" w:type="dxa"/>
            <w:tcBorders/>
            <w:shd w:fill="FFFFFF" w:val="clear"/>
          </w:tcPr>
          <w:p>
            <w:pPr>
              <w:pStyle w:val="TableContents"/>
              <w:spacing w:before="0" w:after="1"/>
              <w:ind w:left="240" w:right="0" w:hanging="0"/>
              <w:jc w:val="both"/>
              <w:rPr>
                <w:sz w:val="10"/>
              </w:rPr>
            </w:pPr>
            <w:r>
              <w:rPr>
                <w:sz w:val="10"/>
              </w:rPr>
              <w:t>Stock based compensation expense</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1,278 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939 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821  </w:t>
            </w:r>
          </w:p>
        </w:tc>
      </w:tr>
      <w:tr>
        <w:trPr/>
        <w:tc>
          <w:tcPr>
            <w:tcW w:w="3935" w:type="dxa"/>
            <w:tcBorders/>
            <w:shd w:fill="CCEEFF" w:val="clear"/>
            <w:vAlign w:val="bottom"/>
          </w:tcPr>
          <w:p>
            <w:pPr>
              <w:pStyle w:val="TableContents"/>
              <w:spacing w:before="0" w:after="1"/>
              <w:ind w:left="240" w:right="0" w:hanging="0"/>
              <w:jc w:val="both"/>
              <w:rPr>
                <w:i/>
                <w:sz w:val="10"/>
              </w:rPr>
            </w:pPr>
            <w:r>
              <w:rPr>
                <w:i/>
                <w:sz w:val="10"/>
              </w:rPr>
              <w:t>Changes in assets and liabilities: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1"/>
              <w:ind w:left="0" w:right="0" w:hanging="0"/>
              <w:jc w:val="both"/>
              <w:rPr/>
            </w:pPr>
            <w:r>
              <w:rPr/>
              <w:t> </w:t>
            </w:r>
          </w:p>
        </w:tc>
      </w:tr>
      <w:tr>
        <w:trPr/>
        <w:tc>
          <w:tcPr>
            <w:tcW w:w="3935" w:type="dxa"/>
            <w:tcBorders/>
            <w:shd w:fill="FFFFFF" w:val="clear"/>
            <w:vAlign w:val="bottom"/>
          </w:tcPr>
          <w:p>
            <w:pPr>
              <w:pStyle w:val="TableContents"/>
              <w:spacing w:before="0" w:after="1"/>
              <w:ind w:left="360" w:right="0" w:hanging="0"/>
              <w:jc w:val="both"/>
              <w:rPr>
                <w:sz w:val="10"/>
              </w:rPr>
            </w:pPr>
            <w:r>
              <w:rPr>
                <w:sz w:val="10"/>
              </w:rPr>
              <w:t>(Increase) decrease in receivables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(1,449)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(1,468)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4,363  </w:t>
            </w:r>
          </w:p>
        </w:tc>
      </w:tr>
      <w:tr>
        <w:trPr/>
        <w:tc>
          <w:tcPr>
            <w:tcW w:w="3935" w:type="dxa"/>
            <w:tcBorders/>
            <w:shd w:fill="CCEEFF" w:val="clear"/>
            <w:vAlign w:val="bottom"/>
          </w:tcPr>
          <w:p>
            <w:pPr>
              <w:pStyle w:val="TableContents"/>
              <w:spacing w:before="0" w:after="1"/>
              <w:ind w:left="360" w:right="0" w:hanging="0"/>
              <w:jc w:val="both"/>
              <w:rPr>
                <w:sz w:val="10"/>
              </w:rPr>
            </w:pPr>
            <w:r>
              <w:rPr>
                <w:sz w:val="10"/>
              </w:rPr>
              <w:t>(Increase) decrease in prepaid and other assets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1,907 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(7)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(162) </w:t>
            </w:r>
          </w:p>
        </w:tc>
      </w:tr>
      <w:tr>
        <w:trPr/>
        <w:tc>
          <w:tcPr>
            <w:tcW w:w="3935" w:type="dxa"/>
            <w:tcBorders/>
            <w:shd w:fill="FFFFFF" w:val="clear"/>
            <w:vAlign w:val="bottom"/>
          </w:tcPr>
          <w:p>
            <w:pPr>
              <w:pStyle w:val="TableContents"/>
              <w:spacing w:before="0" w:after="1"/>
              <w:ind w:left="360" w:right="0" w:hanging="0"/>
              <w:jc w:val="both"/>
              <w:rPr>
                <w:sz w:val="10"/>
              </w:rPr>
            </w:pPr>
            <w:r>
              <w:rPr>
                <w:sz w:val="10"/>
              </w:rPr>
              <w:t>Increase in accounts payable and accrued expenses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1,800 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833 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115  </w:t>
            </w:r>
          </w:p>
        </w:tc>
      </w:tr>
      <w:tr>
        <w:trPr/>
        <w:tc>
          <w:tcPr>
            <w:tcW w:w="3935" w:type="dxa"/>
            <w:tcBorders/>
            <w:shd w:fill="CCEEFF" w:val="clear"/>
            <w:vAlign w:val="bottom"/>
          </w:tcPr>
          <w:p>
            <w:pPr>
              <w:pStyle w:val="TableContents"/>
              <w:spacing w:before="0" w:after="1"/>
              <w:ind w:left="360" w:right="0" w:hanging="0"/>
              <w:jc w:val="both"/>
              <w:rPr>
                <w:sz w:val="10"/>
              </w:rPr>
            </w:pPr>
            <w:r>
              <w:rPr>
                <w:sz w:val="10"/>
              </w:rPr>
              <w:t>Increase (decrease) in film rent payable</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435 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361 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(1,841) </w:t>
            </w:r>
          </w:p>
        </w:tc>
      </w:tr>
      <w:tr>
        <w:trPr/>
        <w:tc>
          <w:tcPr>
            <w:tcW w:w="3935" w:type="dxa"/>
            <w:tcBorders/>
            <w:shd w:fill="FFFFFF" w:val="clear"/>
          </w:tcPr>
          <w:p>
            <w:pPr>
              <w:pStyle w:val="TableContents"/>
              <w:spacing w:before="0" w:after="1"/>
              <w:ind w:left="360" w:right="0" w:hanging="0"/>
              <w:jc w:val="both"/>
              <w:rPr>
                <w:sz w:val="10"/>
              </w:rPr>
            </w:pPr>
            <w:r>
              <w:rPr>
                <w:sz w:val="10"/>
              </w:rPr>
              <w:t>Increase (decrease) in taxes payable</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(2,965)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908 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13,009  </w:t>
            </w:r>
          </w:p>
        </w:tc>
      </w:tr>
      <w:tr>
        <w:trPr/>
        <w:tc>
          <w:tcPr>
            <w:tcW w:w="3935" w:type="dxa"/>
            <w:tcBorders>
              <w:bottom w:val="single" w:sz="8" w:space="0" w:color="000000"/>
            </w:tcBorders>
            <w:shd w:fill="CCEEFF" w:val="clear"/>
            <w:tcMar>
              <w:bottom w:w="28" w:type="dxa"/>
            </w:tcMar>
            <w:vAlign w:val="bottom"/>
          </w:tcPr>
          <w:p>
            <w:pPr>
              <w:pStyle w:val="TableContents"/>
              <w:spacing w:before="0" w:after="1"/>
              <w:ind w:left="360" w:right="0" w:hanging="0"/>
              <w:jc w:val="both"/>
              <w:rPr>
                <w:sz w:val="10"/>
              </w:rPr>
            </w:pPr>
            <w:r>
              <w:rPr>
                <w:sz w:val="10"/>
              </w:rPr>
              <w:t>Increase (decrease) in deferred revenue and other liabilities</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40" w:type="dxa"/>
            <w:tcBorders>
              <w:bottom w:val="single" w:sz="8" w:space="0" w:color="000000"/>
            </w:tcBorders>
            <w:shd w:fill="CCEEFF" w:val="clear"/>
            <w:tcMar>
              <w:bottom w:w="28" w:type="dxa"/>
            </w:tcMar>
            <w:vAlign w:val="bottom"/>
          </w:tcPr>
          <w:p>
            <w:pPr>
              <w:pStyle w:val="TableContents"/>
              <w:spacing w:before="0" w:after="283"/>
              <w:jc w:val="right"/>
              <w:rPr>
                <w:sz w:val="10"/>
              </w:rPr>
            </w:pPr>
            <w:r>
              <w:rPr>
                <w:sz w:val="10"/>
              </w:rPr>
              <w:t xml:space="preserve">2,802  </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00" w:type="dxa"/>
            <w:tcBorders>
              <w:bottom w:val="single" w:sz="8" w:space="0" w:color="000000"/>
            </w:tcBorders>
            <w:shd w:fill="CCEEFF" w:val="clear"/>
            <w:tcMar>
              <w:bottom w:w="28" w:type="dxa"/>
            </w:tcMar>
            <w:vAlign w:val="bottom"/>
          </w:tcPr>
          <w:p>
            <w:pPr>
              <w:pStyle w:val="TableContents"/>
              <w:spacing w:before="0" w:after="283"/>
              <w:jc w:val="right"/>
              <w:rPr>
                <w:sz w:val="10"/>
              </w:rPr>
            </w:pPr>
            <w:r>
              <w:rPr>
                <w:sz w:val="10"/>
              </w:rPr>
              <w:t xml:space="preserve">5,100  </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55" w:type="dxa"/>
            <w:tcBorders>
              <w:bottom w:val="single" w:sz="8" w:space="0" w:color="000000"/>
            </w:tcBorders>
            <w:shd w:fill="CCEEFF" w:val="clear"/>
            <w:tcMar>
              <w:bottom w:w="28" w:type="dxa"/>
            </w:tcMar>
            <w:vAlign w:val="bottom"/>
          </w:tcPr>
          <w:p>
            <w:pPr>
              <w:pStyle w:val="TableContents"/>
              <w:spacing w:before="0" w:after="283"/>
              <w:jc w:val="right"/>
              <w:rPr>
                <w:sz w:val="10"/>
              </w:rPr>
            </w:pPr>
            <w:r>
              <w:rPr>
                <w:sz w:val="10"/>
              </w:rPr>
              <w:t xml:space="preserve">(1,581) </w:t>
            </w:r>
          </w:p>
        </w:tc>
      </w:tr>
      <w:tr>
        <w:trPr/>
        <w:tc>
          <w:tcPr>
            <w:tcW w:w="393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0"/>
              </w:rPr>
            </w:pPr>
            <w:r>
              <w:rPr>
                <w:sz w:val="10"/>
              </w:rPr>
              <w:t>Net cash provided by operating activities</w:t>
            </w:r>
          </w:p>
        </w:tc>
        <w:tc>
          <w:tcPr>
            <w:tcW w:w="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44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0"/>
              </w:rPr>
            </w:pPr>
            <w:r>
              <w:rPr>
                <w:sz w:val="10"/>
              </w:rPr>
              <w:t xml:space="preserve">25,496  </w:t>
            </w:r>
          </w:p>
        </w:tc>
        <w:tc>
          <w:tcPr>
            <w:tcW w:w="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50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0"/>
              </w:rPr>
            </w:pPr>
            <w:r>
              <w:rPr>
                <w:sz w:val="10"/>
              </w:rPr>
              <w:t xml:space="preserve">24,253  </w:t>
            </w:r>
          </w:p>
        </w:tc>
        <w:tc>
          <w:tcPr>
            <w:tcW w:w="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45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0"/>
              </w:rPr>
            </w:pPr>
            <w:r>
              <w:rPr>
                <w:sz w:val="10"/>
              </w:rPr>
              <w:t xml:space="preserve">22,784  </w:t>
            </w:r>
          </w:p>
        </w:tc>
      </w:tr>
      <w:tr>
        <w:trPr/>
        <w:tc>
          <w:tcPr>
            <w:tcW w:w="3935" w:type="dxa"/>
            <w:tcBorders>
              <w:top w:val="single" w:sz="8" w:space="0" w:color="000000"/>
            </w:tcBorders>
            <w:shd w:fill="CCEEFF" w:val="clear"/>
            <w:tcMar>
              <w:top w:w="28" w:type="dxa"/>
            </w:tcMar>
            <w:vAlign w:val="bottom"/>
          </w:tcPr>
          <w:p>
            <w:pPr>
              <w:pStyle w:val="TableContents"/>
              <w:spacing w:before="0" w:after="1"/>
              <w:ind w:left="0" w:right="0" w:hanging="0"/>
              <w:jc w:val="both"/>
              <w:rPr>
                <w:b/>
                <w:sz w:val="10"/>
              </w:rPr>
            </w:pPr>
            <w:r>
              <w:rPr>
                <w:b/>
                <w:sz w:val="10"/>
              </w:rPr>
              <w:t>Investing Activities</w:t>
            </w:r>
          </w:p>
        </w:tc>
        <w:tc>
          <w:tcPr>
            <w:tcW w:w="8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44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8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0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8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45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3935" w:type="dxa"/>
            <w:tcBorders/>
            <w:shd w:fill="FFFFFF" w:val="clear"/>
          </w:tcPr>
          <w:p>
            <w:pPr>
              <w:pStyle w:val="TableContents"/>
              <w:spacing w:before="0" w:after="1"/>
              <w:ind w:left="240" w:right="0" w:hanging="0"/>
              <w:jc w:val="both"/>
              <w:rPr>
                <w:sz w:val="10"/>
              </w:rPr>
            </w:pPr>
            <w:r>
              <w:rPr>
                <w:sz w:val="10"/>
              </w:rPr>
              <w:t>Acquisitions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(5,510)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(3,917)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(5,313) </w:t>
            </w:r>
          </w:p>
        </w:tc>
      </w:tr>
      <w:tr>
        <w:trPr/>
        <w:tc>
          <w:tcPr>
            <w:tcW w:w="3935" w:type="dxa"/>
            <w:tcBorders/>
            <w:shd w:fill="CCEEFF" w:val="clear"/>
          </w:tcPr>
          <w:p>
            <w:pPr>
              <w:pStyle w:val="TableContents"/>
              <w:spacing w:before="0" w:after="1"/>
              <w:ind w:left="240" w:right="0" w:hanging="0"/>
              <w:jc w:val="both"/>
              <w:rPr>
                <w:sz w:val="10"/>
              </w:rPr>
            </w:pPr>
            <w:r>
              <w:rPr>
                <w:sz w:val="10"/>
              </w:rPr>
              <w:t>Acquisition deposit paid</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(200)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1"/>
              <w:ind w:left="0" w:right="0" w:hanging="0"/>
              <w:jc w:val="right"/>
              <w:rPr>
                <w:sz w:val="10"/>
              </w:rPr>
            </w:pPr>
            <w:r>
              <w:rPr>
                <w:sz w:val="10"/>
              </w:rPr>
              <w:t>--</w:t>
            </w:r>
          </w:p>
        </w:tc>
      </w:tr>
      <w:tr>
        <w:trPr/>
        <w:tc>
          <w:tcPr>
            <w:tcW w:w="3935" w:type="dxa"/>
            <w:tcBorders/>
            <w:shd w:fill="FFFFFF" w:val="clear"/>
          </w:tcPr>
          <w:p>
            <w:pPr>
              <w:pStyle w:val="TableContents"/>
              <w:spacing w:before="0" w:after="1"/>
              <w:ind w:left="240" w:right="0" w:hanging="0"/>
              <w:jc w:val="both"/>
              <w:rPr>
                <w:sz w:val="10"/>
              </w:rPr>
            </w:pPr>
            <w:r>
              <w:rPr>
                <w:sz w:val="10"/>
              </w:rPr>
              <w:t>Purchases of and additions to operating property</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(8,213)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(5,459)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(14,058) </w:t>
            </w:r>
          </w:p>
        </w:tc>
      </w:tr>
      <w:tr>
        <w:trPr/>
        <w:tc>
          <w:tcPr>
            <w:tcW w:w="3935" w:type="dxa"/>
            <w:tcBorders/>
            <w:shd w:fill="CCEEFF" w:val="clear"/>
          </w:tcPr>
          <w:p>
            <w:pPr>
              <w:pStyle w:val="TableContents"/>
              <w:spacing w:before="0" w:after="1"/>
              <w:ind w:left="240" w:right="0" w:hanging="0"/>
              <w:jc w:val="both"/>
              <w:rPr>
                <w:sz w:val="10"/>
              </w:rPr>
            </w:pPr>
            <w:r>
              <w:rPr>
                <w:sz w:val="10"/>
              </w:rPr>
              <w:t>Change in restricted cash</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(6)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(168)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(1,838) </w:t>
            </w:r>
          </w:p>
        </w:tc>
      </w:tr>
      <w:tr>
        <w:trPr/>
        <w:tc>
          <w:tcPr>
            <w:tcW w:w="3935" w:type="dxa"/>
            <w:tcBorders/>
            <w:shd w:fill="FFFFFF" w:val="clear"/>
          </w:tcPr>
          <w:p>
            <w:pPr>
              <w:pStyle w:val="TableContents"/>
              <w:spacing w:before="0" w:after="1"/>
              <w:ind w:left="240" w:right="0" w:hanging="0"/>
              <w:jc w:val="both"/>
              <w:rPr>
                <w:sz w:val="10"/>
              </w:rPr>
            </w:pPr>
            <w:r>
              <w:rPr>
                <w:sz w:val="10"/>
              </w:rPr>
              <w:t>Purchase of notes receivable</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(1,800)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(2,784)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1"/>
              <w:ind w:left="0" w:right="0" w:hanging="0"/>
              <w:jc w:val="right"/>
              <w:rPr>
                <w:sz w:val="10"/>
              </w:rPr>
            </w:pPr>
            <w:r>
              <w:rPr>
                <w:sz w:val="10"/>
              </w:rPr>
              <w:t>--</w:t>
            </w:r>
          </w:p>
        </w:tc>
      </w:tr>
      <w:tr>
        <w:trPr/>
        <w:tc>
          <w:tcPr>
            <w:tcW w:w="3935" w:type="dxa"/>
            <w:tcBorders/>
            <w:shd w:fill="CCEEFF" w:val="clear"/>
          </w:tcPr>
          <w:p>
            <w:pPr>
              <w:pStyle w:val="TableContents"/>
              <w:spacing w:before="0" w:after="1"/>
              <w:ind w:left="240" w:right="0" w:hanging="0"/>
              <w:jc w:val="both"/>
              <w:rPr>
                <w:sz w:val="10"/>
              </w:rPr>
            </w:pPr>
            <w:r>
              <w:rPr>
                <w:sz w:val="10"/>
              </w:rPr>
              <w:t>Purchase of marketable securities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(42) </w:t>
            </w:r>
          </w:p>
        </w:tc>
      </w:tr>
      <w:tr>
        <w:trPr/>
        <w:tc>
          <w:tcPr>
            <w:tcW w:w="3935" w:type="dxa"/>
            <w:tcBorders/>
            <w:shd w:fill="FFFFFF" w:val="clear"/>
          </w:tcPr>
          <w:p>
            <w:pPr>
              <w:pStyle w:val="TableContents"/>
              <w:spacing w:before="0" w:after="1"/>
              <w:ind w:left="240" w:right="0" w:hanging="0"/>
              <w:jc w:val="both"/>
              <w:rPr>
                <w:sz w:val="10"/>
              </w:rPr>
            </w:pPr>
            <w:r>
              <w:rPr>
                <w:sz w:val="10"/>
              </w:rPr>
              <w:t>Sale of marketable securities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2,974 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143 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30  </w:t>
            </w:r>
          </w:p>
        </w:tc>
      </w:tr>
      <w:tr>
        <w:trPr/>
        <w:tc>
          <w:tcPr>
            <w:tcW w:w="3935" w:type="dxa"/>
            <w:tcBorders/>
            <w:shd w:fill="CCEEFF" w:val="clear"/>
          </w:tcPr>
          <w:p>
            <w:pPr>
              <w:pStyle w:val="TableContents"/>
              <w:spacing w:before="0" w:after="1"/>
              <w:ind w:left="240" w:right="0" w:hanging="0"/>
              <w:jc w:val="both"/>
              <w:rPr>
                <w:sz w:val="10"/>
              </w:rPr>
            </w:pPr>
            <w:r>
              <w:rPr>
                <w:sz w:val="10"/>
              </w:rPr>
              <w:t>Distributions of investment in unconsolidated joint ventures and entities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382 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229  </w:t>
            </w:r>
          </w:p>
        </w:tc>
      </w:tr>
      <w:tr>
        <w:trPr/>
        <w:tc>
          <w:tcPr>
            <w:tcW w:w="3935" w:type="dxa"/>
            <w:tcBorders/>
            <w:shd w:fill="FFFFFF" w:val="clear"/>
          </w:tcPr>
          <w:p>
            <w:pPr>
              <w:pStyle w:val="TableContents"/>
              <w:spacing w:before="0" w:after="1"/>
              <w:ind w:left="240" w:right="0" w:hanging="0"/>
              <w:jc w:val="both"/>
              <w:rPr>
                <w:sz w:val="10"/>
              </w:rPr>
            </w:pPr>
            <w:r>
              <w:rPr>
                <w:sz w:val="10"/>
              </w:rPr>
              <w:t>Proceeds from sale of property</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14,078 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6,750 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1"/>
              <w:ind w:left="0" w:right="0" w:hanging="0"/>
              <w:jc w:val="right"/>
              <w:rPr>
                <w:sz w:val="10"/>
              </w:rPr>
            </w:pPr>
            <w:r>
              <w:rPr>
                <w:sz w:val="10"/>
              </w:rPr>
              <w:t>--</w:t>
            </w:r>
          </w:p>
        </w:tc>
      </w:tr>
      <w:tr>
        <w:trPr/>
        <w:tc>
          <w:tcPr>
            <w:tcW w:w="3935" w:type="dxa"/>
            <w:tcBorders/>
            <w:shd w:fill="CCEEFF" w:val="clear"/>
          </w:tcPr>
          <w:p>
            <w:pPr>
              <w:pStyle w:val="TableContents"/>
              <w:spacing w:before="0" w:after="1"/>
              <w:ind w:left="240" w:right="0" w:hanging="0"/>
              <w:jc w:val="both"/>
              <w:rPr>
                <w:sz w:val="10"/>
              </w:rPr>
            </w:pPr>
            <w:r>
              <w:rPr>
                <w:sz w:val="10"/>
              </w:rPr>
              <w:t>Cinema sale proceeds from noncontrolling shareholder</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both"/>
              <w:rPr/>
            </w:pPr>
            <w:r>
              <w:rPr/>
              <w:t> </w:t>
            </w:r>
          </w:p>
        </w:tc>
        <w:tc>
          <w:tcPr>
            <w:tcW w:w="500" w:type="dxa"/>
            <w:tcBorders/>
            <w:shd w:fill="CCEEFF" w:val="clear"/>
            <w:vAlign w:val="bottom"/>
          </w:tcPr>
          <w:p>
            <w:pPr>
              <w:pStyle w:val="TableContents"/>
              <w:spacing w:before="0" w:after="283"/>
              <w:jc w:val="right"/>
              <w:rPr>
                <w:sz w:val="10"/>
              </w:rPr>
            </w:pPr>
            <w:r>
              <w:rPr>
                <w:sz w:val="10"/>
              </w:rPr>
              <w:t xml:space="preserve">1,867  </w:t>
            </w:r>
          </w:p>
        </w:tc>
        <w:tc>
          <w:tcPr>
            <w:tcW w:w="80" w:type="dxa"/>
            <w:tcBorders/>
            <w:shd w:fill="CCEEFF" w:val="clear"/>
            <w:vAlign w:val="bottom"/>
          </w:tcPr>
          <w:p>
            <w:pPr>
              <w:pStyle w:val="TableContents"/>
              <w:spacing w:before="0" w:after="1"/>
              <w:ind w:left="0" w:right="0" w:hanging="0"/>
              <w:jc w:val="both"/>
              <w:rPr/>
            </w:pPr>
            <w:r>
              <w:rPr/>
              <w:t> </w:t>
            </w:r>
          </w:p>
        </w:tc>
        <w:tc>
          <w:tcPr>
            <w:tcW w:w="455" w:type="dxa"/>
            <w:tcBorders/>
            <w:shd w:fill="CCEEFF" w:val="clear"/>
            <w:vAlign w:val="bottom"/>
          </w:tcPr>
          <w:p>
            <w:pPr>
              <w:pStyle w:val="TableContents"/>
              <w:spacing w:before="0" w:after="1"/>
              <w:ind w:left="0" w:right="0" w:hanging="0"/>
              <w:jc w:val="right"/>
              <w:rPr>
                <w:sz w:val="10"/>
              </w:rPr>
            </w:pPr>
            <w:r>
              <w:rPr>
                <w:sz w:val="10"/>
              </w:rPr>
              <w:t>--</w:t>
            </w:r>
          </w:p>
        </w:tc>
      </w:tr>
      <w:tr>
        <w:trPr/>
        <w:tc>
          <w:tcPr>
            <w:tcW w:w="3935" w:type="dxa"/>
            <w:tcBorders>
              <w:bottom w:val="single" w:sz="8" w:space="0" w:color="000000"/>
            </w:tcBorders>
            <w:shd w:fill="FFFFFF" w:val="clear"/>
            <w:tcMar>
              <w:bottom w:w="28" w:type="dxa"/>
            </w:tcMar>
          </w:tcPr>
          <w:p>
            <w:pPr>
              <w:pStyle w:val="TableContents"/>
              <w:spacing w:before="0" w:after="1"/>
              <w:ind w:left="240" w:right="0" w:hanging="0"/>
              <w:jc w:val="both"/>
              <w:rPr>
                <w:sz w:val="10"/>
              </w:rPr>
            </w:pPr>
            <w:r>
              <w:rPr>
                <w:sz w:val="10"/>
              </w:rPr>
              <w:t>Purchase of time deposits</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40" w:type="dxa"/>
            <w:tcBorders>
              <w:bottom w:val="single" w:sz="8" w:space="0" w:color="000000"/>
            </w:tcBorders>
            <w:shd w:fill="FFFFFF" w:val="clear"/>
            <w:tcMar>
              <w:bottom w:w="28" w:type="dxa"/>
            </w:tcMar>
            <w:vAlign w:val="bottom"/>
          </w:tcPr>
          <w:p>
            <w:pPr>
              <w:pStyle w:val="TableContents"/>
              <w:spacing w:before="0" w:after="283"/>
              <w:jc w:val="right"/>
              <w:rPr>
                <w:sz w:val="10"/>
              </w:rPr>
            </w:pPr>
            <w:r>
              <w:rPr>
                <w:sz w:val="10"/>
              </w:rPr>
              <w:t xml:space="preserve">(8,000) </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00"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0"/>
              </w:rPr>
            </w:pPr>
            <w:r>
              <w:rPr>
                <w:sz w:val="10"/>
              </w:rPr>
              <w:t>--</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5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0"/>
              </w:rPr>
            </w:pPr>
            <w:r>
              <w:rPr>
                <w:sz w:val="10"/>
              </w:rPr>
              <w:t>--</w:t>
            </w:r>
          </w:p>
        </w:tc>
      </w:tr>
      <w:tr>
        <w:trPr/>
        <w:tc>
          <w:tcPr>
            <w:tcW w:w="393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both"/>
              <w:rPr>
                <w:sz w:val="10"/>
              </w:rPr>
            </w:pPr>
            <w:r>
              <w:rPr>
                <w:sz w:val="10"/>
              </w:rPr>
              <w:t>Net cash used in investing activities</w:t>
            </w:r>
          </w:p>
        </w:tc>
        <w:tc>
          <w:tcPr>
            <w:tcW w:w="8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44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0"/>
              </w:rPr>
            </w:pPr>
            <w:r>
              <w:rPr>
                <w:sz w:val="10"/>
              </w:rPr>
              <w:t xml:space="preserve">(6,095) </w:t>
            </w:r>
          </w:p>
        </w:tc>
        <w:tc>
          <w:tcPr>
            <w:tcW w:w="8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50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0"/>
              </w:rPr>
            </w:pPr>
            <w:r>
              <w:rPr>
                <w:sz w:val="10"/>
              </w:rPr>
              <w:t xml:space="preserve">(3,768) </w:t>
            </w:r>
          </w:p>
        </w:tc>
        <w:tc>
          <w:tcPr>
            <w:tcW w:w="8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45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0"/>
              </w:rPr>
            </w:pPr>
            <w:r>
              <w:rPr>
                <w:sz w:val="10"/>
              </w:rPr>
              <w:t xml:space="preserve">(20,992) </w:t>
            </w:r>
          </w:p>
        </w:tc>
      </w:tr>
      <w:tr>
        <w:trPr/>
        <w:tc>
          <w:tcPr>
            <w:tcW w:w="3935" w:type="dxa"/>
            <w:tcBorders>
              <w:top w:val="single" w:sz="8" w:space="0" w:color="000000"/>
            </w:tcBorders>
            <w:shd w:fill="FFFFFF" w:val="clear"/>
            <w:tcMar>
              <w:top w:w="28" w:type="dxa"/>
            </w:tcMar>
            <w:vAlign w:val="bottom"/>
          </w:tcPr>
          <w:p>
            <w:pPr>
              <w:pStyle w:val="TableContents"/>
              <w:spacing w:before="0" w:after="1"/>
              <w:ind w:left="0" w:right="0" w:hanging="0"/>
              <w:jc w:val="both"/>
              <w:rPr>
                <w:b/>
                <w:sz w:val="10"/>
              </w:rPr>
            </w:pPr>
            <w:r>
              <w:rPr>
                <w:b/>
                <w:sz w:val="10"/>
              </w:rPr>
              <w:t>Financing Activities</w:t>
            </w:r>
          </w:p>
        </w:tc>
        <w:tc>
          <w:tcPr>
            <w:tcW w:w="8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440"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c>
          <w:tcPr>
            <w:tcW w:w="8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500"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c>
          <w:tcPr>
            <w:tcW w:w="8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455"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r>
      <w:tr>
        <w:trPr/>
        <w:tc>
          <w:tcPr>
            <w:tcW w:w="3935" w:type="dxa"/>
            <w:tcBorders/>
            <w:shd w:fill="CCEEFF" w:val="clear"/>
            <w:vAlign w:val="bottom"/>
          </w:tcPr>
          <w:p>
            <w:pPr>
              <w:pStyle w:val="TableContents"/>
              <w:spacing w:before="0" w:after="1"/>
              <w:ind w:left="240" w:right="0" w:hanging="0"/>
              <w:jc w:val="both"/>
              <w:rPr>
                <w:sz w:val="10"/>
              </w:rPr>
            </w:pPr>
            <w:r>
              <w:rPr>
                <w:sz w:val="10"/>
              </w:rPr>
              <w:t>Repayment of long-term borrowings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(62,602)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(126,780)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(15,450) </w:t>
            </w:r>
          </w:p>
        </w:tc>
      </w:tr>
      <w:tr>
        <w:trPr/>
        <w:tc>
          <w:tcPr>
            <w:tcW w:w="3935" w:type="dxa"/>
            <w:tcBorders/>
            <w:shd w:fill="FFFFFF" w:val="clear"/>
            <w:vAlign w:val="bottom"/>
          </w:tcPr>
          <w:p>
            <w:pPr>
              <w:pStyle w:val="TableContents"/>
              <w:spacing w:before="0" w:after="1"/>
              <w:ind w:left="240" w:right="0" w:hanging="0"/>
              <w:jc w:val="both"/>
              <w:rPr>
                <w:sz w:val="10"/>
              </w:rPr>
            </w:pPr>
            <w:r>
              <w:rPr>
                <w:sz w:val="10"/>
              </w:rPr>
              <w:t>Proceeds from borrowings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47,007 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105,311 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23,525  </w:t>
            </w:r>
          </w:p>
        </w:tc>
      </w:tr>
      <w:tr>
        <w:trPr/>
        <w:tc>
          <w:tcPr>
            <w:tcW w:w="3935" w:type="dxa"/>
            <w:tcBorders/>
            <w:shd w:fill="CCEEFF" w:val="clear"/>
            <w:vAlign w:val="bottom"/>
          </w:tcPr>
          <w:p>
            <w:pPr>
              <w:pStyle w:val="TableContents"/>
              <w:spacing w:before="0" w:after="1"/>
              <w:ind w:left="240" w:right="0" w:hanging="0"/>
              <w:jc w:val="both"/>
              <w:rPr>
                <w:sz w:val="10"/>
              </w:rPr>
            </w:pPr>
            <w:r>
              <w:rPr>
                <w:sz w:val="10"/>
              </w:rPr>
              <w:t>Capitalized borrowing costs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(782)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(774)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(1,347) </w:t>
            </w:r>
          </w:p>
        </w:tc>
      </w:tr>
      <w:tr>
        <w:trPr/>
        <w:tc>
          <w:tcPr>
            <w:tcW w:w="3935" w:type="dxa"/>
            <w:tcBorders/>
            <w:shd w:fill="FFFFFF" w:val="clear"/>
            <w:vAlign w:val="bottom"/>
          </w:tcPr>
          <w:p>
            <w:pPr>
              <w:pStyle w:val="TableContents"/>
              <w:spacing w:before="0" w:after="1"/>
              <w:ind w:left="240" w:right="0" w:hanging="0"/>
              <w:jc w:val="both"/>
              <w:rPr>
                <w:sz w:val="10"/>
              </w:rPr>
            </w:pPr>
            <w:r>
              <w:rPr>
                <w:sz w:val="10"/>
              </w:rPr>
              <w:t>Repurchase of Class A Nonvoting Common Stock</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1"/>
              <w:ind w:left="0" w:right="0" w:hanging="0"/>
              <w:jc w:val="right"/>
              <w:rPr>
                <w:sz w:val="10"/>
              </w:rPr>
            </w:pPr>
            <w:r>
              <w:rPr>
                <w:sz w:val="10"/>
              </w:rPr>
              <w:t>--</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(747)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(251) </w:t>
            </w:r>
          </w:p>
        </w:tc>
      </w:tr>
      <w:tr>
        <w:trPr/>
        <w:tc>
          <w:tcPr>
            <w:tcW w:w="3935" w:type="dxa"/>
            <w:tcBorders/>
            <w:shd w:fill="CCEEFF" w:val="clear"/>
            <w:vAlign w:val="bottom"/>
          </w:tcPr>
          <w:p>
            <w:pPr>
              <w:pStyle w:val="TableContents"/>
              <w:spacing w:before="0" w:after="1"/>
              <w:ind w:left="240" w:right="0" w:hanging="0"/>
              <w:jc w:val="both"/>
              <w:rPr>
                <w:sz w:val="10"/>
              </w:rPr>
            </w:pPr>
            <w:r>
              <w:rPr>
                <w:sz w:val="10"/>
              </w:rPr>
              <w:t>Proceeds from the exercise of stock options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308 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248  </w:t>
            </w:r>
          </w:p>
        </w:tc>
      </w:tr>
      <w:tr>
        <w:trPr/>
        <w:tc>
          <w:tcPr>
            <w:tcW w:w="3935" w:type="dxa"/>
            <w:tcBorders/>
            <w:shd w:fill="FFFFFF" w:val="clear"/>
          </w:tcPr>
          <w:p>
            <w:pPr>
              <w:pStyle w:val="TableContents"/>
              <w:spacing w:before="0" w:after="1"/>
              <w:ind w:left="240" w:right="0" w:hanging="0"/>
              <w:jc w:val="both"/>
              <w:rPr>
                <w:sz w:val="10"/>
              </w:rPr>
            </w:pPr>
            <w:r>
              <w:rPr>
                <w:sz w:val="10"/>
              </w:rPr>
              <w:t>Noncontrolling interest contributions</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283"/>
              <w:jc w:val="right"/>
              <w:rPr>
                <w:sz w:val="10"/>
              </w:rPr>
            </w:pPr>
            <w:r>
              <w:rPr>
                <w:sz w:val="10"/>
              </w:rPr>
              <w:t xml:space="preserve">3,350 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283"/>
              <w:jc w:val="right"/>
              <w:rPr>
                <w:sz w:val="10"/>
              </w:rPr>
            </w:pPr>
            <w:r>
              <w:rPr>
                <w:sz w:val="10"/>
              </w:rPr>
              <w:t xml:space="preserve">233 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225  </w:t>
            </w:r>
          </w:p>
        </w:tc>
      </w:tr>
      <w:tr>
        <w:trPr/>
        <w:tc>
          <w:tcPr>
            <w:tcW w:w="3935" w:type="dxa"/>
            <w:tcBorders>
              <w:bottom w:val="single" w:sz="8" w:space="0" w:color="000000"/>
            </w:tcBorders>
            <w:shd w:fill="CCEEFF" w:val="clear"/>
            <w:tcMar>
              <w:bottom w:w="28" w:type="dxa"/>
            </w:tcMar>
          </w:tcPr>
          <w:p>
            <w:pPr>
              <w:pStyle w:val="TableContents"/>
              <w:spacing w:before="0" w:after="1"/>
              <w:ind w:left="240" w:right="0" w:hanging="0"/>
              <w:jc w:val="both"/>
              <w:rPr>
                <w:sz w:val="10"/>
              </w:rPr>
            </w:pPr>
            <w:r>
              <w:rPr>
                <w:sz w:val="10"/>
              </w:rPr>
              <w:t>Noncontrolling interest distributions</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40"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0"/>
              </w:rPr>
            </w:pPr>
            <w:r>
              <w:rPr>
                <w:sz w:val="10"/>
              </w:rPr>
              <w:t>--</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00" w:type="dxa"/>
            <w:tcBorders>
              <w:bottom w:val="single" w:sz="8" w:space="0" w:color="000000"/>
            </w:tcBorders>
            <w:shd w:fill="CCEEFF" w:val="clear"/>
            <w:tcMar>
              <w:bottom w:w="28" w:type="dxa"/>
            </w:tcMar>
            <w:vAlign w:val="bottom"/>
          </w:tcPr>
          <w:p>
            <w:pPr>
              <w:pStyle w:val="TableContents"/>
              <w:spacing w:before="0" w:after="283"/>
              <w:jc w:val="right"/>
              <w:rPr>
                <w:sz w:val="10"/>
              </w:rPr>
            </w:pPr>
            <w:r>
              <w:rPr>
                <w:sz w:val="10"/>
              </w:rPr>
              <w:t xml:space="preserve">(654) </w:t>
            </w:r>
          </w:p>
        </w:tc>
        <w:tc>
          <w:tcPr>
            <w:tcW w:w="8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55" w:type="dxa"/>
            <w:tcBorders>
              <w:bottom w:val="single" w:sz="8" w:space="0" w:color="000000"/>
            </w:tcBorders>
            <w:shd w:fill="CCEEFF" w:val="clear"/>
            <w:tcMar>
              <w:bottom w:w="28" w:type="dxa"/>
            </w:tcMar>
            <w:vAlign w:val="bottom"/>
          </w:tcPr>
          <w:p>
            <w:pPr>
              <w:pStyle w:val="TableContents"/>
              <w:spacing w:before="0" w:after="283"/>
              <w:jc w:val="right"/>
              <w:rPr>
                <w:sz w:val="10"/>
              </w:rPr>
            </w:pPr>
            <w:r>
              <w:rPr>
                <w:sz w:val="10"/>
              </w:rPr>
              <w:t xml:space="preserve">(1,406) </w:t>
            </w:r>
          </w:p>
        </w:tc>
      </w:tr>
      <w:tr>
        <w:trPr/>
        <w:tc>
          <w:tcPr>
            <w:tcW w:w="393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0"/>
              </w:rPr>
            </w:pPr>
            <w:r>
              <w:rPr>
                <w:sz w:val="10"/>
              </w:rPr>
              <w:t>Net cash provided by (used in) financing activities</w:t>
            </w:r>
          </w:p>
        </w:tc>
        <w:tc>
          <w:tcPr>
            <w:tcW w:w="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44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0"/>
              </w:rPr>
            </w:pPr>
            <w:r>
              <w:rPr>
                <w:sz w:val="10"/>
              </w:rPr>
              <w:t xml:space="preserve">(12,719) </w:t>
            </w:r>
          </w:p>
        </w:tc>
        <w:tc>
          <w:tcPr>
            <w:tcW w:w="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50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0"/>
              </w:rPr>
            </w:pPr>
            <w:r>
              <w:rPr>
                <w:sz w:val="10"/>
              </w:rPr>
              <w:t xml:space="preserve">(23,411) </w:t>
            </w:r>
          </w:p>
        </w:tc>
        <w:tc>
          <w:tcPr>
            <w:tcW w:w="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45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0"/>
              </w:rPr>
            </w:pPr>
            <w:r>
              <w:rPr>
                <w:sz w:val="10"/>
              </w:rPr>
              <w:t xml:space="preserve">5,544  </w:t>
            </w:r>
          </w:p>
        </w:tc>
      </w:tr>
      <w:tr>
        <w:trPr/>
        <w:tc>
          <w:tcPr>
            <w:tcW w:w="3935" w:type="dxa"/>
            <w:tcBorders>
              <w:top w:val="single" w:sz="8" w:space="0" w:color="000000"/>
            </w:tcBorders>
            <w:shd w:fill="CCEEFF" w:val="clear"/>
            <w:tcMar>
              <w:top w:w="28" w:type="dxa"/>
            </w:tcMar>
            <w:vAlign w:val="bottom"/>
          </w:tcPr>
          <w:p>
            <w:pPr>
              <w:pStyle w:val="TableContents"/>
              <w:spacing w:before="0" w:after="1"/>
              <w:ind w:left="0" w:right="0" w:hanging="0"/>
              <w:jc w:val="both"/>
              <w:rPr>
                <w:b/>
                <w:sz w:val="10"/>
              </w:rPr>
            </w:pPr>
            <w:r>
              <w:rPr>
                <w:b/>
                <w:sz w:val="10"/>
              </w:rPr>
              <w:t>Effect of exchange rate on cash</w:t>
            </w:r>
          </w:p>
        </w:tc>
        <w:tc>
          <w:tcPr>
            <w:tcW w:w="8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440" w:type="dxa"/>
            <w:tcBorders>
              <w:top w:val="single" w:sz="8" w:space="0" w:color="000000"/>
            </w:tcBorders>
            <w:shd w:fill="CCEEFF" w:val="clear"/>
            <w:tcMar>
              <w:top w:w="28" w:type="dxa"/>
            </w:tcMar>
            <w:vAlign w:val="bottom"/>
          </w:tcPr>
          <w:p>
            <w:pPr>
              <w:pStyle w:val="TableContents"/>
              <w:spacing w:before="0" w:after="283"/>
              <w:jc w:val="right"/>
              <w:rPr>
                <w:sz w:val="10"/>
              </w:rPr>
            </w:pPr>
            <w:r>
              <w:rPr>
                <w:sz w:val="10"/>
              </w:rPr>
              <w:t xml:space="preserve">252  </w:t>
            </w:r>
          </w:p>
        </w:tc>
        <w:tc>
          <w:tcPr>
            <w:tcW w:w="8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00" w:type="dxa"/>
            <w:tcBorders>
              <w:top w:val="single" w:sz="8" w:space="0" w:color="000000"/>
            </w:tcBorders>
            <w:shd w:fill="CCEEFF" w:val="clear"/>
            <w:tcMar>
              <w:top w:w="28" w:type="dxa"/>
            </w:tcMar>
            <w:vAlign w:val="bottom"/>
          </w:tcPr>
          <w:p>
            <w:pPr>
              <w:pStyle w:val="TableContents"/>
              <w:spacing w:before="0" w:after="283"/>
              <w:jc w:val="right"/>
              <w:rPr>
                <w:sz w:val="10"/>
              </w:rPr>
            </w:pPr>
            <w:r>
              <w:rPr>
                <w:sz w:val="10"/>
              </w:rPr>
              <w:t xml:space="preserve">(45) </w:t>
            </w:r>
          </w:p>
        </w:tc>
        <w:tc>
          <w:tcPr>
            <w:tcW w:w="8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455" w:type="dxa"/>
            <w:tcBorders>
              <w:top w:val="single" w:sz="8" w:space="0" w:color="000000"/>
            </w:tcBorders>
            <w:shd w:fill="CCEEFF" w:val="clear"/>
            <w:tcMar>
              <w:top w:w="28" w:type="dxa"/>
            </w:tcMar>
            <w:vAlign w:val="bottom"/>
          </w:tcPr>
          <w:p>
            <w:pPr>
              <w:pStyle w:val="TableContents"/>
              <w:spacing w:before="0" w:after="283"/>
              <w:jc w:val="right"/>
              <w:rPr>
                <w:sz w:val="10"/>
              </w:rPr>
            </w:pPr>
            <w:r>
              <w:rPr>
                <w:sz w:val="10"/>
              </w:rPr>
              <w:t xml:space="preserve">2,620  </w:t>
            </w:r>
          </w:p>
        </w:tc>
      </w:tr>
      <w:tr>
        <w:trPr/>
        <w:tc>
          <w:tcPr>
            <w:tcW w:w="3935" w:type="dxa"/>
            <w:tcBorders/>
            <w:shd w:fill="FFFFFF" w:val="clear"/>
            <w:vAlign w:val="bottom"/>
          </w:tcPr>
          <w:p>
            <w:pPr>
              <w:pStyle w:val="TableContents"/>
              <w:spacing w:before="0" w:after="1"/>
              <w:ind w:left="0" w:right="0" w:hanging="0"/>
              <w:jc w:val="both"/>
              <w:rPr/>
            </w:pPr>
            <w:r>
              <w:rPr/>
              <w:t> </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1"/>
              <w:ind w:left="0" w:right="0" w:hanging="0"/>
              <w:jc w:val="both"/>
              <w:rPr/>
            </w:pPr>
            <w:r>
              <w:rPr/>
              <w:t> </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1"/>
              <w:ind w:left="0" w:right="0" w:hanging="0"/>
              <w:jc w:val="both"/>
              <w:rPr/>
            </w:pPr>
            <w:r>
              <w:rPr/>
              <w:t> </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1"/>
              <w:ind w:left="0" w:right="0" w:hanging="0"/>
              <w:jc w:val="both"/>
              <w:rPr/>
            </w:pPr>
            <w:r>
              <w:rPr/>
              <w:t> </w:t>
            </w:r>
          </w:p>
        </w:tc>
      </w:tr>
      <w:tr>
        <w:trPr/>
        <w:tc>
          <w:tcPr>
            <w:tcW w:w="3935" w:type="dxa"/>
            <w:tcBorders/>
            <w:shd w:fill="CCEEFF" w:val="clear"/>
            <w:vAlign w:val="bottom"/>
          </w:tcPr>
          <w:p>
            <w:pPr>
              <w:pStyle w:val="TableContents"/>
              <w:spacing w:before="0" w:after="1"/>
              <w:ind w:left="0" w:right="0" w:hanging="0"/>
              <w:jc w:val="both"/>
              <w:rPr>
                <w:b/>
                <w:sz w:val="10"/>
              </w:rPr>
            </w:pPr>
            <w:r>
              <w:rPr>
                <w:b/>
                <w:sz w:val="10"/>
              </w:rPr>
              <w:t>Increase (decrease) in cash and cash equivalents</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283"/>
              <w:jc w:val="right"/>
              <w:rPr>
                <w:sz w:val="10"/>
              </w:rPr>
            </w:pPr>
            <w:r>
              <w:rPr>
                <w:sz w:val="10"/>
              </w:rPr>
              <w:t xml:space="preserve">6,934 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283"/>
              <w:jc w:val="right"/>
              <w:rPr>
                <w:sz w:val="10"/>
              </w:rPr>
            </w:pPr>
            <w:r>
              <w:rPr>
                <w:sz w:val="10"/>
              </w:rPr>
              <w:t xml:space="preserve">(2,971)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9,956  </w:t>
            </w:r>
          </w:p>
        </w:tc>
      </w:tr>
      <w:tr>
        <w:trPr/>
        <w:tc>
          <w:tcPr>
            <w:tcW w:w="3935" w:type="dxa"/>
            <w:tcBorders>
              <w:bottom w:val="single" w:sz="8" w:space="0" w:color="000000"/>
            </w:tcBorders>
            <w:shd w:fill="FFFFFF" w:val="clear"/>
            <w:tcMar>
              <w:bottom w:w="28" w:type="dxa"/>
            </w:tcMar>
            <w:vAlign w:val="bottom"/>
          </w:tcPr>
          <w:p>
            <w:pPr>
              <w:pStyle w:val="TableContents"/>
              <w:spacing w:before="0" w:after="1"/>
              <w:ind w:left="0" w:right="0" w:hanging="0"/>
              <w:jc w:val="both"/>
              <w:rPr>
                <w:b/>
                <w:sz w:val="10"/>
              </w:rPr>
            </w:pPr>
            <w:r>
              <w:rPr>
                <w:b/>
                <w:sz w:val="10"/>
              </w:rPr>
              <w:t>Cash and cash equivalents at the beginning of the period</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40" w:type="dxa"/>
            <w:tcBorders>
              <w:bottom w:val="single" w:sz="8" w:space="0" w:color="000000"/>
            </w:tcBorders>
            <w:shd w:fill="FFFFFF" w:val="clear"/>
            <w:tcMar>
              <w:bottom w:w="28" w:type="dxa"/>
            </w:tcMar>
            <w:vAlign w:val="bottom"/>
          </w:tcPr>
          <w:p>
            <w:pPr>
              <w:pStyle w:val="TableContents"/>
              <w:spacing w:before="0" w:after="283"/>
              <w:jc w:val="right"/>
              <w:rPr>
                <w:sz w:val="10"/>
              </w:rPr>
            </w:pPr>
            <w:r>
              <w:rPr>
                <w:sz w:val="10"/>
              </w:rPr>
              <w:t xml:space="preserve">31,597  </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00" w:type="dxa"/>
            <w:tcBorders>
              <w:bottom w:val="single" w:sz="8" w:space="0" w:color="000000"/>
            </w:tcBorders>
            <w:shd w:fill="FFFFFF" w:val="clear"/>
            <w:tcMar>
              <w:bottom w:w="28" w:type="dxa"/>
            </w:tcMar>
            <w:vAlign w:val="bottom"/>
          </w:tcPr>
          <w:p>
            <w:pPr>
              <w:pStyle w:val="TableContents"/>
              <w:spacing w:before="0" w:after="283"/>
              <w:jc w:val="right"/>
              <w:rPr>
                <w:sz w:val="10"/>
              </w:rPr>
            </w:pPr>
            <w:r>
              <w:rPr>
                <w:sz w:val="10"/>
              </w:rPr>
              <w:t xml:space="preserve">34,568  </w:t>
            </w:r>
          </w:p>
        </w:tc>
        <w:tc>
          <w:tcPr>
            <w:tcW w:w="8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455" w:type="dxa"/>
            <w:tcBorders>
              <w:bottom w:val="single" w:sz="8" w:space="0" w:color="000000"/>
            </w:tcBorders>
            <w:shd w:fill="FFFFFF" w:val="clear"/>
            <w:tcMar>
              <w:bottom w:w="28" w:type="dxa"/>
            </w:tcMar>
            <w:vAlign w:val="bottom"/>
          </w:tcPr>
          <w:p>
            <w:pPr>
              <w:pStyle w:val="TableContents"/>
              <w:spacing w:before="0" w:after="283"/>
              <w:jc w:val="right"/>
              <w:rPr>
                <w:sz w:val="10"/>
              </w:rPr>
            </w:pPr>
            <w:r>
              <w:rPr>
                <w:sz w:val="10"/>
              </w:rPr>
              <w:t xml:space="preserve">24,612  </w:t>
            </w:r>
          </w:p>
        </w:tc>
      </w:tr>
      <w:tr>
        <w:trPr/>
        <w:tc>
          <w:tcPr>
            <w:tcW w:w="393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0"/>
              </w:rPr>
            </w:pPr>
            <w:r>
              <w:rPr>
                <w:b/>
                <w:sz w:val="10"/>
              </w:rPr>
              <w:t>Cash and cash equivalents at the end of the period</w:t>
            </w:r>
          </w:p>
        </w:tc>
        <w:tc>
          <w:tcPr>
            <w:tcW w:w="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0"/>
              </w:rPr>
            </w:pPr>
            <w:r>
              <w:rPr>
                <w:sz w:val="10"/>
              </w:rPr>
              <w:t>$</w:t>
            </w:r>
          </w:p>
        </w:tc>
        <w:tc>
          <w:tcPr>
            <w:tcW w:w="44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0"/>
              </w:rPr>
            </w:pPr>
            <w:r>
              <w:rPr>
                <w:sz w:val="10"/>
              </w:rPr>
              <w:t xml:space="preserve">38,531  </w:t>
            </w:r>
          </w:p>
        </w:tc>
        <w:tc>
          <w:tcPr>
            <w:tcW w:w="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0"/>
              </w:rPr>
            </w:pPr>
            <w:r>
              <w:rPr>
                <w:sz w:val="10"/>
              </w:rPr>
              <w:t>$</w:t>
            </w:r>
          </w:p>
        </w:tc>
        <w:tc>
          <w:tcPr>
            <w:tcW w:w="5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0"/>
              </w:rPr>
            </w:pPr>
            <w:r>
              <w:rPr>
                <w:sz w:val="10"/>
              </w:rPr>
              <w:t xml:space="preserve">31,597  </w:t>
            </w:r>
          </w:p>
        </w:tc>
        <w:tc>
          <w:tcPr>
            <w:tcW w:w="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0"/>
              </w:rPr>
            </w:pPr>
            <w:r>
              <w:rPr>
                <w:sz w:val="10"/>
              </w:rPr>
              <w:t>$</w:t>
            </w:r>
          </w:p>
        </w:tc>
        <w:tc>
          <w:tcPr>
            <w:tcW w:w="4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0"/>
              </w:rPr>
            </w:pPr>
            <w:r>
              <w:rPr>
                <w:sz w:val="10"/>
              </w:rPr>
              <w:t xml:space="preserve">34,568  </w:t>
            </w:r>
          </w:p>
        </w:tc>
      </w:tr>
      <w:tr>
        <w:trPr/>
        <w:tc>
          <w:tcPr>
            <w:tcW w:w="3935" w:type="dxa"/>
            <w:tcBorders>
              <w:top w:val="single" w:sz="12" w:space="0" w:color="000000"/>
            </w:tcBorders>
            <w:shd w:fill="FFFFFF" w:val="clear"/>
            <w:tcMar>
              <w:top w:w="28" w:type="dxa"/>
            </w:tcMar>
            <w:vAlign w:val="bottom"/>
          </w:tcPr>
          <w:p>
            <w:pPr>
              <w:pStyle w:val="TableContents"/>
              <w:spacing w:before="0" w:after="1"/>
              <w:ind w:left="0" w:right="0" w:hanging="0"/>
              <w:jc w:val="both"/>
              <w:rPr>
                <w:b/>
                <w:sz w:val="10"/>
              </w:rPr>
            </w:pPr>
            <w:r>
              <w:rPr>
                <w:b/>
                <w:sz w:val="10"/>
              </w:rPr>
              <w:t>Supplemental Disclosures</w:t>
            </w:r>
          </w:p>
        </w:tc>
        <w:tc>
          <w:tcPr>
            <w:tcW w:w="8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4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50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45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3935" w:type="dxa"/>
            <w:tcBorders/>
            <w:shd w:fill="CCEEFF" w:val="clear"/>
            <w:vAlign w:val="bottom"/>
          </w:tcPr>
          <w:p>
            <w:pPr>
              <w:pStyle w:val="TableContents"/>
              <w:spacing w:before="0" w:after="1"/>
              <w:ind w:left="240" w:right="0" w:hanging="0"/>
              <w:jc w:val="both"/>
              <w:rPr>
                <w:sz w:val="10"/>
              </w:rPr>
            </w:pPr>
            <w:r>
              <w:rPr>
                <w:sz w:val="10"/>
              </w:rPr>
              <w:t>Cash paid during the period for:</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right"/>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right"/>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1"/>
              <w:ind w:left="0" w:right="0" w:hanging="0"/>
              <w:jc w:val="right"/>
              <w:rPr/>
            </w:pPr>
            <w:r>
              <w:rPr/>
              <w:t> </w:t>
            </w:r>
          </w:p>
        </w:tc>
      </w:tr>
      <w:tr>
        <w:trPr/>
        <w:tc>
          <w:tcPr>
            <w:tcW w:w="3935" w:type="dxa"/>
            <w:tcBorders/>
            <w:shd w:fill="FFFFFF" w:val="clear"/>
            <w:vAlign w:val="bottom"/>
          </w:tcPr>
          <w:p>
            <w:pPr>
              <w:pStyle w:val="TableContents"/>
              <w:spacing w:before="0" w:after="1"/>
              <w:ind w:left="240" w:right="0" w:hanging="0"/>
              <w:jc w:val="both"/>
              <w:rPr>
                <w:sz w:val="10"/>
              </w:rPr>
            </w:pPr>
            <w:r>
              <w:rPr>
                <w:sz w:val="10"/>
              </w:rPr>
              <w:t>Interest on borrowings</w:t>
            </w:r>
          </w:p>
        </w:tc>
        <w:tc>
          <w:tcPr>
            <w:tcW w:w="80" w:type="dxa"/>
            <w:tcBorders/>
            <w:shd w:fill="FFFFFF" w:val="clear"/>
            <w:vAlign w:val="bottom"/>
          </w:tcPr>
          <w:p>
            <w:pPr>
              <w:pStyle w:val="TableContents"/>
              <w:spacing w:before="0" w:after="1"/>
              <w:ind w:left="0" w:right="0" w:hanging="0"/>
              <w:jc w:val="right"/>
              <w:rPr>
                <w:sz w:val="10"/>
              </w:rPr>
            </w:pPr>
            <w:r>
              <w:rPr>
                <w:sz w:val="10"/>
              </w:rPr>
              <w:t>$</w:t>
            </w:r>
          </w:p>
        </w:tc>
        <w:tc>
          <w:tcPr>
            <w:tcW w:w="440" w:type="dxa"/>
            <w:tcBorders/>
            <w:shd w:fill="FFFFFF" w:val="clear"/>
            <w:vAlign w:val="bottom"/>
          </w:tcPr>
          <w:p>
            <w:pPr>
              <w:pStyle w:val="TableContents"/>
              <w:spacing w:before="0" w:after="283"/>
              <w:jc w:val="right"/>
              <w:rPr>
                <w:sz w:val="10"/>
              </w:rPr>
            </w:pPr>
            <w:r>
              <w:rPr>
                <w:sz w:val="10"/>
              </w:rPr>
              <w:t xml:space="preserve">14,526  </w:t>
            </w:r>
          </w:p>
        </w:tc>
        <w:tc>
          <w:tcPr>
            <w:tcW w:w="80" w:type="dxa"/>
            <w:tcBorders/>
            <w:shd w:fill="FFFFFF" w:val="clear"/>
            <w:vAlign w:val="bottom"/>
          </w:tcPr>
          <w:p>
            <w:pPr>
              <w:pStyle w:val="TableContents"/>
              <w:spacing w:before="0" w:after="1"/>
              <w:ind w:left="0" w:right="0" w:hanging="0"/>
              <w:jc w:val="right"/>
              <w:rPr>
                <w:sz w:val="10"/>
              </w:rPr>
            </w:pPr>
            <w:r>
              <w:rPr>
                <w:sz w:val="10"/>
              </w:rPr>
              <w:t>$</w:t>
            </w:r>
          </w:p>
        </w:tc>
        <w:tc>
          <w:tcPr>
            <w:tcW w:w="500" w:type="dxa"/>
            <w:tcBorders/>
            <w:shd w:fill="FFFFFF" w:val="clear"/>
            <w:vAlign w:val="bottom"/>
          </w:tcPr>
          <w:p>
            <w:pPr>
              <w:pStyle w:val="TableContents"/>
              <w:spacing w:before="0" w:after="283"/>
              <w:jc w:val="right"/>
              <w:rPr>
                <w:sz w:val="10"/>
              </w:rPr>
            </w:pPr>
            <w:r>
              <w:rPr>
                <w:sz w:val="10"/>
              </w:rPr>
              <w:t xml:space="preserve">16,957  </w:t>
            </w:r>
          </w:p>
        </w:tc>
        <w:tc>
          <w:tcPr>
            <w:tcW w:w="80" w:type="dxa"/>
            <w:tcBorders/>
            <w:shd w:fill="FFFFFF" w:val="clear"/>
            <w:vAlign w:val="bottom"/>
          </w:tcPr>
          <w:p>
            <w:pPr>
              <w:pStyle w:val="TableContents"/>
              <w:spacing w:before="0" w:after="1"/>
              <w:ind w:left="0" w:right="0" w:hanging="0"/>
              <w:jc w:val="right"/>
              <w:rPr>
                <w:sz w:val="10"/>
              </w:rPr>
            </w:pPr>
            <w:r>
              <w:rPr>
                <w:sz w:val="10"/>
              </w:rPr>
              <w:t>$</w:t>
            </w:r>
          </w:p>
        </w:tc>
        <w:tc>
          <w:tcPr>
            <w:tcW w:w="455" w:type="dxa"/>
            <w:tcBorders/>
            <w:shd w:fill="FFFFFF" w:val="clear"/>
            <w:vAlign w:val="bottom"/>
          </w:tcPr>
          <w:p>
            <w:pPr>
              <w:pStyle w:val="TableContents"/>
              <w:spacing w:before="0" w:after="283"/>
              <w:jc w:val="right"/>
              <w:rPr>
                <w:sz w:val="10"/>
              </w:rPr>
            </w:pPr>
            <w:r>
              <w:rPr>
                <w:sz w:val="10"/>
              </w:rPr>
              <w:t xml:space="preserve">15,133  </w:t>
            </w:r>
          </w:p>
        </w:tc>
      </w:tr>
      <w:tr>
        <w:trPr/>
        <w:tc>
          <w:tcPr>
            <w:tcW w:w="3935" w:type="dxa"/>
            <w:tcBorders/>
            <w:shd w:fill="CCEEFF" w:val="clear"/>
            <w:vAlign w:val="bottom"/>
          </w:tcPr>
          <w:p>
            <w:pPr>
              <w:pStyle w:val="TableContents"/>
              <w:spacing w:before="0" w:after="1"/>
              <w:ind w:left="240" w:right="0" w:hanging="0"/>
              <w:jc w:val="both"/>
              <w:rPr>
                <w:sz w:val="10"/>
              </w:rPr>
            </w:pPr>
            <w:r>
              <w:rPr>
                <w:sz w:val="10"/>
              </w:rPr>
              <w:t>Income taxes</w:t>
            </w:r>
          </w:p>
        </w:tc>
        <w:tc>
          <w:tcPr>
            <w:tcW w:w="80" w:type="dxa"/>
            <w:tcBorders/>
            <w:shd w:fill="CCEEFF" w:val="clear"/>
            <w:vAlign w:val="bottom"/>
          </w:tcPr>
          <w:p>
            <w:pPr>
              <w:pStyle w:val="TableContents"/>
              <w:spacing w:before="0" w:after="1"/>
              <w:ind w:left="0" w:right="0" w:hanging="0"/>
              <w:jc w:val="right"/>
              <w:rPr>
                <w:sz w:val="10"/>
              </w:rPr>
            </w:pPr>
            <w:r>
              <w:rPr>
                <w:sz w:val="10"/>
              </w:rPr>
              <w:t>$</w:t>
            </w:r>
          </w:p>
        </w:tc>
        <w:tc>
          <w:tcPr>
            <w:tcW w:w="440" w:type="dxa"/>
            <w:tcBorders/>
            <w:shd w:fill="CCEEFF" w:val="clear"/>
            <w:vAlign w:val="bottom"/>
          </w:tcPr>
          <w:p>
            <w:pPr>
              <w:pStyle w:val="TableContents"/>
              <w:spacing w:before="0" w:after="283"/>
              <w:jc w:val="right"/>
              <w:rPr>
                <w:sz w:val="10"/>
              </w:rPr>
            </w:pPr>
            <w:r>
              <w:rPr>
                <w:sz w:val="10"/>
              </w:rPr>
              <w:t xml:space="preserve">5,666  </w:t>
            </w:r>
          </w:p>
        </w:tc>
        <w:tc>
          <w:tcPr>
            <w:tcW w:w="80" w:type="dxa"/>
            <w:tcBorders/>
            <w:shd w:fill="CCEEFF" w:val="clear"/>
            <w:vAlign w:val="bottom"/>
          </w:tcPr>
          <w:p>
            <w:pPr>
              <w:pStyle w:val="TableContents"/>
              <w:spacing w:before="0" w:after="1"/>
              <w:ind w:left="0" w:right="0" w:hanging="0"/>
              <w:jc w:val="right"/>
              <w:rPr>
                <w:sz w:val="10"/>
              </w:rPr>
            </w:pPr>
            <w:r>
              <w:rPr>
                <w:sz w:val="10"/>
              </w:rPr>
              <w:t>$</w:t>
            </w:r>
          </w:p>
        </w:tc>
        <w:tc>
          <w:tcPr>
            <w:tcW w:w="500" w:type="dxa"/>
            <w:tcBorders/>
            <w:shd w:fill="CCEEFF" w:val="clear"/>
            <w:vAlign w:val="bottom"/>
          </w:tcPr>
          <w:p>
            <w:pPr>
              <w:pStyle w:val="TableContents"/>
              <w:spacing w:before="0" w:after="283"/>
              <w:jc w:val="right"/>
              <w:rPr>
                <w:sz w:val="10"/>
              </w:rPr>
            </w:pPr>
            <w:r>
              <w:rPr>
                <w:sz w:val="10"/>
              </w:rPr>
              <w:t xml:space="preserve">2,688  </w:t>
            </w:r>
          </w:p>
        </w:tc>
        <w:tc>
          <w:tcPr>
            <w:tcW w:w="80" w:type="dxa"/>
            <w:tcBorders/>
            <w:shd w:fill="CCEEFF" w:val="clear"/>
            <w:vAlign w:val="bottom"/>
          </w:tcPr>
          <w:p>
            <w:pPr>
              <w:pStyle w:val="TableContents"/>
              <w:spacing w:before="0" w:after="1"/>
              <w:ind w:left="0" w:right="0" w:hanging="0"/>
              <w:jc w:val="right"/>
              <w:rPr>
                <w:sz w:val="10"/>
              </w:rPr>
            </w:pPr>
            <w:r>
              <w:rPr>
                <w:sz w:val="10"/>
              </w:rPr>
              <w:t>$</w:t>
            </w:r>
          </w:p>
        </w:tc>
        <w:tc>
          <w:tcPr>
            <w:tcW w:w="455" w:type="dxa"/>
            <w:tcBorders/>
            <w:shd w:fill="CCEEFF" w:val="clear"/>
            <w:vAlign w:val="bottom"/>
          </w:tcPr>
          <w:p>
            <w:pPr>
              <w:pStyle w:val="TableContents"/>
              <w:spacing w:before="0" w:after="283"/>
              <w:jc w:val="right"/>
              <w:rPr>
                <w:sz w:val="10"/>
              </w:rPr>
            </w:pPr>
            <w:r>
              <w:rPr>
                <w:sz w:val="10"/>
              </w:rPr>
              <w:t xml:space="preserve">792  </w:t>
            </w:r>
          </w:p>
        </w:tc>
      </w:tr>
      <w:tr>
        <w:trPr/>
        <w:tc>
          <w:tcPr>
            <w:tcW w:w="3935" w:type="dxa"/>
            <w:tcBorders/>
            <w:shd w:fill="FFFFFF" w:val="clear"/>
            <w:vAlign w:val="bottom"/>
          </w:tcPr>
          <w:p>
            <w:pPr>
              <w:pStyle w:val="TableContents"/>
              <w:spacing w:before="0" w:after="1"/>
              <w:ind w:left="0" w:right="0" w:hanging="0"/>
              <w:jc w:val="both"/>
              <w:rPr>
                <w:b/>
                <w:sz w:val="10"/>
              </w:rPr>
            </w:pPr>
            <w:r>
              <w:rPr>
                <w:b/>
                <w:sz w:val="10"/>
              </w:rPr>
              <w:t xml:space="preserve">Non-Cash Transactions </w:t>
            </w:r>
          </w:p>
        </w:tc>
        <w:tc>
          <w:tcPr>
            <w:tcW w:w="80" w:type="dxa"/>
            <w:tcBorders/>
            <w:shd w:fill="FFFFFF" w:val="clear"/>
            <w:vAlign w:val="bottom"/>
          </w:tcPr>
          <w:p>
            <w:pPr>
              <w:pStyle w:val="TableContents"/>
              <w:spacing w:before="0" w:after="1"/>
              <w:ind w:left="0" w:right="0" w:hanging="0"/>
              <w:jc w:val="both"/>
              <w:rPr/>
            </w:pPr>
            <w:r>
              <w:rPr/>
              <w:t> </w:t>
            </w:r>
          </w:p>
        </w:tc>
        <w:tc>
          <w:tcPr>
            <w:tcW w:w="440" w:type="dxa"/>
            <w:tcBorders/>
            <w:shd w:fill="FFFFFF" w:val="clear"/>
            <w:vAlign w:val="bottom"/>
          </w:tcPr>
          <w:p>
            <w:pPr>
              <w:pStyle w:val="TableContents"/>
              <w:spacing w:before="0" w:after="1"/>
              <w:ind w:left="0" w:right="0" w:hanging="0"/>
              <w:jc w:val="both"/>
              <w:rPr/>
            </w:pPr>
            <w:r>
              <w:rPr/>
              <w:t> </w:t>
            </w:r>
          </w:p>
        </w:tc>
        <w:tc>
          <w:tcPr>
            <w:tcW w:w="80" w:type="dxa"/>
            <w:tcBorders/>
            <w:shd w:fill="FFFFFF" w:val="clear"/>
            <w:vAlign w:val="bottom"/>
          </w:tcPr>
          <w:p>
            <w:pPr>
              <w:pStyle w:val="TableContents"/>
              <w:spacing w:before="0" w:after="1"/>
              <w:ind w:left="0" w:right="0" w:hanging="0"/>
              <w:jc w:val="both"/>
              <w:rPr/>
            </w:pPr>
            <w:r>
              <w:rPr/>
              <w:t> </w:t>
            </w:r>
          </w:p>
        </w:tc>
        <w:tc>
          <w:tcPr>
            <w:tcW w:w="500" w:type="dxa"/>
            <w:tcBorders/>
            <w:shd w:fill="FFFFFF" w:val="clear"/>
            <w:vAlign w:val="bottom"/>
          </w:tcPr>
          <w:p>
            <w:pPr>
              <w:pStyle w:val="TableContents"/>
              <w:spacing w:before="0" w:after="1"/>
              <w:ind w:left="0" w:right="0" w:hanging="0"/>
              <w:jc w:val="both"/>
              <w:rPr/>
            </w:pPr>
            <w:r>
              <w:rPr/>
              <w:t> </w:t>
            </w:r>
          </w:p>
        </w:tc>
        <w:tc>
          <w:tcPr>
            <w:tcW w:w="80" w:type="dxa"/>
            <w:tcBorders/>
            <w:shd w:fill="FFFFFF" w:val="clear"/>
            <w:vAlign w:val="bottom"/>
          </w:tcPr>
          <w:p>
            <w:pPr>
              <w:pStyle w:val="TableContents"/>
              <w:spacing w:before="0" w:after="1"/>
              <w:ind w:left="0" w:right="0" w:hanging="0"/>
              <w:jc w:val="both"/>
              <w:rPr/>
            </w:pPr>
            <w:r>
              <w:rPr/>
              <w:t> </w:t>
            </w:r>
          </w:p>
        </w:tc>
        <w:tc>
          <w:tcPr>
            <w:tcW w:w="455" w:type="dxa"/>
            <w:tcBorders/>
            <w:shd w:fill="FFFFFF" w:val="clear"/>
            <w:vAlign w:val="bottom"/>
          </w:tcPr>
          <w:p>
            <w:pPr>
              <w:pStyle w:val="TableContents"/>
              <w:spacing w:before="0" w:after="1"/>
              <w:ind w:left="0" w:right="0" w:hanging="0"/>
              <w:jc w:val="both"/>
              <w:rPr/>
            </w:pPr>
            <w:r>
              <w:rPr/>
              <w:t> </w:t>
            </w:r>
          </w:p>
        </w:tc>
      </w:tr>
      <w:tr>
        <w:trPr/>
        <w:tc>
          <w:tcPr>
            <w:tcW w:w="3935" w:type="dxa"/>
            <w:tcBorders/>
            <w:shd w:fill="CCEEFF" w:val="clear"/>
          </w:tcPr>
          <w:p>
            <w:pPr>
              <w:pStyle w:val="TableContents"/>
              <w:spacing w:before="0" w:after="1"/>
              <w:ind w:left="240" w:right="0" w:hanging="0"/>
              <w:jc w:val="both"/>
              <w:rPr>
                <w:sz w:val="10"/>
              </w:rPr>
            </w:pPr>
            <w:r>
              <w:rPr>
                <w:sz w:val="10"/>
              </w:rPr>
              <w:t>Noncontrolling interest contribution from bonus accrual</w:t>
            </w:r>
          </w:p>
        </w:tc>
        <w:tc>
          <w:tcPr>
            <w:tcW w:w="80" w:type="dxa"/>
            <w:tcBorders/>
            <w:shd w:fill="CCEEFF" w:val="clear"/>
          </w:tcPr>
          <w:p>
            <w:pPr>
              <w:pStyle w:val="TableContents"/>
              <w:spacing w:before="0" w:after="1"/>
              <w:ind w:left="0" w:right="0" w:hanging="0"/>
              <w:jc w:val="both"/>
              <w:rPr/>
            </w:pPr>
            <w:r>
              <w:rPr/>
              <w:t> </w:t>
            </w:r>
          </w:p>
        </w:tc>
        <w:tc>
          <w:tcPr>
            <w:tcW w:w="440" w:type="dxa"/>
            <w:tcBorders/>
            <w:shd w:fill="CCEEFF" w:val="clear"/>
            <w:vAlign w:val="bottom"/>
          </w:tcPr>
          <w:p>
            <w:pPr>
              <w:pStyle w:val="TableContents"/>
              <w:spacing w:before="0" w:after="283"/>
              <w:jc w:val="right"/>
              <w:rPr>
                <w:sz w:val="10"/>
              </w:rPr>
            </w:pPr>
            <w:r>
              <w:rPr>
                <w:sz w:val="10"/>
              </w:rPr>
              <w:t xml:space="preserve">255  </w:t>
            </w:r>
          </w:p>
        </w:tc>
        <w:tc>
          <w:tcPr>
            <w:tcW w:w="80" w:type="dxa"/>
            <w:tcBorders/>
            <w:shd w:fill="CCEEFF" w:val="clear"/>
            <w:vAlign w:val="bottom"/>
          </w:tcPr>
          <w:p>
            <w:pPr>
              <w:pStyle w:val="TableContents"/>
              <w:spacing w:before="0" w:after="1"/>
              <w:ind w:left="0" w:right="0" w:hanging="0"/>
              <w:jc w:val="both"/>
              <w:rPr/>
            </w:pPr>
            <w:r>
              <w:rPr/>
              <w:t> </w:t>
            </w:r>
          </w:p>
        </w:tc>
        <w:tc>
          <w:tcPr>
            <w:tcW w:w="50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both"/>
              <w:rPr/>
            </w:pPr>
            <w:r>
              <w:rPr/>
              <w:t> </w:t>
            </w:r>
          </w:p>
        </w:tc>
        <w:tc>
          <w:tcPr>
            <w:tcW w:w="455" w:type="dxa"/>
            <w:tcBorders/>
            <w:shd w:fill="CCEEFF" w:val="clear"/>
            <w:vAlign w:val="bottom"/>
          </w:tcPr>
          <w:p>
            <w:pPr>
              <w:pStyle w:val="TableContents"/>
              <w:spacing w:before="0" w:after="1"/>
              <w:ind w:left="0" w:right="0" w:hanging="0"/>
              <w:jc w:val="right"/>
              <w:rPr>
                <w:sz w:val="10"/>
              </w:rPr>
            </w:pPr>
            <w:r>
              <w:rPr>
                <w:sz w:val="10"/>
              </w:rPr>
              <w:t>--</w:t>
            </w:r>
          </w:p>
        </w:tc>
      </w:tr>
      <w:tr>
        <w:trPr/>
        <w:tc>
          <w:tcPr>
            <w:tcW w:w="3935" w:type="dxa"/>
            <w:tcBorders/>
            <w:shd w:fill="FFFFFF" w:val="clear"/>
            <w:vAlign w:val="bottom"/>
          </w:tcPr>
          <w:p>
            <w:pPr>
              <w:pStyle w:val="TableContents"/>
              <w:spacing w:before="0" w:after="1"/>
              <w:ind w:left="240" w:right="0" w:hanging="0"/>
              <w:jc w:val="both"/>
              <w:rPr>
                <w:sz w:val="10"/>
              </w:rPr>
            </w:pPr>
            <w:r>
              <w:rPr>
                <w:sz w:val="10"/>
              </w:rPr>
              <w:t>Foreclosure of a mortgage note to obtain title of the underlying property</w:t>
            </w:r>
          </w:p>
        </w:tc>
        <w:tc>
          <w:tcPr>
            <w:tcW w:w="80" w:type="dxa"/>
            <w:tcBorders/>
            <w:shd w:fill="FFFFFF" w:val="clear"/>
            <w:vAlign w:val="bottom"/>
          </w:tcPr>
          <w:p>
            <w:pPr>
              <w:pStyle w:val="TableContents"/>
              <w:spacing w:before="0" w:after="1"/>
              <w:ind w:left="0" w:right="0" w:hanging="0"/>
              <w:jc w:val="both"/>
              <w:rPr/>
            </w:pPr>
            <w:r>
              <w:rPr/>
              <w:t> </w:t>
            </w:r>
          </w:p>
        </w:tc>
        <w:tc>
          <w:tcPr>
            <w:tcW w:w="440" w:type="dxa"/>
            <w:tcBorders/>
            <w:shd w:fill="FFFFFF" w:val="clear"/>
            <w:vAlign w:val="bottom"/>
          </w:tcPr>
          <w:p>
            <w:pPr>
              <w:pStyle w:val="TableContents"/>
              <w:spacing w:before="0" w:after="1"/>
              <w:ind w:left="0" w:right="0" w:hanging="0"/>
              <w:jc w:val="right"/>
              <w:rPr>
                <w:sz w:val="10"/>
              </w:rPr>
            </w:pPr>
            <w:r>
              <w:rPr>
                <w:sz w:val="10"/>
              </w:rPr>
              <w:t>--</w:t>
            </w:r>
          </w:p>
        </w:tc>
        <w:tc>
          <w:tcPr>
            <w:tcW w:w="80" w:type="dxa"/>
            <w:tcBorders/>
            <w:shd w:fill="FFFFFF" w:val="clear"/>
            <w:vAlign w:val="bottom"/>
          </w:tcPr>
          <w:p>
            <w:pPr>
              <w:pStyle w:val="TableContents"/>
              <w:spacing w:before="0" w:after="1"/>
              <w:ind w:left="0" w:right="0" w:hanging="0"/>
              <w:jc w:val="both"/>
              <w:rPr/>
            </w:pPr>
            <w:r>
              <w:rPr/>
              <w:t> </w:t>
            </w:r>
          </w:p>
        </w:tc>
        <w:tc>
          <w:tcPr>
            <w:tcW w:w="500" w:type="dxa"/>
            <w:tcBorders/>
            <w:shd w:fill="FFFFFF" w:val="clear"/>
            <w:vAlign w:val="bottom"/>
          </w:tcPr>
          <w:p>
            <w:pPr>
              <w:pStyle w:val="TableContents"/>
              <w:spacing w:before="0" w:after="283"/>
              <w:jc w:val="right"/>
              <w:rPr>
                <w:sz w:val="10"/>
              </w:rPr>
            </w:pPr>
            <w:r>
              <w:rPr>
                <w:sz w:val="10"/>
              </w:rPr>
              <w:t xml:space="preserve">1,984  </w:t>
            </w:r>
          </w:p>
        </w:tc>
        <w:tc>
          <w:tcPr>
            <w:tcW w:w="80" w:type="dxa"/>
            <w:tcBorders/>
            <w:shd w:fill="FFFFFF" w:val="clear"/>
            <w:vAlign w:val="bottom"/>
          </w:tcPr>
          <w:p>
            <w:pPr>
              <w:pStyle w:val="TableContents"/>
              <w:spacing w:before="0" w:after="1"/>
              <w:ind w:left="0" w:right="0" w:hanging="0"/>
              <w:jc w:val="both"/>
              <w:rPr/>
            </w:pPr>
            <w:r>
              <w:rPr/>
              <w:t> </w:t>
            </w:r>
          </w:p>
        </w:tc>
        <w:tc>
          <w:tcPr>
            <w:tcW w:w="455" w:type="dxa"/>
            <w:tcBorders/>
            <w:shd w:fill="FFFFFF" w:val="clear"/>
            <w:vAlign w:val="bottom"/>
          </w:tcPr>
          <w:p>
            <w:pPr>
              <w:pStyle w:val="TableContents"/>
              <w:spacing w:before="0" w:after="1"/>
              <w:ind w:left="0" w:right="0" w:hanging="0"/>
              <w:jc w:val="right"/>
              <w:rPr>
                <w:sz w:val="10"/>
              </w:rPr>
            </w:pPr>
            <w:r>
              <w:rPr>
                <w:sz w:val="10"/>
              </w:rPr>
              <w:t>--</w:t>
            </w:r>
          </w:p>
        </w:tc>
      </w:tr>
      <w:tr>
        <w:trPr/>
        <w:tc>
          <w:tcPr>
            <w:tcW w:w="3935" w:type="dxa"/>
            <w:tcBorders/>
            <w:shd w:fill="CCEEFF" w:val="clear"/>
          </w:tcPr>
          <w:p>
            <w:pPr>
              <w:pStyle w:val="TableContents"/>
              <w:spacing w:before="0" w:after="1"/>
              <w:ind w:left="240" w:right="0" w:hanging="0"/>
              <w:jc w:val="both"/>
              <w:rPr>
                <w:sz w:val="10"/>
              </w:rPr>
            </w:pPr>
            <w:r>
              <w:rPr>
                <w:sz w:val="10"/>
              </w:rPr>
              <w:t>Reduction in note payable associated with acquisition purchase price adjustment</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4,381  </w:t>
            </w:r>
          </w:p>
        </w:tc>
      </w:tr>
      <w:tr>
        <w:trPr/>
        <w:tc>
          <w:tcPr>
            <w:tcW w:w="3935" w:type="dxa"/>
            <w:tcBorders/>
            <w:shd w:fill="FFFFFF" w:val="clear"/>
          </w:tcPr>
          <w:p>
            <w:pPr>
              <w:pStyle w:val="TableContents"/>
              <w:spacing w:before="0" w:after="1"/>
              <w:ind w:left="240" w:right="0" w:hanging="0"/>
              <w:jc w:val="both"/>
              <w:rPr>
                <w:sz w:val="10"/>
              </w:rPr>
            </w:pPr>
            <w:r>
              <w:rPr>
                <w:sz w:val="10"/>
              </w:rPr>
              <w:t>Deemed distribution</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1"/>
              <w:ind w:left="0" w:right="0" w:hanging="0"/>
              <w:jc w:val="right"/>
              <w:rPr>
                <w:sz w:val="10"/>
              </w:rPr>
            </w:pPr>
            <w:r>
              <w:rPr>
                <w:sz w:val="10"/>
              </w:rPr>
              <w:t>--</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1"/>
              <w:ind w:left="0" w:right="0" w:hanging="0"/>
              <w:jc w:val="right"/>
              <w:rPr>
                <w:sz w:val="10"/>
              </w:rPr>
            </w:pPr>
            <w:r>
              <w:rPr>
                <w:sz w:val="10"/>
              </w:rPr>
              <w:t>--</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877  </w:t>
            </w:r>
          </w:p>
        </w:tc>
      </w:tr>
      <w:tr>
        <w:trPr/>
        <w:tc>
          <w:tcPr>
            <w:tcW w:w="3935" w:type="dxa"/>
            <w:tcBorders/>
            <w:shd w:fill="CCEEFF" w:val="clear"/>
          </w:tcPr>
          <w:p>
            <w:pPr>
              <w:pStyle w:val="TableContents"/>
              <w:spacing w:before="0" w:after="1"/>
              <w:ind w:left="240" w:right="0" w:hanging="0"/>
              <w:jc w:val="both"/>
              <w:rPr>
                <w:sz w:val="10"/>
              </w:rPr>
            </w:pPr>
            <w:r>
              <w:rPr>
                <w:sz w:val="10"/>
              </w:rPr>
              <w:t>Capital lease asset addition</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right"/>
              <w:rPr>
                <w:sz w:val="10"/>
              </w:rPr>
            </w:pPr>
            <w:r>
              <w:rPr>
                <w:sz w:val="10"/>
              </w:rPr>
              <w:t>--</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283"/>
              <w:jc w:val="right"/>
              <w:rPr>
                <w:sz w:val="10"/>
              </w:rPr>
            </w:pPr>
            <w:r>
              <w:rPr>
                <w:sz w:val="10"/>
              </w:rPr>
              <w:t xml:space="preserve">4,697  </w:t>
            </w:r>
          </w:p>
        </w:tc>
      </w:tr>
      <w:tr>
        <w:trPr/>
        <w:tc>
          <w:tcPr>
            <w:tcW w:w="3935" w:type="dxa"/>
            <w:tcBorders/>
            <w:shd w:fill="FFFFFF" w:val="clear"/>
          </w:tcPr>
          <w:p>
            <w:pPr>
              <w:pStyle w:val="TableContents"/>
              <w:spacing w:before="0" w:after="1"/>
              <w:ind w:left="240" w:right="0" w:hanging="0"/>
              <w:jc w:val="both"/>
              <w:rPr>
                <w:sz w:val="10"/>
              </w:rPr>
            </w:pPr>
            <w:r>
              <w:rPr>
                <w:sz w:val="10"/>
              </w:rPr>
              <w:t>Capital lease asset obligation</w:t>
            </w:r>
          </w:p>
        </w:tc>
        <w:tc>
          <w:tcPr>
            <w:tcW w:w="80" w:type="dxa"/>
            <w:tcBorders/>
            <w:shd w:fill="FFFFFF" w:val="clear"/>
            <w:vAlign w:val="bottom"/>
          </w:tcPr>
          <w:p>
            <w:pPr>
              <w:pStyle w:val="TableContents"/>
              <w:spacing w:before="0" w:after="1"/>
              <w:ind w:left="0" w:right="0" w:hanging="0"/>
              <w:jc w:val="right"/>
              <w:rPr/>
            </w:pPr>
            <w:r>
              <w:rPr/>
              <w:t> </w:t>
            </w:r>
          </w:p>
        </w:tc>
        <w:tc>
          <w:tcPr>
            <w:tcW w:w="440" w:type="dxa"/>
            <w:tcBorders/>
            <w:shd w:fill="FFFFFF" w:val="clear"/>
            <w:vAlign w:val="bottom"/>
          </w:tcPr>
          <w:p>
            <w:pPr>
              <w:pStyle w:val="TableContents"/>
              <w:spacing w:before="0" w:after="1"/>
              <w:ind w:left="0" w:right="0" w:hanging="0"/>
              <w:jc w:val="right"/>
              <w:rPr>
                <w:sz w:val="10"/>
              </w:rPr>
            </w:pPr>
            <w:r>
              <w:rPr>
                <w:sz w:val="10"/>
              </w:rPr>
              <w:t>--</w:t>
            </w:r>
          </w:p>
        </w:tc>
        <w:tc>
          <w:tcPr>
            <w:tcW w:w="80" w:type="dxa"/>
            <w:tcBorders/>
            <w:shd w:fill="FFFFFF" w:val="clear"/>
            <w:vAlign w:val="bottom"/>
          </w:tcPr>
          <w:p>
            <w:pPr>
              <w:pStyle w:val="TableContents"/>
              <w:spacing w:before="0" w:after="1"/>
              <w:ind w:left="0" w:right="0" w:hanging="0"/>
              <w:jc w:val="right"/>
              <w:rPr/>
            </w:pPr>
            <w:r>
              <w:rPr/>
              <w:t> </w:t>
            </w:r>
          </w:p>
        </w:tc>
        <w:tc>
          <w:tcPr>
            <w:tcW w:w="500" w:type="dxa"/>
            <w:tcBorders/>
            <w:shd w:fill="FFFFFF" w:val="clear"/>
            <w:vAlign w:val="bottom"/>
          </w:tcPr>
          <w:p>
            <w:pPr>
              <w:pStyle w:val="TableContents"/>
              <w:spacing w:before="0" w:after="1"/>
              <w:ind w:left="0" w:right="0" w:hanging="0"/>
              <w:jc w:val="right"/>
              <w:rPr>
                <w:sz w:val="10"/>
              </w:rPr>
            </w:pPr>
            <w:r>
              <w:rPr>
                <w:sz w:val="10"/>
              </w:rPr>
              <w:t>--</w:t>
            </w:r>
          </w:p>
        </w:tc>
        <w:tc>
          <w:tcPr>
            <w:tcW w:w="80" w:type="dxa"/>
            <w:tcBorders/>
            <w:shd w:fill="FFFFFF" w:val="clear"/>
            <w:vAlign w:val="bottom"/>
          </w:tcPr>
          <w:p>
            <w:pPr>
              <w:pStyle w:val="TableContents"/>
              <w:spacing w:before="0" w:after="1"/>
              <w:ind w:left="0" w:right="0" w:hanging="0"/>
              <w:jc w:val="right"/>
              <w:rPr/>
            </w:pPr>
            <w:r>
              <w:rPr/>
              <w:t> </w:t>
            </w:r>
          </w:p>
        </w:tc>
        <w:tc>
          <w:tcPr>
            <w:tcW w:w="455" w:type="dxa"/>
            <w:tcBorders/>
            <w:shd w:fill="FFFFFF" w:val="clear"/>
            <w:vAlign w:val="bottom"/>
          </w:tcPr>
          <w:p>
            <w:pPr>
              <w:pStyle w:val="TableContents"/>
              <w:spacing w:before="0" w:after="283"/>
              <w:jc w:val="right"/>
              <w:rPr>
                <w:sz w:val="10"/>
              </w:rPr>
            </w:pPr>
            <w:r>
              <w:rPr>
                <w:sz w:val="10"/>
              </w:rPr>
              <w:t xml:space="preserve">5,573  </w:t>
            </w:r>
          </w:p>
        </w:tc>
      </w:tr>
      <w:tr>
        <w:trPr/>
        <w:tc>
          <w:tcPr>
            <w:tcW w:w="3935" w:type="dxa"/>
            <w:tcBorders/>
            <w:shd w:fill="CCEEFF" w:val="clear"/>
          </w:tcPr>
          <w:p>
            <w:pPr>
              <w:pStyle w:val="TableContents"/>
              <w:spacing w:before="0" w:after="1"/>
              <w:ind w:left="24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440" w:type="dxa"/>
            <w:tcBorders/>
            <w:shd w:fill="CCEEFF" w:val="clear"/>
            <w:vAlign w:val="bottom"/>
          </w:tcPr>
          <w:p>
            <w:pPr>
              <w:pStyle w:val="TableContents"/>
              <w:spacing w:before="0" w:after="1"/>
              <w:ind w:left="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500" w:type="dxa"/>
            <w:tcBorders/>
            <w:shd w:fill="CCEEFF" w:val="clear"/>
            <w:vAlign w:val="bottom"/>
          </w:tcPr>
          <w:p>
            <w:pPr>
              <w:pStyle w:val="TableContents"/>
              <w:spacing w:before="0" w:after="1"/>
              <w:ind w:left="0" w:right="0" w:hanging="0"/>
              <w:jc w:val="both"/>
              <w:rPr/>
            </w:pPr>
            <w:r>
              <w:rPr/>
              <w:t> </w:t>
            </w:r>
          </w:p>
        </w:tc>
        <w:tc>
          <w:tcPr>
            <w:tcW w:w="80" w:type="dxa"/>
            <w:tcBorders/>
            <w:shd w:fill="CCEEFF" w:val="clear"/>
            <w:vAlign w:val="bottom"/>
          </w:tcPr>
          <w:p>
            <w:pPr>
              <w:pStyle w:val="TableContents"/>
              <w:spacing w:before="0" w:after="1"/>
              <w:ind w:left="0" w:right="0" w:hanging="0"/>
              <w:jc w:val="right"/>
              <w:rPr/>
            </w:pPr>
            <w:r>
              <w:rPr/>
              <w:t> </w:t>
            </w:r>
          </w:p>
        </w:tc>
        <w:tc>
          <w:tcPr>
            <w:tcW w:w="455" w:type="dxa"/>
            <w:tcBorders/>
            <w:shd w:fill="CCEEFF" w:val="clear"/>
            <w:vAlign w:val="bottom"/>
          </w:tcPr>
          <w:p>
            <w:pPr>
              <w:pStyle w:val="TableContents"/>
              <w:spacing w:before="0" w:after="1"/>
              <w:ind w:left="0" w:right="0" w:hanging="0"/>
              <w:jc w:val="both"/>
              <w:rPr/>
            </w:pPr>
            <w:r>
              <w:rPr/>
              <w:t> </w:t>
            </w:r>
          </w:p>
        </w:tc>
      </w:tr>
    </w:tbl>
    <w:p>
      <w:pPr>
        <w:pStyle w:val="TextBody"/>
        <w:spacing w:before="0" w:after="0"/>
        <w:ind w:left="1440" w:right="0" w:hanging="0"/>
        <w:jc w:val="both"/>
        <w:rPr/>
      </w:pPr>
      <w:r>
        <w:rPr/>
        <w:t xml:space="preserve">  </w:t>
      </w:r>
    </w:p>
    <w:p>
      <w:pPr>
        <w:pStyle w:val="TextBody"/>
        <w:spacing w:before="0" w:after="0"/>
        <w:ind w:left="1440" w:right="0" w:hanging="0"/>
        <w:jc w:val="center"/>
        <w:rPr>
          <w:sz w:val="13"/>
        </w:rPr>
      </w:pPr>
      <w:r>
        <w:rPr>
          <w:sz w:val="13"/>
        </w:rPr>
        <w:t xml:space="preserve">See accompanying notes to consolidated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sz w:val="17"/>
        </w:rPr>
      </w:pPr>
      <w:r>
        <w:rPr>
          <w:b/>
          <w:sz w:val="17"/>
        </w:rPr>
        <w:t>Reading International, Inc. and Subsidiaries</w:t>
      </w:r>
      <w:r>
        <w:rPr>
          <w:sz w:val="17"/>
        </w:rPr>
        <w:t xml:space="preserve"> </w:t>
      </w:r>
    </w:p>
    <w:p>
      <w:pPr>
        <w:pStyle w:val="TextBody"/>
        <w:spacing w:before="0" w:after="0"/>
        <w:ind w:left="1440" w:right="0" w:hanging="0"/>
        <w:jc w:val="both"/>
        <w:rPr>
          <w:sz w:val="17"/>
        </w:rPr>
      </w:pPr>
      <w:r>
        <w:rPr>
          <w:b/>
          <w:sz w:val="17"/>
        </w:rPr>
        <w:t>Notes to Consolidated Financial Statements</w:t>
      </w:r>
      <w:r>
        <w:rPr>
          <w:sz w:val="17"/>
        </w:rPr>
        <w:t xml:space="preserve"> </w:t>
      </w:r>
    </w:p>
    <w:p>
      <w:pPr>
        <w:pStyle w:val="TextBody"/>
        <w:spacing w:before="0" w:after="0"/>
        <w:ind w:left="1440" w:right="0" w:hanging="0"/>
        <w:jc w:val="both"/>
        <w:rPr>
          <w:sz w:val="17"/>
        </w:rPr>
      </w:pPr>
      <w:r>
        <w:rPr>
          <w:b/>
          <w:sz w:val="17"/>
        </w:rPr>
        <w:t>December 31, 2012</w:t>
      </w:r>
      <w:r>
        <w:rPr>
          <w:sz w:val="17"/>
        </w:rPr>
        <w:t xml:space="preserve"> </w:t>
      </w:r>
    </w:p>
    <w:p>
      <w:pPr>
        <w:pStyle w:val="TextBody"/>
        <w:spacing w:before="0" w:after="0"/>
        <w:ind w:left="1440" w:right="0" w:hanging="0"/>
        <w:jc w:val="both"/>
        <w:rPr>
          <w:sz w:val="17"/>
        </w:rPr>
      </w:pPr>
      <w:r>
        <w:rPr>
          <w:sz w:val="17"/>
        </w:rPr>
        <w:t xml:space="preserve">___________________________________________________________________________________________________________________________________________________________________________________________________________________________________________ </w:t>
      </w:r>
    </w:p>
    <w:p>
      <w:pPr>
        <w:pStyle w:val="TextBody"/>
        <w:spacing w:before="240" w:after="200"/>
        <w:ind w:left="1440" w:right="0" w:hanging="0"/>
        <w:jc w:val="both"/>
        <w:rPr>
          <w:sz w:val="17"/>
        </w:rPr>
      </w:pPr>
      <w:r>
        <w:rPr>
          <w:b/>
          <w:sz w:val="17"/>
          <w:u w:val="single"/>
        </w:rPr>
        <w:t>Note 1 – Nature of Business</w:t>
      </w:r>
      <w:r>
        <w:rPr>
          <w:sz w:val="17"/>
        </w:rPr>
        <w:t xml:space="preserve">  </w:t>
      </w:r>
    </w:p>
    <w:p>
      <w:pPr>
        <w:pStyle w:val="TextBody"/>
        <w:spacing w:before="0" w:after="200"/>
        <w:ind w:left="1440" w:right="0" w:firstLine="720"/>
        <w:jc w:val="both"/>
        <w:rPr>
          <w:sz w:val="17"/>
        </w:rPr>
      </w:pPr>
      <w:r>
        <w:rPr>
          <w:sz w:val="17"/>
        </w:rPr>
        <w:t xml:space="preserve">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 </w:t>
      </w:r>
    </w:p>
    <w:tbl>
      <w:tblPr>
        <w:tblW w:w="8440" w:type="dxa"/>
        <w:jc w:val="left"/>
        <w:tblInd w:w="1440" w:type="dxa"/>
        <w:tblCellMar>
          <w:top w:w="0" w:type="dxa"/>
          <w:left w:w="0" w:type="dxa"/>
          <w:bottom w:w="0" w:type="dxa"/>
          <w:right w:w="0" w:type="dxa"/>
        </w:tblCellMar>
      </w:tblPr>
      <w:tblGrid>
        <w:gridCol w:w="155"/>
        <w:gridCol w:w="8285"/>
      </w:tblGrid>
      <w:tr>
        <w:trPr/>
        <w:tc>
          <w:tcPr>
            <w:tcW w:w="155" w:type="dxa"/>
            <w:tcBorders/>
            <w:shd w:fill="auto" w:val="clear"/>
          </w:tcPr>
          <w:p>
            <w:pPr>
              <w:pStyle w:val="TableContents"/>
              <w:pBdr/>
              <w:spacing w:before="0" w:after="200"/>
              <w:ind w:left="360" w:right="0" w:hanging="0"/>
              <w:jc w:val="both"/>
              <w:rPr>
                <w:sz w:val="17"/>
              </w:rPr>
            </w:pPr>
            <w:r>
              <w:rPr>
                <w:rFonts w:ascii="Symbol" w:hAnsi="Symbol"/>
                <w:sz w:val="17"/>
              </w:rPr>
              <w:t>·</w:t>
            </w:r>
            <w:r>
              <w:rPr>
                <w:sz w:val="17"/>
              </w:rPr>
              <w:t xml:space="preserve"> </w:t>
            </w:r>
          </w:p>
        </w:tc>
        <w:tc>
          <w:tcPr>
            <w:tcW w:w="8285" w:type="dxa"/>
            <w:tcBorders/>
            <w:shd w:fill="auto" w:val="clear"/>
          </w:tcPr>
          <w:p>
            <w:pPr>
              <w:pStyle w:val="TableContents"/>
              <w:pBdr/>
              <w:spacing w:before="0" w:after="283"/>
              <w:jc w:val="both"/>
              <w:rPr>
                <w:sz w:val="17"/>
              </w:rPr>
            </w:pPr>
            <w:r>
              <w:rPr>
                <w:sz w:val="17"/>
              </w:rPr>
              <w:t xml:space="preserve">the development, ownership and operation of multiplex cinemas in the United States, Australia, and New Zealand; and </w:t>
            </w:r>
          </w:p>
        </w:tc>
      </w:tr>
    </w:tbl>
    <w:tbl>
      <w:tblPr>
        <w:tblW w:w="8765" w:type="dxa"/>
        <w:jc w:val="left"/>
        <w:tblInd w:w="1440" w:type="dxa"/>
        <w:tblCellMar>
          <w:top w:w="0" w:type="dxa"/>
          <w:left w:w="0" w:type="dxa"/>
          <w:bottom w:w="0" w:type="dxa"/>
          <w:right w:w="0" w:type="dxa"/>
        </w:tblCellMar>
      </w:tblPr>
      <w:tblGrid>
        <w:gridCol w:w="153"/>
        <w:gridCol w:w="8612"/>
      </w:tblGrid>
      <w:tr>
        <w:trPr/>
        <w:tc>
          <w:tcPr>
            <w:tcW w:w="153" w:type="dxa"/>
            <w:tcBorders/>
            <w:shd w:fill="auto" w:val="clear"/>
          </w:tcPr>
          <w:p>
            <w:pPr>
              <w:pStyle w:val="TableContents"/>
              <w:pBdr/>
              <w:spacing w:before="0" w:after="200"/>
              <w:ind w:left="360" w:right="0" w:hanging="0"/>
              <w:jc w:val="both"/>
              <w:rPr>
                <w:sz w:val="17"/>
              </w:rPr>
            </w:pPr>
            <w:r>
              <w:rPr>
                <w:rFonts w:ascii="Symbol" w:hAnsi="Symbol"/>
                <w:sz w:val="17"/>
              </w:rPr>
              <w:t>·</w:t>
            </w:r>
            <w:r>
              <w:rPr>
                <w:sz w:val="17"/>
              </w:rPr>
              <w:t xml:space="preserve"> </w:t>
            </w:r>
          </w:p>
        </w:tc>
        <w:tc>
          <w:tcPr>
            <w:tcW w:w="8612" w:type="dxa"/>
            <w:tcBorders/>
            <w:shd w:fill="auto" w:val="clear"/>
          </w:tcPr>
          <w:p>
            <w:pPr>
              <w:pStyle w:val="TableContents"/>
              <w:pBdr/>
              <w:spacing w:before="0" w:after="283"/>
              <w:jc w:val="both"/>
              <w:rPr>
                <w:sz w:val="17"/>
              </w:rPr>
            </w:pPr>
            <w:r>
              <w:rPr>
                <w:sz w:val="17"/>
              </w:rPr>
              <w:t>the development, ownership, and operation of retail and commercial real estate in Australia, New Zealand, and the United States.</w:t>
            </w:r>
          </w:p>
        </w:tc>
      </w:tr>
    </w:tbl>
    <w:p>
      <w:pPr>
        <w:pStyle w:val="TextBody"/>
        <w:spacing w:before="200" w:after="200"/>
        <w:ind w:left="1440" w:right="0" w:hanging="0"/>
        <w:jc w:val="both"/>
        <w:rPr>
          <w:sz w:val="17"/>
        </w:rPr>
      </w:pPr>
      <w:r>
        <w:rPr>
          <w:b/>
          <w:sz w:val="17"/>
          <w:u w:val="single"/>
        </w:rPr>
        <w:t>Note 2 – Summary of Significant Accounting Policies</w:t>
      </w:r>
      <w:r>
        <w:rPr>
          <w:sz w:val="17"/>
        </w:rPr>
        <w:t xml:space="preserve"> </w:t>
      </w:r>
    </w:p>
    <w:p>
      <w:pPr>
        <w:pStyle w:val="TextBody"/>
        <w:spacing w:before="0" w:after="200"/>
        <w:ind w:left="1440" w:right="0" w:hanging="0"/>
        <w:jc w:val="both"/>
        <w:rPr>
          <w:sz w:val="17"/>
        </w:rPr>
      </w:pPr>
      <w:r>
        <w:rPr>
          <w:sz w:val="17"/>
          <w:u w:val="single"/>
        </w:rPr>
        <w:t>Basis of Consolidation</w:t>
      </w:r>
      <w:r>
        <w:rPr>
          <w:sz w:val="17"/>
        </w:rPr>
        <w:t xml:space="preserve"> </w:t>
      </w:r>
    </w:p>
    <w:p>
      <w:pPr>
        <w:pStyle w:val="TextBody"/>
        <w:spacing w:before="0" w:after="200"/>
        <w:ind w:left="1440" w:right="0" w:hanging="0"/>
        <w:jc w:val="both"/>
        <w:rPr/>
      </w:pPr>
      <w:r>
        <w:rPr/>
        <w:t>            </w:t>
      </w:r>
      <w:r>
        <w:rPr>
          <w:sz w:val="17"/>
        </w:rPr>
        <w:t xml:space="preserve">The consolidated financial statements of RDI and its subsidiaries include the accounts of RDGE, CRG, and CDL.  Also consolidated are Australia Country Cinemas Pty, Limited (“ACC”), a company in which we own a 75% interest and whose only assets are our leasehold cinemas in Townsville and Dubbo, Australia; the Angelika Film Center LLC (“AFC”) in which we own a 50% controlling membership interest and whose only asset is the Angelika Film Center in Manhattan, and Shadow View Land and Farming, LLC in which we own a 50% controlling membership interest and whose only asset is a 202 acre land parcel in Coachella, California . </w:t>
      </w:r>
    </w:p>
    <w:p>
      <w:pPr>
        <w:pStyle w:val="TextBody"/>
        <w:spacing w:before="0" w:after="200"/>
        <w:ind w:left="1440" w:right="0" w:firstLine="720"/>
        <w:jc w:val="both"/>
        <w:rPr>
          <w:sz w:val="17"/>
        </w:rPr>
      </w:pPr>
      <w:r>
        <w:rPr>
          <w:sz w:val="17"/>
        </w:rPr>
        <w:t xml:space="preserve">Our investment interests are accounted for as unconsolidated joint ventures and entities, and accordingly, our unconsolidated joint ventures and entities in 20% to 50% owned companies are accounted for on the equity method.  These investment interests include our </w:t>
      </w:r>
    </w:p>
    <w:tbl>
      <w:tblPr>
        <w:tblW w:w="8765" w:type="dxa"/>
        <w:jc w:val="left"/>
        <w:tblInd w:w="1440" w:type="dxa"/>
        <w:tblCellMar>
          <w:top w:w="0" w:type="dxa"/>
          <w:left w:w="0" w:type="dxa"/>
          <w:bottom w:w="0" w:type="dxa"/>
          <w:right w:w="0" w:type="dxa"/>
        </w:tblCellMar>
      </w:tblPr>
      <w:tblGrid>
        <w:gridCol w:w="132"/>
        <w:gridCol w:w="8633"/>
      </w:tblGrid>
      <w:tr>
        <w:trPr/>
        <w:tc>
          <w:tcPr>
            <w:tcW w:w="132"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33" w:type="dxa"/>
            <w:tcBorders/>
            <w:shd w:fill="auto" w:val="clear"/>
          </w:tcPr>
          <w:p>
            <w:pPr>
              <w:pStyle w:val="TableContents"/>
              <w:pBdr/>
              <w:spacing w:before="0" w:after="283"/>
              <w:jc w:val="both"/>
              <w:rPr>
                <w:sz w:val="17"/>
              </w:rPr>
            </w:pPr>
            <w:r>
              <w:rPr>
                <w:sz w:val="17"/>
              </w:rPr>
              <w:t xml:space="preserve">25% undivided interest in the unincorporated joint venture that owns 205-209 East 57th Street Associates, LLC (Place 57) a limited liability company formed to redevelop our former cinema site at 205 East 57th Street in Manhattan; </w:t>
            </w:r>
          </w:p>
        </w:tc>
      </w:tr>
    </w:tbl>
    <w:tbl>
      <w:tblPr>
        <w:tblW w:w="8765" w:type="dxa"/>
        <w:jc w:val="left"/>
        <w:tblInd w:w="1440" w:type="dxa"/>
        <w:tblCellMar>
          <w:top w:w="0" w:type="dxa"/>
          <w:left w:w="0" w:type="dxa"/>
          <w:bottom w:w="0" w:type="dxa"/>
          <w:right w:w="0" w:type="dxa"/>
        </w:tblCellMar>
      </w:tblPr>
      <w:tblGrid>
        <w:gridCol w:w="152"/>
        <w:gridCol w:w="8613"/>
      </w:tblGrid>
      <w:tr>
        <w:trPr/>
        <w:tc>
          <w:tcPr>
            <w:tcW w:w="152"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13" w:type="dxa"/>
            <w:tcBorders/>
            <w:shd w:fill="auto" w:val="clear"/>
          </w:tcPr>
          <w:p>
            <w:pPr>
              <w:pStyle w:val="TableContents"/>
              <w:pBdr/>
              <w:spacing w:before="0" w:after="283"/>
              <w:jc w:val="both"/>
              <w:rPr>
                <w:sz w:val="17"/>
              </w:rPr>
            </w:pPr>
            <w:r>
              <w:rPr>
                <w:sz w:val="17"/>
              </w:rPr>
              <w:t xml:space="preserve">33.3% undivided interest in the unincorporated joint venture that owns the Mt. Gravatt cinema in a suburb of Brisbane, Australia; </w:t>
            </w:r>
          </w:p>
        </w:tc>
      </w:tr>
    </w:tbl>
    <w:tbl>
      <w:tblPr>
        <w:tblW w:w="8765" w:type="dxa"/>
        <w:jc w:val="left"/>
        <w:tblInd w:w="1440" w:type="dxa"/>
        <w:tblCellMar>
          <w:top w:w="0" w:type="dxa"/>
          <w:left w:w="0" w:type="dxa"/>
          <w:bottom w:w="0" w:type="dxa"/>
          <w:right w:w="0" w:type="dxa"/>
        </w:tblCellMar>
      </w:tblPr>
      <w:tblGrid>
        <w:gridCol w:w="143"/>
        <w:gridCol w:w="8622"/>
      </w:tblGrid>
      <w:tr>
        <w:trPr/>
        <w:tc>
          <w:tcPr>
            <w:tcW w:w="143"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22" w:type="dxa"/>
            <w:tcBorders/>
            <w:shd w:fill="auto" w:val="clear"/>
          </w:tcPr>
          <w:p>
            <w:pPr>
              <w:pStyle w:val="TableContents"/>
              <w:pBdr/>
              <w:spacing w:before="0" w:after="283"/>
              <w:jc w:val="both"/>
              <w:rPr>
                <w:sz w:val="17"/>
              </w:rPr>
            </w:pPr>
            <w:r>
              <w:rPr>
                <w:sz w:val="17"/>
              </w:rPr>
              <w:t xml:space="preserve">33.3% undivided interest in Rialto Distribution, an unincorporated joint venture engaged in the business of distributing art film in New Zealand and Australia; and </w:t>
            </w:r>
          </w:p>
        </w:tc>
      </w:tr>
    </w:tbl>
    <w:tbl>
      <w:tblPr>
        <w:tblW w:w="6100" w:type="dxa"/>
        <w:jc w:val="left"/>
        <w:tblInd w:w="1440" w:type="dxa"/>
        <w:tblCellMar>
          <w:top w:w="0" w:type="dxa"/>
          <w:left w:w="0" w:type="dxa"/>
          <w:bottom w:w="0" w:type="dxa"/>
          <w:right w:w="0" w:type="dxa"/>
        </w:tblCellMar>
      </w:tblPr>
      <w:tblGrid>
        <w:gridCol w:w="155"/>
        <w:gridCol w:w="594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945" w:type="dxa"/>
            <w:tcBorders/>
            <w:shd w:fill="auto" w:val="clear"/>
          </w:tcPr>
          <w:p>
            <w:pPr>
              <w:pStyle w:val="TableContents"/>
              <w:pBdr/>
              <w:spacing w:before="0" w:after="283"/>
              <w:jc w:val="both"/>
              <w:rPr>
                <w:sz w:val="17"/>
              </w:rPr>
            </w:pPr>
            <w:r>
              <w:rPr>
                <w:sz w:val="17"/>
              </w:rPr>
              <w:t>50% undivided interest in the unincorporated joint venture that owns Rialto Cinemas.</w:t>
            </w:r>
          </w:p>
        </w:tc>
      </w:tr>
    </w:tbl>
    <w:p>
      <w:pPr>
        <w:pStyle w:val="TextBody"/>
        <w:spacing w:before="200" w:after="200"/>
        <w:ind w:left="1440" w:right="0" w:hanging="0"/>
        <w:jc w:val="both"/>
        <w:rPr>
          <w:sz w:val="17"/>
        </w:rPr>
      </w:pPr>
      <w:r>
        <w:rPr>
          <w:sz w:val="17"/>
          <w:u w:val="single"/>
        </w:rPr>
        <w:t>Refinancing Long-Term Debt</w:t>
      </w:r>
      <w:r>
        <w:rPr>
          <w:sz w:val="17"/>
        </w:rPr>
        <w:t xml:space="preserve"> </w:t>
      </w:r>
    </w:p>
    <w:p>
      <w:pPr>
        <w:pStyle w:val="TextBody"/>
        <w:spacing w:before="0" w:after="200"/>
        <w:ind w:left="1440" w:right="0" w:hanging="0"/>
        <w:jc w:val="both"/>
        <w:rPr>
          <w:sz w:val="17"/>
        </w:rPr>
      </w:pPr>
      <w:r>
        <w:rPr>
          <w:i/>
          <w:sz w:val="17"/>
        </w:rPr>
        <w:t>Liberty Theatre Term Loans</w:t>
      </w:r>
      <w:r>
        <w:rPr>
          <w:sz w:val="17"/>
        </w:rPr>
        <w:t xml:space="preserve"> </w:t>
      </w:r>
    </w:p>
    <w:p>
      <w:pPr>
        <w:pStyle w:val="TextBody"/>
        <w:spacing w:before="0" w:after="200"/>
        <w:ind w:left="1440" w:right="0" w:firstLine="720"/>
        <w:jc w:val="both"/>
        <w:rPr>
          <w:sz w:val="17"/>
        </w:rPr>
      </w:pPr>
      <w:r>
        <w:rPr>
          <w:sz w:val="17"/>
        </w:rPr>
        <w:t xml:space="preserve">As our Liberty Theater Term Loans are due to mature on April 1, 2013, the December 31, 2012 outstanding balance of this debt of $6.4 million is classified as current on our balance sheet.  We intend to refinance the property’s debt. </w:t>
      </w:r>
    </w:p>
    <w:p>
      <w:pPr>
        <w:pStyle w:val="TextBody"/>
        <w:spacing w:before="0" w:after="200"/>
        <w:ind w:left="1440" w:right="0" w:hanging="0"/>
        <w:jc w:val="both"/>
        <w:rPr>
          <w:sz w:val="17"/>
        </w:rPr>
      </w:pPr>
      <w:r>
        <w:rPr>
          <w:i/>
          <w:sz w:val="17"/>
        </w:rPr>
        <w:t>Cinemas 1, 2, 3 Loan</w:t>
      </w:r>
      <w:r>
        <w:rPr>
          <w:sz w:val="17"/>
        </w:rPr>
        <w:t xml:space="preserve"> </w:t>
      </w:r>
    </w:p>
    <w:p>
      <w:pPr>
        <w:pStyle w:val="TextBody"/>
        <w:spacing w:before="0" w:after="200"/>
        <w:ind w:left="1440" w:right="0" w:firstLine="720"/>
        <w:jc w:val="both"/>
        <w:rPr>
          <w:sz w:val="17"/>
        </w:rPr>
      </w:pPr>
      <w:r>
        <w:rPr>
          <w:sz w:val="17"/>
        </w:rPr>
        <w:t xml:space="preserve">On June 28, 2012, Sutton Hill Properties LLC (“SHP”), one of our consolidated subsidiaries, paid off its Eurohypo AG, New York Branch loan with a new $15.0 million term loan (the “Sovereign Bank Loan”) from Sovereign Bank, N.A.  The Sovereign Bank Loan has a one-year term ending on June 27, 2013, with a one year extension option to June 26, 2014 subject to an extension fee equal to 1.00% of the ending principal balance and a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compliance requirement with certain special covenants.  Currently, we intend to exercise this extension option.  See Note 12 – </w:t>
      </w:r>
      <w:r>
        <w:rPr>
          <w:i/>
          <w:sz w:val="17"/>
        </w:rPr>
        <w:t>Notes Payable</w:t>
      </w:r>
      <w:r>
        <w:rPr>
          <w:sz w:val="17"/>
        </w:rPr>
        <w:t xml:space="preserve">. </w:t>
      </w:r>
    </w:p>
    <w:p>
      <w:pPr>
        <w:pStyle w:val="TextBody"/>
        <w:spacing w:before="0" w:after="200"/>
        <w:ind w:left="1440" w:right="0" w:hanging="0"/>
        <w:jc w:val="both"/>
        <w:rPr>
          <w:sz w:val="17"/>
        </w:rPr>
      </w:pPr>
      <w:r>
        <w:rPr>
          <w:i/>
          <w:sz w:val="17"/>
        </w:rPr>
        <w:t>U.S. Credit Facility</w:t>
      </w:r>
      <w:r>
        <w:rPr>
          <w:sz w:val="17"/>
        </w:rPr>
        <w:t xml:space="preserve"> </w:t>
      </w:r>
    </w:p>
    <w:p>
      <w:pPr>
        <w:pStyle w:val="TextBody"/>
        <w:spacing w:before="0" w:after="200"/>
        <w:ind w:left="1440" w:right="0" w:firstLine="720"/>
        <w:jc w:val="both"/>
        <w:rPr>
          <w:sz w:val="17"/>
        </w:rPr>
      </w:pPr>
      <w:r>
        <w:rPr>
          <w:sz w:val="17"/>
        </w:rPr>
        <w:t xml:space="preserve">On October 31, 2012, we replaced our GE Capital Term Loan of $27.7 million with a new credit facility from Bank of America (the “BofA Revolver”) of $30.0 million with an interest rate of between 2.50% and 3.00% above LIBOR and an expiration date of October 31, 2017.  In addition, Bank of America increased our existing $3.0 million line of credit to $5.0 million.  See Note 12 – </w:t>
      </w:r>
      <w:r>
        <w:rPr>
          <w:i/>
          <w:sz w:val="17"/>
        </w:rPr>
        <w:t>Notes Payable</w:t>
      </w:r>
      <w:r>
        <w:rPr>
          <w:sz w:val="17"/>
        </w:rPr>
        <w:t xml:space="preserve">. </w:t>
      </w:r>
    </w:p>
    <w:p>
      <w:pPr>
        <w:pStyle w:val="TextBody"/>
        <w:spacing w:before="0" w:after="200"/>
        <w:ind w:left="1440" w:right="0" w:hanging="0"/>
        <w:jc w:val="both"/>
        <w:rPr>
          <w:sz w:val="17"/>
        </w:rPr>
      </w:pPr>
      <w:r>
        <w:rPr>
          <w:i/>
          <w:sz w:val="17"/>
        </w:rPr>
        <w:t>Australian Credit Facility</w:t>
      </w:r>
      <w:r>
        <w:rPr>
          <w:sz w:val="17"/>
        </w:rPr>
        <w:t xml:space="preserve"> </w:t>
      </w:r>
    </w:p>
    <w:p>
      <w:pPr>
        <w:pStyle w:val="TextBody"/>
        <w:spacing w:before="0" w:after="200"/>
        <w:ind w:left="1440" w:right="0" w:firstLine="720"/>
        <w:jc w:val="both"/>
        <w:rPr>
          <w:sz w:val="17"/>
        </w:rPr>
      </w:pPr>
      <w:bookmarkStart w:id="2" w:name="OLE_LINK3"/>
      <w:bookmarkStart w:id="3" w:name="OLE_LINK2"/>
      <w:bookmarkEnd w:id="2"/>
      <w:bookmarkEnd w:id="3"/>
      <w:r>
        <w:rPr>
          <w:sz w:val="17"/>
        </w:rPr>
        <w:t xml:space="preserve">On June 24, 2011, we replaced our Australian Corporate Credit Facility with BOS International (“BOSI”) of $115.8 million (AUS$110.0 million) with the proceeds from a new credit facility from National Australia Bank (“NAB”) of $110.5 million (AUS$105.0 million).  The outstanding balance of this loan of $101.7 million (AUS$100.5 million) was classified as a current liability at December 31, 2010 on our 2010 Consolidated Balance Sheet as we had not refinanced the then currently maturing facility prior to the annual report issuance date.  See Note 12 – </w:t>
      </w:r>
      <w:r>
        <w:rPr>
          <w:i/>
          <w:sz w:val="17"/>
        </w:rPr>
        <w:t>Notes Payable</w:t>
      </w:r>
      <w:r>
        <w:rPr>
          <w:sz w:val="17"/>
        </w:rPr>
        <w:t xml:space="preserve">. </w:t>
      </w:r>
    </w:p>
    <w:p>
      <w:pPr>
        <w:pStyle w:val="TextBody"/>
        <w:spacing w:before="0" w:after="200"/>
        <w:ind w:left="1440" w:right="0" w:hanging="0"/>
        <w:jc w:val="both"/>
        <w:rPr>
          <w:sz w:val="17"/>
        </w:rPr>
      </w:pPr>
      <w:r>
        <w:rPr>
          <w:i/>
          <w:sz w:val="17"/>
        </w:rPr>
        <w:t>Cash Position</w:t>
      </w:r>
      <w:r>
        <w:rPr>
          <w:sz w:val="17"/>
        </w:rPr>
        <w:t xml:space="preserve"> </w:t>
      </w:r>
    </w:p>
    <w:p>
      <w:pPr>
        <w:pStyle w:val="TextBody"/>
        <w:spacing w:before="0" w:after="200"/>
        <w:ind w:left="1440" w:right="0" w:firstLine="720"/>
        <w:jc w:val="both"/>
        <w:rPr>
          <w:sz w:val="17"/>
        </w:rPr>
      </w:pPr>
      <w:r>
        <w:rPr>
          <w:sz w:val="17"/>
        </w:rPr>
        <w:t xml:space="preserve">Our cash position at December 31, 2012 was $46.5 million including an $8.0 million time deposit in Australia.  Of the $46.5 million, $17.5 million was in Australia, $22.7 million was in the U.S., and $6.3 million was in New Zealand.  As part of our main credit facilities in Australia, New Zealand and the U.S., we are subject to certain debt covenants which limit the transfer or use of cash outside of the various regional subsidiaries in which the cash is held.  As such, at December 31, 2012, we have approximately $7.5 million of cash worldwide that is not restricted by loan covenants. </w:t>
      </w:r>
    </w:p>
    <w:p>
      <w:pPr>
        <w:pStyle w:val="TextBody"/>
        <w:spacing w:before="0" w:after="200"/>
        <w:ind w:left="1440" w:right="0" w:firstLine="720"/>
        <w:jc w:val="both"/>
        <w:rPr>
          <w:sz w:val="17"/>
        </w:rPr>
      </w:pPr>
      <w:r>
        <w:rPr>
          <w:sz w:val="17"/>
        </w:rPr>
        <w:t xml:space="preserve">At December 31, 2012, we had undrawn funds of $10.4 million (AUS$10.0 million) available under our NAB line of credit in Australia, $9.9 million (NZ$12.0 million) available under our New Zealand Corporate Credit facility, and $3.0 million available under our BofA Revolver in the U.S.  Accordingly, we believe that we have sufficient borrowing capacity under our various credit facilities, together with our $46.5 million cash balance, to meet our anticipated short-term working capital requirements. </w:t>
      </w:r>
    </w:p>
    <w:p>
      <w:pPr>
        <w:pStyle w:val="TextBody"/>
        <w:spacing w:before="0" w:after="200"/>
        <w:ind w:left="1440" w:right="0" w:hanging="0"/>
        <w:jc w:val="both"/>
        <w:rPr>
          <w:sz w:val="17"/>
        </w:rPr>
      </w:pPr>
      <w:r>
        <w:rPr>
          <w:sz w:val="17"/>
          <w:u w:val="single"/>
        </w:rPr>
        <w:t>Accounting Principles</w:t>
      </w:r>
      <w:r>
        <w:rPr>
          <w:sz w:val="17"/>
        </w:rPr>
        <w:t xml:space="preserve"> </w:t>
      </w:r>
    </w:p>
    <w:p>
      <w:pPr>
        <w:pStyle w:val="TextBody"/>
        <w:spacing w:before="0" w:after="200"/>
        <w:ind w:left="1440" w:right="0" w:firstLine="720"/>
        <w:jc w:val="both"/>
        <w:rPr>
          <w:sz w:val="17"/>
        </w:rPr>
      </w:pPr>
      <w:r>
        <w:rPr>
          <w:sz w:val="17"/>
        </w:rPr>
        <w:t xml:space="preserve">Our consolidated financial statements have been prepared in accordance with accounting principles generally accepted in the United States of America (“US GAAP”). </w:t>
      </w:r>
    </w:p>
    <w:p>
      <w:pPr>
        <w:pStyle w:val="TextBody"/>
        <w:spacing w:before="0" w:after="200"/>
        <w:ind w:left="1440" w:right="0" w:hanging="0"/>
        <w:jc w:val="both"/>
        <w:rPr>
          <w:sz w:val="17"/>
        </w:rPr>
      </w:pPr>
      <w:r>
        <w:rPr>
          <w:sz w:val="17"/>
          <w:u w:val="single"/>
        </w:rPr>
        <w:t>Cash and Cash Equivalents</w:t>
      </w:r>
      <w:r>
        <w:rPr>
          <w:sz w:val="17"/>
        </w:rPr>
        <w:t xml:space="preserve"> </w:t>
      </w:r>
    </w:p>
    <w:p>
      <w:pPr>
        <w:pStyle w:val="TextBody"/>
        <w:spacing w:before="0" w:after="200"/>
        <w:ind w:left="1440" w:right="0" w:firstLine="720"/>
        <w:jc w:val="both"/>
        <w:rPr>
          <w:sz w:val="17"/>
        </w:rPr>
      </w:pPr>
      <w:r>
        <w:rPr>
          <w:sz w:val="17"/>
        </w:rPr>
        <w:t xml:space="preserve">We consider all highly liquid investments with original maturities of three months or less when purchased to be cash equivalents for which cost approximates fair value. </w:t>
      </w:r>
    </w:p>
    <w:p>
      <w:pPr>
        <w:pStyle w:val="TextBody"/>
        <w:spacing w:before="0" w:after="200"/>
        <w:ind w:left="1440" w:right="0" w:hanging="0"/>
        <w:jc w:val="both"/>
        <w:rPr>
          <w:sz w:val="17"/>
        </w:rPr>
      </w:pPr>
      <w:r>
        <w:rPr>
          <w:sz w:val="17"/>
          <w:u w:val="single"/>
        </w:rPr>
        <w:t>Time Deposits</w:t>
      </w:r>
      <w:r>
        <w:rPr>
          <w:sz w:val="17"/>
        </w:rPr>
        <w:t xml:space="preserve"> </w:t>
      </w:r>
    </w:p>
    <w:p>
      <w:pPr>
        <w:pStyle w:val="TextBody"/>
        <w:spacing w:before="0" w:after="200"/>
        <w:ind w:left="1440" w:right="0" w:firstLine="720"/>
        <w:jc w:val="both"/>
        <w:rPr>
          <w:sz w:val="17"/>
        </w:rPr>
      </w:pPr>
      <w:r>
        <w:rPr>
          <w:sz w:val="17"/>
        </w:rPr>
        <w:t xml:space="preserve">Time deposits are cash depository investments in which the original maturity of the investments is greater than 90 days.  During May 2012, we purchased $8.0 million in U.S. dollar time deposits in Australia which mature on January 3, 2013 having an interest rate of 0.48%. </w:t>
      </w:r>
    </w:p>
    <w:p>
      <w:pPr>
        <w:pStyle w:val="TextBody"/>
        <w:spacing w:before="0" w:after="200"/>
        <w:ind w:left="1440" w:right="0" w:hanging="0"/>
        <w:jc w:val="both"/>
        <w:rPr>
          <w:sz w:val="17"/>
        </w:rPr>
      </w:pPr>
      <w:r>
        <w:rPr>
          <w:sz w:val="17"/>
          <w:u w:val="single"/>
        </w:rPr>
        <w:t>Receivables</w:t>
      </w:r>
      <w:r>
        <w:rPr>
          <w:sz w:val="17"/>
        </w:rPr>
        <w:t xml:space="preserve"> </w:t>
      </w:r>
    </w:p>
    <w:p>
      <w:pPr>
        <w:pStyle w:val="TextBody"/>
        <w:spacing w:before="0" w:after="200"/>
        <w:ind w:left="1440" w:right="0" w:firstLine="720"/>
        <w:jc w:val="both"/>
        <w:rPr>
          <w:sz w:val="17"/>
        </w:rPr>
      </w:pPr>
      <w:r>
        <w:rPr>
          <w:sz w:val="17"/>
        </w:rPr>
        <w:t xml:space="preserve">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have established an allowance for accounts that we deem uncollectible.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u w:val="single"/>
        </w:rPr>
        <w:t>Inventory</w:t>
      </w:r>
      <w:r>
        <w:rPr>
          <w:sz w:val="17"/>
        </w:rPr>
        <w:t xml:space="preserve"> </w:t>
      </w:r>
    </w:p>
    <w:p>
      <w:pPr>
        <w:pStyle w:val="TextBody"/>
        <w:spacing w:before="0" w:after="200"/>
        <w:ind w:left="1440" w:right="0" w:firstLine="720"/>
        <w:jc w:val="both"/>
        <w:rPr>
          <w:sz w:val="17"/>
        </w:rPr>
      </w:pPr>
      <w:r>
        <w:rPr>
          <w:sz w:val="17"/>
        </w:rPr>
        <w:t xml:space="preserve">Inventory is composed of concession goods used in theater operations and is stated at the lower of cost (first-in, first-out method) or net realizable value. </w:t>
      </w:r>
    </w:p>
    <w:p>
      <w:pPr>
        <w:pStyle w:val="TextBody"/>
        <w:spacing w:before="0" w:after="200"/>
        <w:ind w:left="1440" w:right="0" w:hanging="0"/>
        <w:jc w:val="both"/>
        <w:rPr>
          <w:sz w:val="17"/>
        </w:rPr>
      </w:pPr>
      <w:r>
        <w:rPr>
          <w:sz w:val="17"/>
          <w:u w:val="single"/>
        </w:rPr>
        <w:t>Investment in Marketable Securities</w:t>
      </w:r>
      <w:r>
        <w:rPr>
          <w:sz w:val="17"/>
        </w:rPr>
        <w:t xml:space="preserve"> </w:t>
      </w:r>
    </w:p>
    <w:p>
      <w:pPr>
        <w:pStyle w:val="TextBody"/>
        <w:spacing w:before="0" w:after="200"/>
        <w:ind w:left="1440" w:right="0" w:firstLine="720"/>
        <w:jc w:val="both"/>
        <w:rPr>
          <w:sz w:val="17"/>
        </w:rPr>
      </w:pPr>
      <w:r>
        <w:rPr>
          <w:sz w:val="17"/>
        </w:rPr>
        <w:t xml:space="preserve">We account for investments in marketable debt and equity securities in accordance with Financial Accounting Standards Board (“FASB”) Accounting Standards Codification (“ASC”) 320-10 - </w:t>
      </w:r>
      <w:r>
        <w:rPr>
          <w:i/>
          <w:sz w:val="17"/>
        </w:rPr>
        <w:t>Investments—Debt and Equity Securities</w:t>
      </w:r>
      <w:r>
        <w:rPr>
          <w:sz w:val="17"/>
        </w:rPr>
        <w:t xml:space="preserve"> (“ASC 320-10”).  Our investment in Marketable Securities includes equity instruments that are classified as available for sale and are recorded at market using the specific identification method.  In accordance with ASC 320-10,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any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 temporary impairments at the end of each reporting period.  These investments have a cumulative unrealized gain of $9,000 included in other comprehensive income at December 31, 2012.  For the twelve months ended December 31, 2012, 2011, and 2010, our net unrealized losses were $2,000, $32,000, and $478,000, respectively.  The cost of securities sold is based on the specific identification method.  Interest and dividends on securities classified as available for sale are included in interest income. </w:t>
      </w:r>
    </w:p>
    <w:p>
      <w:pPr>
        <w:pStyle w:val="TextBody"/>
        <w:spacing w:before="0" w:after="200"/>
        <w:ind w:left="1440" w:right="0" w:hanging="0"/>
        <w:jc w:val="both"/>
        <w:rPr>
          <w:sz w:val="17"/>
        </w:rPr>
      </w:pPr>
      <w:r>
        <w:rPr>
          <w:sz w:val="17"/>
          <w:u w:val="single"/>
        </w:rPr>
        <w:t>Restricted Cash</w:t>
      </w:r>
      <w:r>
        <w:rPr>
          <w:sz w:val="17"/>
        </w:rPr>
        <w:t xml:space="preserve"> </w:t>
      </w:r>
    </w:p>
    <w:p>
      <w:pPr>
        <w:pStyle w:val="TextBody"/>
        <w:spacing w:before="0" w:after="200"/>
        <w:ind w:left="1440" w:right="0" w:firstLine="720"/>
        <w:jc w:val="both"/>
        <w:rPr>
          <w:sz w:val="17"/>
        </w:rPr>
      </w:pPr>
      <w:r>
        <w:rPr>
          <w:sz w:val="17"/>
        </w:rPr>
        <w:t xml:space="preserve">We classify restricted cash as those cash accounts for which the use of funds is restricted by contract or bank covenant.  At December 31, 2012 and 2011, our restricted cash balance was $2.5 million and $2.4 million, respectively, which were primarily funds held in escrow for our Mackie litigation settlement.  </w:t>
      </w:r>
    </w:p>
    <w:p>
      <w:pPr>
        <w:pStyle w:val="TextBody"/>
        <w:spacing w:before="0" w:after="200"/>
        <w:ind w:left="1440" w:right="0" w:hanging="0"/>
        <w:jc w:val="both"/>
        <w:rPr>
          <w:sz w:val="17"/>
        </w:rPr>
      </w:pPr>
      <w:r>
        <w:rPr>
          <w:sz w:val="17"/>
          <w:u w:val="single"/>
        </w:rPr>
        <w:t>Fair Value of Financial Instruments</w:t>
      </w:r>
      <w:r>
        <w:rPr>
          <w:sz w:val="17"/>
        </w:rPr>
        <w:t xml:space="preserve"> </w:t>
      </w:r>
    </w:p>
    <w:p>
      <w:pPr>
        <w:pStyle w:val="TextBody"/>
        <w:spacing w:before="0" w:after="200"/>
        <w:ind w:left="1440" w:right="0" w:firstLine="720"/>
        <w:jc w:val="both"/>
        <w:rPr>
          <w:sz w:val="17"/>
        </w:rPr>
      </w:pPr>
      <w:r>
        <w:rPr>
          <w:sz w:val="17"/>
        </w:rPr>
        <w:t xml:space="preserve">The carrying amounts of our cash and cash equivalents, accounts receivable, restricted cash, and accounts payable approximate fair value due to their short-term maturities.  See Note 16 – </w:t>
      </w:r>
      <w:r>
        <w:rPr>
          <w:i/>
          <w:sz w:val="17"/>
        </w:rPr>
        <w:t>Fair Value of Financial Instruments</w:t>
      </w:r>
      <w:r>
        <w:rPr>
          <w:sz w:val="17"/>
        </w:rPr>
        <w:t xml:space="preserve">. </w:t>
      </w:r>
    </w:p>
    <w:p>
      <w:pPr>
        <w:pStyle w:val="TextBody"/>
        <w:spacing w:before="0" w:after="200"/>
        <w:ind w:left="1440" w:right="0" w:hanging="0"/>
        <w:jc w:val="both"/>
        <w:rPr>
          <w:sz w:val="17"/>
        </w:rPr>
      </w:pPr>
      <w:r>
        <w:rPr>
          <w:sz w:val="17"/>
          <w:u w:val="single"/>
        </w:rPr>
        <w:t>Derivative Financial Instruments</w:t>
      </w:r>
      <w:r>
        <w:rPr>
          <w:sz w:val="17"/>
        </w:rPr>
        <w:t xml:space="preserve"> </w:t>
      </w:r>
    </w:p>
    <w:p>
      <w:pPr>
        <w:pStyle w:val="TextBody"/>
        <w:spacing w:before="0" w:after="200"/>
        <w:ind w:left="1440" w:right="0" w:firstLine="720"/>
        <w:jc w:val="both"/>
        <w:rPr>
          <w:sz w:val="17"/>
        </w:rPr>
      </w:pPr>
      <w:r>
        <w:rPr>
          <w:sz w:val="17"/>
        </w:rPr>
        <w:t xml:space="preserve">In accordance with FASB ASC 815-20 – </w:t>
      </w:r>
      <w:r>
        <w:rPr>
          <w:i/>
          <w:sz w:val="17"/>
        </w:rPr>
        <w:t>Derivatives and Hedging</w:t>
      </w:r>
      <w:r>
        <w:rPr>
          <w:sz w:val="17"/>
        </w:rPr>
        <w:t xml:space="preserve"> (“ASC 815-20”), we carry all derivative financial instruments on our consolidated balance sheets at fair value.  Derivatives are generally executed for interest rate management purposes but are not designated as hedges in accordance with ASC 815-20.  Therefore, changes in market values are recognized in current earnings. </w:t>
      </w:r>
    </w:p>
    <w:p>
      <w:pPr>
        <w:pStyle w:val="TextBody"/>
        <w:spacing w:before="0" w:after="200"/>
        <w:ind w:left="1440" w:right="0" w:hanging="0"/>
        <w:jc w:val="both"/>
        <w:rPr>
          <w:sz w:val="17"/>
        </w:rPr>
      </w:pPr>
      <w:r>
        <w:rPr>
          <w:sz w:val="17"/>
          <w:u w:val="single"/>
        </w:rPr>
        <w:t>Operating property</w:t>
      </w:r>
      <w:r>
        <w:rPr>
          <w:sz w:val="17"/>
        </w:rPr>
        <w:t xml:space="preserve"> </w:t>
      </w:r>
    </w:p>
    <w:p>
      <w:pPr>
        <w:pStyle w:val="TextBody"/>
        <w:spacing w:before="0" w:after="200"/>
        <w:ind w:left="1440" w:right="0" w:firstLine="720"/>
        <w:jc w:val="both"/>
        <w:rPr>
          <w:sz w:val="17"/>
        </w:rPr>
      </w:pPr>
      <w:r>
        <w:rPr>
          <w:sz w:val="17"/>
        </w:rPr>
        <w:t xml:space="preserve">Operating property consists of land, buildings and improvements, leasehold improvements, fixtures and equipment which we use to derive operating income associated with our two business segments, cinema exhibition and real estate.  Buildings and improvements, leasehold improvements, fixtures and equipment initially recorded at the lower of cost or fair market value and depreciated over the useful lives of the related assets.  In accordance with US GAAP, land is not depreciated. </w:t>
      </w:r>
    </w:p>
    <w:p>
      <w:pPr>
        <w:pStyle w:val="TextBody"/>
        <w:spacing w:before="0" w:after="200"/>
        <w:ind w:left="1440" w:right="0" w:hanging="0"/>
        <w:jc w:val="both"/>
        <w:rPr>
          <w:sz w:val="17"/>
        </w:rPr>
      </w:pPr>
      <w:r>
        <w:rPr>
          <w:sz w:val="17"/>
          <w:u w:val="single"/>
        </w:rPr>
        <w:t>Investment and Development Property</w:t>
      </w:r>
      <w:r>
        <w:rPr>
          <w:sz w:val="17"/>
        </w:rPr>
        <w:t xml:space="preserve"> </w:t>
      </w:r>
    </w:p>
    <w:p>
      <w:pPr>
        <w:pStyle w:val="TextBody"/>
        <w:spacing w:before="0" w:after="200"/>
        <w:ind w:left="1440" w:right="0" w:firstLine="720"/>
        <w:jc w:val="both"/>
        <w:rPr>
          <w:sz w:val="17"/>
        </w:rPr>
      </w:pPr>
      <w:r>
        <w:rPr>
          <w:sz w:val="17"/>
        </w:rPr>
        <w:t xml:space="preserve">Investment and development property consists of land, new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investment and development property are building and improvement costs directly associated with the development of potential cinemas (whether for sale or lease), the development of entertainment themed retail centers (“ETRCs”), or other improvements to real property.  As incurred, we expense start-up costs (such as pre-opening cinema advertising and training expense) and other costs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  During the year-ended December 31, 2009, we decided to curtail our current development progress on certain Australian and New Zealand land development projects.  As a result, these properties are considered held for development and we have not capitalized interest for these projects and will not do so, until the development work recommences.  </w:t>
      </w:r>
    </w:p>
    <w:p>
      <w:pPr>
        <w:pStyle w:val="TextBody"/>
        <w:spacing w:before="0" w:after="200"/>
        <w:ind w:left="1440" w:right="0" w:firstLine="720"/>
        <w:jc w:val="both"/>
        <w:rPr>
          <w:sz w:val="17"/>
        </w:rPr>
      </w:pPr>
      <w:r>
        <w:rPr>
          <w:sz w:val="17"/>
        </w:rPr>
        <w:t xml:space="preserve">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a former brickworks site, was greater than we had originally believed.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  As of December 31, 2012, we estimate that the total site preparation costs associated with the removal of this contaminated soil will be $17.7 million (AUS$17.1 million) and as of that date we had incurred a total of $8.6 million (AUS$8.3 million) of these costs.  In accordance with FASB ASC 410-30-25 – </w:t>
      </w:r>
      <w:r>
        <w:rPr>
          <w:i/>
          <w:sz w:val="17"/>
        </w:rPr>
        <w:t>Environmental Obligations</w:t>
      </w:r>
      <w:r>
        <w:rPr>
          <w:sz w:val="17"/>
        </w:rPr>
        <w:t xml:space="preserve">, contamination clean up costs that improve the property from its original acquisition state are capitalized as part of the property’s overall development costs. </w:t>
      </w:r>
    </w:p>
    <w:p>
      <w:pPr>
        <w:pStyle w:val="TextBody"/>
        <w:spacing w:before="0" w:after="200"/>
        <w:ind w:left="1440" w:right="0" w:hanging="0"/>
        <w:jc w:val="both"/>
        <w:rPr>
          <w:sz w:val="17"/>
        </w:rPr>
      </w:pPr>
      <w:r>
        <w:rPr>
          <w:sz w:val="17"/>
          <w:u w:val="single"/>
        </w:rPr>
        <w:t>Accounting for the Impairment of Long Lived Assets</w:t>
      </w:r>
      <w:r>
        <w:rPr>
          <w:sz w:val="17"/>
        </w:rPr>
        <w:t xml:space="preserve"> </w:t>
      </w:r>
    </w:p>
    <w:p>
      <w:pPr>
        <w:pStyle w:val="TextBody"/>
        <w:spacing w:before="0" w:after="200"/>
        <w:ind w:left="1440" w:right="0" w:firstLine="720"/>
        <w:jc w:val="both"/>
        <w:rPr>
          <w:sz w:val="17"/>
        </w:rPr>
      </w:pPr>
      <w:r>
        <w:rPr>
          <w:sz w:val="17"/>
        </w:rPr>
        <w:t xml:space="preserve">We assess whether there has been impairment in the value of our long-lived assets whenever events or changes in circumstances indicate the carrying amount of an asset may not be recoverable.  Recoverability of assets to be held and used is then measured by a comparison of the carrying amount to the future net cash flows, undiscounted and without interest, expected to be generated by the asset.  If such assets are considered impaired, the impairment to be recognized is measured by the amount by which the carrying amount of the assets exceeds the fair value of the assets.  Assets to be disposed of are reported at the lower of the carrying amount or fair value, less costs to sell.  We recorded impairment losses of approximately $1.5 million, $369,000, and $2.2 million, relating to certain of our operating property and investment and development property for the years ended December 31, 2012, 2011, and 2010, respectively.  The impairments reflect our estimates of fair value which were based on appraisals or a discounted income approach with market based assumptions.  Our impairment calculations contain uncertainties and use significant estimates and judgments, and are based on the information available at the balance sheet date.  Future economic and other events could negatively impact the evaluation and future material impairment charges may become necessary.  We evaluate our joint venture investments for other than temporary impairments in accordance with FASB ASC 318-10 – </w:t>
      </w:r>
      <w:r>
        <w:rPr>
          <w:i/>
          <w:sz w:val="17"/>
        </w:rPr>
        <w:t>Investments—Equity Method and Joint Ventures</w:t>
      </w:r>
      <w:r>
        <w:rPr>
          <w:sz w:val="17"/>
        </w:rPr>
        <w:t xml:space="preserve">.  For a further explanation of our 2012 impairment losses see Note 7 – </w:t>
      </w:r>
      <w:r>
        <w:rPr>
          <w:i/>
          <w:sz w:val="17"/>
        </w:rPr>
        <w:t>Investment and Development Property</w:t>
      </w:r>
      <w:r>
        <w:rPr>
          <w:sz w:val="17"/>
        </w:rPr>
        <w:t xml:space="preserve">. </w:t>
      </w:r>
    </w:p>
    <w:p>
      <w:pPr>
        <w:pStyle w:val="TextBody"/>
        <w:spacing w:before="0" w:after="200"/>
        <w:ind w:left="1440" w:right="0" w:hanging="0"/>
        <w:jc w:val="both"/>
        <w:rPr>
          <w:sz w:val="17"/>
        </w:rPr>
      </w:pPr>
      <w:r>
        <w:rPr>
          <w:sz w:val="17"/>
          <w:u w:val="single"/>
        </w:rPr>
        <w:t>Variable Interest Entity</w:t>
      </w:r>
      <w:r>
        <w:rPr>
          <w:sz w:val="17"/>
        </w:rPr>
        <w:t xml:space="preserve"> </w:t>
      </w:r>
    </w:p>
    <w:p>
      <w:pPr>
        <w:pStyle w:val="TextBody"/>
        <w:spacing w:before="0" w:after="200"/>
        <w:ind w:left="1440" w:right="0" w:hanging="0"/>
        <w:jc w:val="both"/>
        <w:rPr/>
      </w:pPr>
      <w:r>
        <w:rPr/>
        <w:t>            </w:t>
      </w:r>
      <w:r>
        <w:rPr>
          <w:sz w:val="17"/>
        </w:rPr>
        <w:t xml:space="preserve">Our determination of the appropriate accounting method with respect to our investment in Reading International Trust I, which is considered a Variable Interest Entity (“VIE”), is based on FASB ASC 810-10.  We account for this VIE, of which we are not the primary beneficiary, under the equity method of accounting. </w:t>
      </w:r>
    </w:p>
    <w:p>
      <w:pPr>
        <w:pStyle w:val="TextBody"/>
        <w:spacing w:before="0" w:after="200"/>
        <w:ind w:left="1440" w:right="0" w:hanging="0"/>
        <w:jc w:val="both"/>
        <w:rPr/>
      </w:pPr>
      <w:r>
        <w:rPr/>
        <w:t>            </w:t>
      </w:r>
      <w:r>
        <w:rPr>
          <w:sz w:val="17"/>
        </w:rPr>
        <w:t xml:space="preserve">We determine if an entity is a VIE under FASB ASC 810-10 based on several factors, including whether the entity’s total equity investment at risk upon inception is sufficient to finance the entity’s activities without additional subordinated financial support.  We make judgments regarding the sufficiency of the equity at risk based first on a qualitative analysis, then a quantitative analysis, if necessary.  In a quantitative analysis, we incorporate various estimates, including estimated future cash flows, asset hold periods and discount rates, as well as estimates of the probabilities of various scenarios occurring.  If the entity is a VIE, we then determine whether we consolidate the entity as the primary beneficiary.  We determine whether an entity is a VIE and, if so, whether it should be consolidated by utilizing judgments and estimates that are inherently subjective.  If we made different judgments or utilized different estimates in these evaluations, it could result in differing conclusions as to whether or not an entity is a VIE and whether or not to consolidate such entity.  Our investments in unconsolidated entities in which we have the ability to exercise significant influence over operating and financial policies, but do not control, or entities which are variable interest entities in which we are not the primary beneficiary are accounted for under the equity method.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pPr>
      <w:r>
        <w:rPr/>
        <w:t>            </w:t>
      </w:r>
      <w:r>
        <w:rPr>
          <w:sz w:val="17"/>
        </w:rPr>
        <w:t xml:space="preserve">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 (loss) of this equity method entity is included in consolidated net income (loss).  We have no implicit or explicit obligation to further fund our investment in Reading International Trust I. </w:t>
      </w:r>
    </w:p>
    <w:p>
      <w:pPr>
        <w:pStyle w:val="TextBody"/>
        <w:spacing w:before="0" w:after="200"/>
        <w:ind w:left="1440" w:right="0" w:hanging="0"/>
        <w:jc w:val="both"/>
        <w:rPr>
          <w:sz w:val="17"/>
        </w:rPr>
      </w:pPr>
      <w:r>
        <w:rPr>
          <w:sz w:val="17"/>
          <w:u w:val="single"/>
        </w:rPr>
        <w:t>Goodwill and Intangible Assets</w:t>
      </w:r>
      <w:r>
        <w:rPr>
          <w:sz w:val="17"/>
        </w:rPr>
        <w:t xml:space="preserve"> </w:t>
      </w:r>
    </w:p>
    <w:p>
      <w:pPr>
        <w:pStyle w:val="TextBody"/>
        <w:spacing w:before="0" w:after="200"/>
        <w:ind w:left="1440" w:right="0" w:firstLine="720"/>
        <w:jc w:val="both"/>
        <w:rPr>
          <w:sz w:val="17"/>
        </w:rPr>
      </w:pPr>
      <w:r>
        <w:rPr>
          <w:sz w:val="17"/>
        </w:rPr>
        <w:t xml:space="preserve">We use the purchase method of accounting for all business combinations.  Goodwill and intangible assets with indefinite useful lives are not amortized, but instead, tested for impairment at least annually.  Prior to conducting our goodwill impairment analysis, we assess long-lived assets for impairment in accordance with FASB ASC 360-15 - </w:t>
      </w:r>
      <w:r>
        <w:rPr>
          <w:i/>
          <w:sz w:val="17"/>
        </w:rPr>
        <w:t>Impairment or Disposal of Long-Lived Assets</w:t>
      </w:r>
      <w:r>
        <w:rPr>
          <w:sz w:val="17"/>
        </w:rPr>
        <w:t xml:space="preserve"> (“ASC 360-15”).  We then perform the impairment analysis at the reporting unit level (one level below the operating segment level) (see Note 10 – </w:t>
      </w:r>
      <w:r>
        <w:rPr>
          <w:i/>
          <w:sz w:val="17"/>
        </w:rPr>
        <w:t>Goodwill and Intangibles</w:t>
      </w:r>
      <w:r>
        <w:rPr>
          <w:sz w:val="17"/>
        </w:rPr>
        <w:t xml:space="preserve">) as defined by FASB ASC 350-35 – </w:t>
      </w:r>
      <w:r>
        <w:rPr>
          <w:i/>
          <w:sz w:val="17"/>
        </w:rPr>
        <w:t>Goodwill Subsequent Measurement</w:t>
      </w:r>
      <w:r>
        <w:rPr>
          <w:sz w:val="17"/>
        </w:rPr>
        <w:t xml:space="preserve"> (“ASC 350-35”).  This analysis requires management to make a series of critical assumptions to: (1) evaluate whether any impairment exists; and (2) measure the amount of impairment.  We estimate the fair value of our reporting units as compared with their current book value.  If the estimated fair value of a reporting unit is less than the book value, then impairment is deemed to have occurred.  In estimating the fair value of our reporting units, we primarily use the income approach (which uses forecasted, discounted cash flows to estimate the fair value of the reporting unit).  For the year ended December 31, 2010, in accordance with the sale agreement of Consolidated Entertainment, the initial aggregate purchase price of the cinemas was adjusted down by $16.9 million resulting in a corresponding decrease in goodwill associated with the purchased cinemas.  No further adjustments are anticipated for this transaction.  The resulting net goodwill balance associated with this transaction is $1.7 million at December 31, 2012 and 2011. </w:t>
      </w:r>
    </w:p>
    <w:p>
      <w:pPr>
        <w:pStyle w:val="TextBody"/>
        <w:spacing w:before="0" w:after="200"/>
        <w:ind w:left="1440" w:right="0" w:hanging="0"/>
        <w:jc w:val="both"/>
        <w:rPr>
          <w:sz w:val="17"/>
        </w:rPr>
      </w:pPr>
      <w:r>
        <w:rPr>
          <w:sz w:val="17"/>
          <w:u w:val="single"/>
        </w:rPr>
        <w:t>Discontinued Operations and Properties Held for Sale</w:t>
      </w:r>
      <w:r>
        <w:rPr>
          <w:sz w:val="17"/>
        </w:rPr>
        <w:t xml:space="preserve"> </w:t>
      </w:r>
    </w:p>
    <w:p>
      <w:pPr>
        <w:pStyle w:val="TextBody"/>
        <w:spacing w:before="0" w:after="200"/>
        <w:ind w:left="1440" w:right="0" w:firstLine="720"/>
        <w:jc w:val="both"/>
        <w:rPr>
          <w:sz w:val="17"/>
        </w:rPr>
      </w:pPr>
      <w:r>
        <w:rPr>
          <w:sz w:val="17"/>
        </w:rPr>
        <w:t xml:space="preserve">In accordance with ASC 360-15, the revenue, expenses and net gain on dispositions of operating properties and the revenue and expenses on properties classified as held for sale are reported in the consolidated statements of operations as discontinued operations for all periods presented through the date of the respective disposition.  The net gain (loss) on disposition is included in the period the property is sold.  In determining whether the income and loss and net gain on dispositions of operating properties is reported as discontinued operations, we evaluate whether we have any significant continuing involvement in the operations, leasing or management of the sold property in accordance with FASB ASC 205-20 – </w:t>
      </w:r>
      <w:r>
        <w:rPr>
          <w:i/>
          <w:sz w:val="17"/>
        </w:rPr>
        <w:t>Presentation of Financial Statements – Discontinued Operations</w:t>
      </w:r>
      <w:r>
        <w:rPr>
          <w:sz w:val="17"/>
        </w:rPr>
        <w:t xml:space="preserve"> (“ASC 205-20”).  If we were to determine that there was any significant continuing involvement, the income and loss and net gain on dispositions of the operating property would not be recorded in discontinued operations. </w:t>
      </w:r>
    </w:p>
    <w:p>
      <w:pPr>
        <w:pStyle w:val="TextBody"/>
        <w:spacing w:before="0" w:after="200"/>
        <w:ind w:left="1440" w:right="0" w:firstLine="720"/>
        <w:jc w:val="both"/>
        <w:rPr>
          <w:sz w:val="17"/>
        </w:rPr>
      </w:pPr>
      <w:r>
        <w:rPr>
          <w:sz w:val="17"/>
        </w:rPr>
        <w:t xml:space="preserve">A property is classified as held for sale when certain criteria, as set forth under ASC 360-15, are met.  At such time,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For a description of the properties previously held for sale see Note 9 – </w:t>
      </w:r>
      <w:r>
        <w:rPr>
          <w:i/>
          <w:sz w:val="17"/>
        </w:rPr>
        <w:t>Transfer of Held for Sale Real Estate to Continuing Operations and Related Items</w:t>
      </w:r>
      <w:r>
        <w:rPr>
          <w:sz w:val="17"/>
        </w:rPr>
        <w:t xml:space="preserve">.  These asset transfers from held for sale to operating resulted in a reclassification of their operating results which is reflected in our December 31, 2012, 2011, and 2010 Consolidated Statements of Operations. </w:t>
      </w:r>
    </w:p>
    <w:p>
      <w:pPr>
        <w:pStyle w:val="TextBody"/>
        <w:spacing w:before="0" w:after="200"/>
        <w:ind w:left="1440" w:right="0" w:hanging="0"/>
        <w:jc w:val="both"/>
        <w:rPr>
          <w:sz w:val="17"/>
        </w:rPr>
      </w:pPr>
      <w:r>
        <w:rPr>
          <w:sz w:val="17"/>
          <w:u w:val="single"/>
        </w:rPr>
        <w:t>Revenue Recognition</w:t>
      </w:r>
      <w:r>
        <w:rPr>
          <w:sz w:val="17"/>
        </w:rPr>
        <w:t xml:space="preserve"> </w:t>
      </w:r>
    </w:p>
    <w:p>
      <w:pPr>
        <w:pStyle w:val="TextBody"/>
        <w:spacing w:before="0" w:after="200"/>
        <w:ind w:left="1440" w:right="0" w:firstLine="720"/>
        <w:jc w:val="both"/>
        <w:rPr>
          <w:sz w:val="17"/>
        </w:rPr>
      </w:pPr>
      <w:r>
        <w:rPr>
          <w:sz w:val="17"/>
        </w:rPr>
        <w:t xml:space="preserve">Revenue from cinema ticket sales and concession sales are recognized when sold.  Revenue from gift certificate sales is deferred and recognized when the certificates are redeemed.  Rental revenue is recognized on a straight-line basis in accordance with FASB ASC 840-20-25 – </w:t>
      </w:r>
      <w:r>
        <w:rPr>
          <w:i/>
          <w:sz w:val="17"/>
        </w:rPr>
        <w:t xml:space="preserve">Leases Having Both Scheduled Rent Increases and Contingent Rents </w:t>
      </w:r>
      <w:r>
        <w:rPr>
          <w:sz w:val="17"/>
        </w:rPr>
        <w:t xml:space="preserve">(“ASC 840-20-25”).  </w:t>
      </w:r>
    </w:p>
    <w:p>
      <w:pPr>
        <w:pStyle w:val="TextBody"/>
        <w:spacing w:before="0" w:after="200"/>
        <w:ind w:left="1440" w:right="0" w:hanging="0"/>
        <w:jc w:val="both"/>
        <w:rPr>
          <w:sz w:val="17"/>
        </w:rPr>
      </w:pPr>
      <w:r>
        <w:rPr>
          <w:sz w:val="17"/>
          <w:u w:val="single"/>
        </w:rPr>
        <w:t>Deferred Leasing/Financing Costs</w:t>
      </w:r>
      <w:r>
        <w:rPr>
          <w:sz w:val="17"/>
        </w:rPr>
        <w:t xml:space="preserve"> </w:t>
      </w:r>
    </w:p>
    <w:p>
      <w:pPr>
        <w:pStyle w:val="TextBody"/>
        <w:spacing w:before="0" w:after="200"/>
        <w:ind w:left="1440" w:right="0" w:firstLine="720"/>
        <w:jc w:val="both"/>
        <w:rPr>
          <w:sz w:val="17"/>
        </w:rPr>
      </w:pPr>
      <w:r>
        <w:rPr>
          <w:sz w:val="17"/>
        </w:rPr>
        <w:t xml:space="preserve">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result is not materially different.  In addition, interest on loans with increasing interest rates and scheduled principal pre-payments are also recognized on the effective interest method. </w:t>
      </w:r>
    </w:p>
    <w:p>
      <w:pPr>
        <w:pStyle w:val="TextBody"/>
        <w:spacing w:before="0" w:after="200"/>
        <w:ind w:left="1440" w:right="0" w:hanging="0"/>
        <w:jc w:val="both"/>
        <w:rPr>
          <w:sz w:val="17"/>
        </w:rPr>
      </w:pPr>
      <w:r>
        <w:rPr>
          <w:sz w:val="17"/>
          <w:u w:val="single"/>
        </w:rPr>
        <w:t>Advertising Expense</w:t>
      </w:r>
      <w:r>
        <w:rPr>
          <w:sz w:val="17"/>
        </w:rPr>
        <w:t xml:space="preserve"> </w:t>
      </w:r>
    </w:p>
    <w:p>
      <w:pPr>
        <w:pStyle w:val="TextBody"/>
        <w:spacing w:before="0" w:after="200"/>
        <w:ind w:left="1440" w:right="0" w:hanging="0"/>
        <w:jc w:val="both"/>
        <w:rPr/>
      </w:pPr>
      <w:r>
        <w:rPr/>
        <w:t>            </w:t>
      </w:r>
      <w:r>
        <w:rPr>
          <w:sz w:val="17"/>
        </w:rPr>
        <w:t xml:space="preserve">We expense our advertising as incurred.  The amount of our advertising expense was $3.8 million, $3.8 million, and $3.8 million for the years ended December 2012, 2011, and 2010, respectively. </w:t>
      </w:r>
    </w:p>
    <w:p>
      <w:pPr>
        <w:pStyle w:val="TextBody"/>
        <w:spacing w:before="0" w:after="200"/>
        <w:ind w:left="1440" w:right="0" w:hanging="0"/>
        <w:jc w:val="both"/>
        <w:rPr>
          <w:sz w:val="17"/>
        </w:rPr>
      </w:pPr>
      <w:r>
        <w:rPr>
          <w:sz w:val="17"/>
          <w:u w:val="single"/>
        </w:rPr>
        <w:t>Other Income/Expense</w:t>
      </w:r>
      <w:r>
        <w:rPr>
          <w:sz w:val="17"/>
        </w:rPr>
        <w:t xml:space="preserve"> </w:t>
      </w:r>
    </w:p>
    <w:p>
      <w:pPr>
        <w:pStyle w:val="TextBody"/>
        <w:spacing w:before="0" w:after="200"/>
        <w:ind w:left="1440" w:right="0" w:hanging="0"/>
        <w:jc w:val="both"/>
        <w:rPr/>
      </w:pPr>
      <w:r>
        <w:rPr/>
        <w:t>            </w:t>
      </w:r>
      <w:r>
        <w:rPr>
          <w:sz w:val="17"/>
        </w:rPr>
        <w:t xml:space="preserve">For the years ended December 31, 2012, 2011, and 2010, we recorded gains/(losses) on the settlement of litigation of ($194,000), $0, and ($808,000), respectively, included in other income (expense). </w:t>
      </w:r>
    </w:p>
    <w:p>
      <w:pPr>
        <w:pStyle w:val="TextBody"/>
        <w:spacing w:before="0" w:after="200"/>
        <w:ind w:left="1440" w:right="0" w:hanging="0"/>
        <w:jc w:val="both"/>
        <w:rPr>
          <w:sz w:val="17"/>
        </w:rPr>
      </w:pPr>
      <w:r>
        <w:rPr>
          <w:sz w:val="17"/>
          <w:u w:val="single"/>
        </w:rPr>
        <w:t>Depreciation and Amortization</w:t>
      </w:r>
      <w:r>
        <w:rPr>
          <w:sz w:val="17"/>
        </w:rPr>
        <w:t xml:space="preserve"> </w:t>
      </w:r>
    </w:p>
    <w:p>
      <w:pPr>
        <w:pStyle w:val="TextBody"/>
        <w:spacing w:before="0" w:after="200"/>
        <w:ind w:left="1440" w:right="0" w:firstLine="720"/>
        <w:jc w:val="both"/>
        <w:rPr>
          <w:sz w:val="17"/>
        </w:rPr>
      </w:pPr>
      <w:r>
        <w:rPr>
          <w:sz w:val="17"/>
        </w:rPr>
        <w:t xml:space="preserve">Depreciation and amortization are provided using the straight-line method over the estimated useful lives of the assets.  The estimated useful lives are generally as follows: </w:t>
      </w:r>
    </w:p>
    <w:tbl>
      <w:tblPr>
        <w:tblW w:w="6415" w:type="dxa"/>
        <w:jc w:val="center"/>
        <w:tblInd w:w="0" w:type="dxa"/>
        <w:tblCellMar>
          <w:top w:w="0" w:type="dxa"/>
          <w:left w:w="0" w:type="dxa"/>
          <w:bottom w:w="0" w:type="dxa"/>
          <w:right w:w="0" w:type="dxa"/>
        </w:tblCellMar>
      </w:tblPr>
      <w:tblGrid>
        <w:gridCol w:w="1970"/>
        <w:gridCol w:w="4445"/>
      </w:tblGrid>
      <w:tr>
        <w:trPr/>
        <w:tc>
          <w:tcPr>
            <w:tcW w:w="1970" w:type="dxa"/>
            <w:tcBorders/>
            <w:shd w:fill="auto" w:val="clear"/>
          </w:tcPr>
          <w:p>
            <w:pPr>
              <w:pStyle w:val="TableContents"/>
              <w:spacing w:before="0" w:after="0"/>
              <w:ind w:left="0" w:right="0" w:hanging="0"/>
              <w:jc w:val="both"/>
              <w:rPr/>
            </w:pPr>
            <w:r>
              <w:rPr/>
              <w:t> </w:t>
            </w:r>
          </w:p>
        </w:tc>
        <w:tc>
          <w:tcPr>
            <w:tcW w:w="4445" w:type="dxa"/>
            <w:tcBorders/>
            <w:shd w:fill="auto" w:val="clear"/>
          </w:tcPr>
          <w:p>
            <w:pPr>
              <w:pStyle w:val="TableContents"/>
              <w:spacing w:before="0" w:after="200"/>
              <w:ind w:left="0" w:right="0" w:hanging="0"/>
              <w:jc w:val="both"/>
              <w:rPr/>
            </w:pPr>
            <w:r>
              <w:rPr/>
              <w:t> </w:t>
            </w:r>
          </w:p>
        </w:tc>
      </w:tr>
      <w:tr>
        <w:trPr/>
        <w:tc>
          <w:tcPr>
            <w:tcW w:w="1970"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Building and improvements</w:t>
            </w:r>
          </w:p>
        </w:tc>
        <w:tc>
          <w:tcPr>
            <w:tcW w:w="4445"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15-40 years</w:t>
            </w:r>
          </w:p>
        </w:tc>
      </w:tr>
      <w:tr>
        <w:trPr/>
        <w:tc>
          <w:tcPr>
            <w:tcW w:w="1970"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Leasehold improvement</w:t>
            </w:r>
          </w:p>
        </w:tc>
        <w:tc>
          <w:tcPr>
            <w:tcW w:w="4445"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Shorter of the life of the lease or useful life of the improvement</w:t>
            </w:r>
          </w:p>
        </w:tc>
      </w:tr>
      <w:tr>
        <w:trPr/>
        <w:tc>
          <w:tcPr>
            <w:tcW w:w="1970"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Theater equipment</w:t>
            </w:r>
          </w:p>
        </w:tc>
        <w:tc>
          <w:tcPr>
            <w:tcW w:w="4445"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7 years</w:t>
            </w:r>
          </w:p>
        </w:tc>
      </w:tr>
      <w:tr>
        <w:trPr/>
        <w:tc>
          <w:tcPr>
            <w:tcW w:w="1970"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Furniture and fixtures</w:t>
            </w:r>
          </w:p>
        </w:tc>
        <w:tc>
          <w:tcPr>
            <w:tcW w:w="4445"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5 – 10 years</w:t>
            </w:r>
          </w:p>
        </w:tc>
      </w:tr>
    </w:tbl>
    <w:p>
      <w:pPr>
        <w:pStyle w:val="TextBody"/>
        <w:spacing w:before="240" w:after="200"/>
        <w:ind w:left="1440" w:right="0" w:hanging="0"/>
        <w:jc w:val="both"/>
        <w:rPr>
          <w:sz w:val="17"/>
        </w:rPr>
      </w:pPr>
      <w:r>
        <w:rPr>
          <w:sz w:val="17"/>
          <w:u w:val="single"/>
        </w:rPr>
        <w:t>Translation of Non-U.S. Currency Amounts</w:t>
      </w:r>
      <w:r>
        <w:rPr>
          <w:sz w:val="17"/>
        </w:rPr>
        <w:t xml:space="preserve"> </w:t>
      </w:r>
    </w:p>
    <w:p>
      <w:pPr>
        <w:pStyle w:val="TextBody"/>
        <w:spacing w:before="0" w:after="200"/>
        <w:ind w:left="1440" w:right="0" w:firstLine="720"/>
        <w:jc w:val="both"/>
        <w:rPr>
          <w:sz w:val="17"/>
        </w:rPr>
      </w:pPr>
      <w:r>
        <w:rPr>
          <w:sz w:val="17"/>
        </w:rPr>
        <w:t xml:space="preserve">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  </w:t>
      </w:r>
    </w:p>
    <w:p>
      <w:pPr>
        <w:pStyle w:val="TextBody"/>
        <w:spacing w:before="0" w:after="200"/>
        <w:ind w:left="1440" w:right="0" w:hanging="0"/>
        <w:jc w:val="both"/>
        <w:rPr/>
      </w:pPr>
      <w:r>
        <w:rPr/>
        <w:t>            </w:t>
      </w:r>
      <w:r>
        <w:rPr>
          <w:sz w:val="17"/>
        </w:rPr>
        <w:t xml:space="preserve">The carrying value of our Australian and New Zealand assets fluctuates due to changes in the exchange rate between the U.S. dollar and the Australian and New Zealand dollars.  The exchange rates of the U.S. dollar to the Australian dollar were $1.0393 and $1.0251 as of December 31, 2012 and 2011, respectively.  The exchange rates of the U.S. dollar to the New Zealand dollar were $0.8267 and $0.7805 as of December 31, 2012 and 2011, respectively. </w:t>
      </w:r>
    </w:p>
    <w:p>
      <w:pPr>
        <w:pStyle w:val="TextBody"/>
        <w:spacing w:before="0" w:after="200"/>
        <w:ind w:left="1440" w:right="0" w:hanging="0"/>
        <w:jc w:val="both"/>
        <w:rPr>
          <w:sz w:val="17"/>
        </w:rPr>
      </w:pPr>
      <w:r>
        <w:rPr>
          <w:sz w:val="17"/>
          <w:u w:val="single"/>
        </w:rPr>
        <w:t>Income Taxes</w:t>
      </w:r>
      <w:r>
        <w:rPr>
          <w:sz w:val="17"/>
        </w:rPr>
        <w:t xml:space="preserve"> </w:t>
      </w:r>
    </w:p>
    <w:p>
      <w:pPr>
        <w:pStyle w:val="TextBody"/>
        <w:spacing w:before="0" w:after="200"/>
        <w:ind w:left="1440" w:right="0" w:hanging="0"/>
        <w:jc w:val="both"/>
        <w:rPr/>
      </w:pPr>
      <w:r>
        <w:rPr/>
        <w:t>            </w:t>
      </w:r>
      <w:r>
        <w:rPr>
          <w:sz w:val="17"/>
        </w:rPr>
        <w:t xml:space="preserve">We account for income taxes under FASB ASC 740-10 – </w:t>
      </w:r>
      <w:r>
        <w:rPr>
          <w:i/>
          <w:sz w:val="17"/>
        </w:rPr>
        <w:t>Income Taxes</w:t>
      </w:r>
      <w:r>
        <w:rPr>
          <w:sz w:val="17"/>
        </w:rPr>
        <w:t xml:space="preserve"> (“ASC 740-10”), which prescribes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Valuation allowances are established, when necessary, to reduce deferred tax assets to the amount expected to be realized.  Income tax expense (benefit) is the tax payable (refundable) for the period and the change during the period in deferred tax assets and liabilities. </w:t>
      </w:r>
    </w:p>
    <w:p>
      <w:pPr>
        <w:pStyle w:val="TextBody"/>
        <w:spacing w:before="0" w:after="200"/>
        <w:ind w:left="1440" w:right="0" w:hanging="0"/>
        <w:jc w:val="both"/>
        <w:rPr/>
      </w:pPr>
      <w:r>
        <w:rPr/>
        <w:t>            </w:t>
      </w:r>
      <w:r>
        <w:rPr>
          <w:sz w:val="17"/>
        </w:rPr>
        <w:t xml:space="preserve">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  In evaluating the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objective evidence that historical results provide, we consider three years of cumulative operating income (loss).  In the event we were to determine that we would be able to realize our deferred income tax assets in the future in excess of their net recorded amount, we would make an adjustment to the valuation allowance, which would reduce the provision for income taxes. </w:t>
      </w:r>
    </w:p>
    <w:p>
      <w:pPr>
        <w:pStyle w:val="TextBody"/>
        <w:spacing w:before="0" w:after="200"/>
        <w:ind w:left="1440" w:right="0" w:hanging="0"/>
        <w:jc w:val="both"/>
        <w:rPr/>
      </w:pPr>
      <w:r>
        <w:rPr/>
        <w:t>            </w:t>
      </w:r>
      <w:r>
        <w:rPr>
          <w:sz w:val="17"/>
        </w:rPr>
        <w:t xml:space="preserve">ASC 740-10 provides that a tax benefit from an uncertain tax position may be recognized when it is more likely than not that the position will be sustained upon examination, including resolutions of any related appeals or litigation processes, based on the technical merits. </w:t>
      </w:r>
    </w:p>
    <w:p>
      <w:pPr>
        <w:pStyle w:val="TextBody"/>
        <w:spacing w:before="0" w:after="200"/>
        <w:ind w:left="1440" w:right="0" w:hanging="0"/>
        <w:jc w:val="both"/>
        <w:rPr/>
      </w:pPr>
      <w:r>
        <w:rPr/>
        <w:t>            </w:t>
      </w:r>
      <w:r>
        <w:rPr>
          <w:sz w:val="17"/>
        </w:rPr>
        <w:t xml:space="preserve">We recognize tax liabilities in accordance with ASC 740-10 and we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 </w:t>
      </w:r>
    </w:p>
    <w:p>
      <w:pPr>
        <w:pStyle w:val="TextBody"/>
        <w:spacing w:before="0" w:after="200"/>
        <w:ind w:left="1440" w:right="0" w:hanging="0"/>
        <w:jc w:val="both"/>
        <w:rPr>
          <w:sz w:val="17"/>
        </w:rPr>
      </w:pPr>
      <w:r>
        <w:rPr>
          <w:sz w:val="17"/>
          <w:u w:val="single"/>
        </w:rPr>
        <w:t>Earnings Per Share</w:t>
      </w:r>
      <w:r>
        <w:rPr>
          <w:sz w:val="17"/>
        </w:rPr>
        <w:t xml:space="preserve"> </w:t>
      </w:r>
    </w:p>
    <w:p>
      <w:pPr>
        <w:pStyle w:val="TextBody"/>
        <w:spacing w:before="0" w:after="200"/>
        <w:ind w:left="1440" w:right="0" w:firstLine="720"/>
        <w:jc w:val="both"/>
        <w:rPr>
          <w:sz w:val="17"/>
        </w:rPr>
      </w:pPr>
      <w:r>
        <w:rPr>
          <w:sz w:val="17"/>
        </w:rPr>
        <w:t xml:space="preserve">Basic earnings per share is calculated using the weighted average number of shares of Class A and Class B Stock outstanding during the years ended December 31, 2012, 2011, and 2010, respectively.  Diluted earnings per share is calculated by dividing net earnings available to common stockholders by the weighted average common shares outstanding plus the dilutive effect of stock options and unvested restricted stock.  We had issued stock options to purchase 672,350, 622,350, and 622,350 shares of Class A Common Stock at December 31, 2012, 2011, and 2010, respectively, at a weighted average exercise price of $6.24, $5.65, and $5.65 per share, respectively.  Stock options to purchase 185,100, 185,100, and 185,100 shares of Class B Common Stock were outstanding at the years ended December 31, 2012, 2011, and 2010, respectively, at a weighted average exercise price of $9.90, $9.90, and $9.90 per share, respectively.  In accordance with FASB ASC 260-10 – </w:t>
      </w:r>
      <w:r>
        <w:rPr>
          <w:i/>
          <w:sz w:val="17"/>
        </w:rPr>
        <w:t>Earnings Per Share</w:t>
      </w:r>
      <w:r>
        <w:rPr>
          <w:sz w:val="17"/>
        </w:rPr>
        <w:t xml:space="preserve"> (“ASC 260-10”), for any years that we record losses from continuing operations before discontinued operations, the effect of the stock options and restricted stock are anti-dilutive and accordingly excluded from the diluted earnings per share computation (see Note 4 – </w:t>
      </w:r>
      <w:r>
        <w:rPr>
          <w:i/>
          <w:sz w:val="17"/>
        </w:rPr>
        <w:t>Earnings (Loss) Per Share</w:t>
      </w:r>
      <w:r>
        <w:rPr>
          <w:sz w:val="17"/>
        </w:rPr>
        <w:t xml:space="preserve">). </w:t>
      </w:r>
    </w:p>
    <w:p>
      <w:pPr>
        <w:pStyle w:val="TextBody"/>
        <w:spacing w:before="0" w:after="200"/>
        <w:ind w:left="1440" w:right="0" w:hanging="0"/>
        <w:jc w:val="both"/>
        <w:rPr>
          <w:sz w:val="17"/>
          <w:u w:val="single"/>
        </w:rPr>
      </w:pPr>
      <w:r>
        <w:rPr>
          <w:sz w:val="17"/>
          <w:u w:val="single"/>
        </w:rPr>
        <w:t xml:space="preserve">Real Estate Purchase Price Allocation </w:t>
      </w:r>
    </w:p>
    <w:p>
      <w:pPr>
        <w:pStyle w:val="TextBody"/>
        <w:spacing w:before="0" w:after="200"/>
        <w:ind w:left="1440" w:right="0" w:firstLine="720"/>
        <w:jc w:val="both"/>
        <w:rPr>
          <w:sz w:val="17"/>
        </w:rPr>
      </w:pPr>
      <w:r>
        <w:rPr>
          <w:sz w:val="17"/>
        </w:rPr>
        <w:t xml:space="preserve">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 </w:t>
      </w:r>
    </w:p>
    <w:p>
      <w:pPr>
        <w:pStyle w:val="TextBody"/>
        <w:spacing w:before="0" w:after="200"/>
        <w:ind w:left="1440" w:right="0" w:firstLine="720"/>
        <w:jc w:val="both"/>
        <w:rPr>
          <w:sz w:val="17"/>
        </w:rPr>
      </w:pPr>
      <w:r>
        <w:rPr>
          <w:sz w:val="17"/>
        </w:rPr>
        <w:t xml:space="preserve">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 </w:t>
      </w:r>
    </w:p>
    <w:p>
      <w:pPr>
        <w:pStyle w:val="TextBody"/>
        <w:spacing w:before="0" w:after="200"/>
        <w:ind w:left="1440" w:right="0" w:firstLine="720"/>
        <w:jc w:val="both"/>
        <w:rPr>
          <w:sz w:val="17"/>
        </w:rPr>
      </w:pPr>
      <w:r>
        <w:rPr>
          <w:sz w:val="17"/>
        </w:rPr>
        <w:t xml:space="preserve">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execute similar leases including leasing commissions, legal, and other related expenses to the extent that such costs are not already incurred in connection with a new lease origination as part of the transaction. </w:t>
      </w:r>
    </w:p>
    <w:p>
      <w:pPr>
        <w:pStyle w:val="TextBody"/>
        <w:spacing w:before="0" w:after="200"/>
        <w:ind w:left="1440" w:right="0" w:firstLine="720"/>
        <w:jc w:val="both"/>
        <w:rPr>
          <w:sz w:val="17"/>
        </w:rPr>
      </w:pPr>
      <w:r>
        <w:rPr>
          <w:sz w:val="17"/>
        </w:rPr>
        <w:t xml:space="preserve">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 </w:t>
      </w:r>
    </w:p>
    <w:p>
      <w:pPr>
        <w:pStyle w:val="TextBody"/>
        <w:spacing w:before="0" w:after="200"/>
        <w:ind w:left="1440" w:right="0" w:firstLine="720"/>
        <w:jc w:val="both"/>
        <w:rPr>
          <w:sz w:val="17"/>
        </w:rPr>
      </w:pPr>
      <w:r>
        <w:rPr>
          <w:sz w:val="17"/>
        </w:rPr>
        <w:t xml:space="preserve">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 </w:t>
      </w:r>
    </w:p>
    <w:p>
      <w:pPr>
        <w:pStyle w:val="TextBody"/>
        <w:spacing w:before="0" w:after="200"/>
        <w:ind w:left="1440" w:right="0" w:firstLine="720"/>
        <w:jc w:val="both"/>
        <w:rPr>
          <w:sz w:val="17"/>
        </w:rPr>
      </w:pPr>
      <w:r>
        <w:rPr>
          <w:sz w:val="17"/>
        </w:rPr>
        <w:t xml:space="preserve">These assessments have a direct impact on revenue and net income.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 and ultimately reduce the amount of net income. </w:t>
      </w:r>
    </w:p>
    <w:p>
      <w:pPr>
        <w:pStyle w:val="TextBody"/>
        <w:spacing w:before="0" w:after="200"/>
        <w:ind w:left="1440" w:right="0" w:hanging="0"/>
        <w:jc w:val="both"/>
        <w:rPr>
          <w:sz w:val="17"/>
        </w:rPr>
      </w:pPr>
      <w:r>
        <w:rPr>
          <w:sz w:val="17"/>
          <w:u w:val="single"/>
        </w:rPr>
        <w:t>Business Acquisition Valuations</w:t>
      </w:r>
      <w:r>
        <w:rPr>
          <w:sz w:val="17"/>
        </w:rPr>
        <w:t xml:space="preserve"> </w:t>
      </w:r>
    </w:p>
    <w:p>
      <w:pPr>
        <w:pStyle w:val="TextBody"/>
        <w:spacing w:before="0" w:after="200"/>
        <w:ind w:left="1440" w:right="0" w:firstLine="720"/>
        <w:jc w:val="both"/>
        <w:rPr>
          <w:sz w:val="17"/>
        </w:rPr>
      </w:pPr>
      <w:r>
        <w:rPr>
          <w:sz w:val="17"/>
        </w:rPr>
        <w:t xml:space="preserve">The assets and liabilities of businesses acquired are recorded at their respective preliminary fair values as of the acquisition date in accordance with FASB ASC 805-10 – </w:t>
      </w:r>
      <w:r>
        <w:rPr>
          <w:i/>
          <w:sz w:val="17"/>
        </w:rPr>
        <w:t>Business Combinations</w:t>
      </w:r>
      <w:r>
        <w:rPr>
          <w:sz w:val="17"/>
        </w:rPr>
        <w:t xml:space="preserve"> (“ASC 805-10”).  Upon the acquisition of real properties, we allocate the purchase price of such properties to acquired tangible assets, consisting of land and building, and identified intangible assets and liabilities, consisting of the value of above market and below market leases and the value of in-place leases, based in each case on their fair values.  We use independent appraisals to assist in the determination of the fair values of the tangible assets of an acquired property (which includes land and building).  We also perform valuations and physical counts of property, plant and equipment, valuations of investments and the involuntary termination of employees, as necessary.  Costs in excess of the net fair values of assets and liabilities acquired are recorded as goodwill. </w:t>
      </w:r>
    </w:p>
    <w:p>
      <w:pPr>
        <w:pStyle w:val="TextBody"/>
        <w:spacing w:before="0" w:after="200"/>
        <w:ind w:left="1440" w:right="0" w:firstLine="720"/>
        <w:jc w:val="both"/>
        <w:rPr>
          <w:sz w:val="17"/>
        </w:rPr>
      </w:pPr>
      <w:r>
        <w:rPr>
          <w:sz w:val="17"/>
        </w:rPr>
        <w:t xml:space="preserve">We record and amortize above-market and below-market operating leases assumed in the acquisition of a business in the same way as those under real estate acquisitions. </w:t>
      </w:r>
    </w:p>
    <w:p>
      <w:pPr>
        <w:pStyle w:val="TextBody"/>
        <w:spacing w:before="0" w:after="200"/>
        <w:ind w:left="1440" w:right="0" w:firstLine="720"/>
        <w:jc w:val="both"/>
        <w:rPr>
          <w:sz w:val="17"/>
        </w:rPr>
      </w:pPr>
      <w:r>
        <w:rPr>
          <w:sz w:val="17"/>
        </w:rPr>
        <w:t xml:space="preserve">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 </w:t>
      </w:r>
    </w:p>
    <w:p>
      <w:pPr>
        <w:pStyle w:val="TextBody"/>
        <w:spacing w:before="0" w:after="200"/>
        <w:ind w:left="1440" w:right="0" w:hanging="0"/>
        <w:jc w:val="both"/>
        <w:rPr>
          <w:sz w:val="17"/>
        </w:rPr>
      </w:pPr>
      <w:r>
        <w:rPr>
          <w:sz w:val="17"/>
          <w:u w:val="single"/>
        </w:rPr>
        <w:t>Fair Value of Financial Instruments</w:t>
      </w:r>
      <w:r>
        <w:rPr>
          <w:sz w:val="17"/>
        </w:rPr>
        <w:t xml:space="preserve"> </w:t>
      </w:r>
    </w:p>
    <w:p>
      <w:pPr>
        <w:pStyle w:val="TextBody"/>
        <w:spacing w:before="0" w:after="200"/>
        <w:ind w:left="1440" w:right="0" w:firstLine="720"/>
        <w:jc w:val="both"/>
        <w:rPr>
          <w:sz w:val="17"/>
        </w:rPr>
      </w:pPr>
      <w:r>
        <w:rPr>
          <w:sz w:val="17"/>
        </w:rPr>
        <w:t xml:space="preserve">FASB ASC 820-10 – </w:t>
      </w:r>
      <w:r>
        <w:rPr>
          <w:i/>
          <w:sz w:val="17"/>
        </w:rPr>
        <w:t>Fair Value Measurements and Disclosures</w:t>
      </w:r>
      <w:r>
        <w:rPr>
          <w:sz w:val="17"/>
        </w:rPr>
        <w:t xml:space="preserve"> (“ASC 820-10”) defines fair value, establishes a framework for measuring fair value in GAAP and provides for expanded disclosure about fair value measurements.  ASC 820-10 applies to all other accounting pronouncements that require or permit fair value measurements.  </w:t>
      </w:r>
    </w:p>
    <w:p>
      <w:pPr>
        <w:pStyle w:val="TextBody"/>
        <w:spacing w:before="0" w:after="200"/>
        <w:ind w:left="1440" w:right="0" w:firstLine="720"/>
        <w:jc w:val="both"/>
        <w:rPr>
          <w:sz w:val="17"/>
        </w:rPr>
      </w:pPr>
      <w:r>
        <w:rPr>
          <w:sz w:val="17"/>
        </w:rPr>
        <w:t xml:space="preserve">The fair value of our financial assets and liabilities are disclosed in Note 16 – </w:t>
      </w:r>
      <w:r>
        <w:rPr>
          <w:i/>
          <w:sz w:val="17"/>
        </w:rPr>
        <w:t xml:space="preserve">Fair Value of Financial Instruments </w:t>
      </w:r>
      <w:r>
        <w:rPr>
          <w:sz w:val="17"/>
        </w:rPr>
        <w:t xml:space="preserve">to our consolidated financial statements.  We generally determine or calculate the fair value of financial instruments using quoted market prices in active markets when such information is available or using appropriate present value or other valuation techniques, such as discounted cash flow analyses, incorporating available market discount rate information for similar types of instruments while estimating for non-performance and liquidity risk.  These techniques are significantly affected by the assumptions used, including the discount rate, credit spreads, and estimates of future cash flow.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The financial assets and liabilities recorded at fair value in our consolidated financial statements are marketable securities and interest rate swaps/cap.  The carrying amounts of our cash and cash equivalents, restricted cash and accounts payable approximate fair value due to their short-term maturities.  The remaining financial assets and liabilities that are only disclosed at fair value are comprised of notes payable, TPS, and other debt instruments.  We estimated the fair value of our secured mortgage notes payable, our unsecured notes payable, TPS and other debt instruments by performing discounted cash flow analyses using an appropriate market discount rate.  We calculated the market discount rate by obtaining period-end treasury rates for fixed-rate debt, or LIBOR rates for variable-rate debt, for maturities that correspond to the maturities of our debt adding an appropriate credit spreads derived from information obtained from third-party financial institutions.  These credit spreads take into account factors such as our credit standing, the maturity of the debt, whether the debt is secured or unsecured, and the loan-to-value ratios of the debt. </w:t>
      </w:r>
    </w:p>
    <w:p>
      <w:pPr>
        <w:pStyle w:val="TextBody"/>
        <w:spacing w:before="0" w:after="200"/>
        <w:ind w:left="1440" w:right="0" w:firstLine="720"/>
        <w:jc w:val="both"/>
        <w:rPr>
          <w:sz w:val="17"/>
        </w:rPr>
      </w:pPr>
      <w:r>
        <w:rPr>
          <w:sz w:val="17"/>
        </w:rPr>
        <w:t xml:space="preserve">Assets and liabilities typically recorded at fair value on a non-recurring basis to which ASC 820-10 applies include: </w:t>
      </w:r>
    </w:p>
    <w:tbl>
      <w:tblPr>
        <w:tblW w:w="7630" w:type="dxa"/>
        <w:jc w:val="left"/>
        <w:tblInd w:w="1440" w:type="dxa"/>
        <w:tblCellMar>
          <w:top w:w="0" w:type="dxa"/>
          <w:left w:w="0" w:type="dxa"/>
          <w:bottom w:w="0" w:type="dxa"/>
          <w:right w:w="0" w:type="dxa"/>
        </w:tblCellMar>
      </w:tblPr>
      <w:tblGrid>
        <w:gridCol w:w="155"/>
        <w:gridCol w:w="747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475" w:type="dxa"/>
            <w:tcBorders/>
            <w:shd w:fill="auto" w:val="clear"/>
          </w:tcPr>
          <w:p>
            <w:pPr>
              <w:pStyle w:val="TableContents"/>
              <w:pBdr/>
              <w:spacing w:before="0" w:after="283"/>
              <w:jc w:val="both"/>
              <w:rPr>
                <w:sz w:val="17"/>
              </w:rPr>
            </w:pPr>
            <w:r>
              <w:rPr>
                <w:sz w:val="17"/>
              </w:rPr>
              <w:t>Non-financial assets and liabilities initially measured at fair value in an acquisition or business combination;</w:t>
            </w:r>
          </w:p>
        </w:tc>
      </w:tr>
    </w:tbl>
    <w:tbl>
      <w:tblPr>
        <w:tblW w:w="6985" w:type="dxa"/>
        <w:jc w:val="left"/>
        <w:tblInd w:w="1440" w:type="dxa"/>
        <w:tblCellMar>
          <w:top w:w="0" w:type="dxa"/>
          <w:left w:w="0" w:type="dxa"/>
          <w:bottom w:w="0" w:type="dxa"/>
          <w:right w:w="0" w:type="dxa"/>
        </w:tblCellMar>
      </w:tblPr>
      <w:tblGrid>
        <w:gridCol w:w="155"/>
        <w:gridCol w:w="683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6830" w:type="dxa"/>
            <w:tcBorders/>
            <w:shd w:fill="auto" w:val="clear"/>
          </w:tcPr>
          <w:p>
            <w:pPr>
              <w:pStyle w:val="TableContents"/>
              <w:pBdr/>
              <w:spacing w:before="0" w:after="283"/>
              <w:jc w:val="both"/>
              <w:rPr>
                <w:sz w:val="17"/>
              </w:rPr>
            </w:pPr>
            <w:r>
              <w:rPr>
                <w:sz w:val="17"/>
              </w:rPr>
              <w:t>Long-lived assets measured at fair value due to an impairment assessment under ASC 360-15; and</w:t>
            </w:r>
          </w:p>
        </w:tc>
      </w:tr>
    </w:tbl>
    <w:tbl>
      <w:tblPr>
        <w:tblW w:w="8590" w:type="dxa"/>
        <w:jc w:val="left"/>
        <w:tblInd w:w="1440" w:type="dxa"/>
        <w:tblCellMar>
          <w:top w:w="0" w:type="dxa"/>
          <w:left w:w="0" w:type="dxa"/>
          <w:bottom w:w="0" w:type="dxa"/>
          <w:right w:w="0" w:type="dxa"/>
        </w:tblCellMar>
      </w:tblPr>
      <w:tblGrid>
        <w:gridCol w:w="155"/>
        <w:gridCol w:w="843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435" w:type="dxa"/>
            <w:tcBorders/>
            <w:shd w:fill="auto" w:val="clear"/>
          </w:tcPr>
          <w:p>
            <w:pPr>
              <w:pStyle w:val="TableContents"/>
              <w:pBdr/>
              <w:spacing w:before="0" w:after="283"/>
              <w:jc w:val="both"/>
              <w:rPr>
                <w:sz w:val="17"/>
              </w:rPr>
            </w:pPr>
            <w:r>
              <w:rPr>
                <w:sz w:val="17"/>
              </w:rPr>
              <w:t xml:space="preserve">Asset retirement obligations initially measured under FASB ASC 410-20 – </w:t>
            </w:r>
            <w:r>
              <w:rPr>
                <w:i/>
                <w:sz w:val="17"/>
              </w:rPr>
              <w:t>Asset Retirement Obligations</w:t>
            </w:r>
            <w:r>
              <w:rPr>
                <w:sz w:val="17"/>
              </w:rPr>
              <w:t xml:space="preserve"> (“ASC 410-20”).</w:t>
            </w:r>
          </w:p>
        </w:tc>
      </w:tr>
    </w:tbl>
    <w:p>
      <w:pPr>
        <w:pStyle w:val="TextBody"/>
        <w:spacing w:before="200" w:after="200"/>
        <w:ind w:left="1440" w:right="0" w:hanging="0"/>
        <w:jc w:val="both"/>
        <w:rPr>
          <w:sz w:val="17"/>
        </w:rPr>
      </w:pPr>
      <w:r>
        <w:rPr>
          <w:sz w:val="17"/>
          <w:u w:val="single"/>
        </w:rPr>
        <w:t>Use of Estimates</w:t>
      </w:r>
      <w:r>
        <w:rPr>
          <w:sz w:val="17"/>
        </w:rPr>
        <w:t xml:space="preserve"> </w:t>
      </w:r>
    </w:p>
    <w:p>
      <w:pPr>
        <w:pStyle w:val="TextBody"/>
        <w:spacing w:before="0" w:after="200"/>
        <w:ind w:left="1440" w:right="0" w:firstLine="720"/>
        <w:jc w:val="both"/>
        <w:rPr>
          <w:sz w:val="17"/>
        </w:rPr>
      </w:pPr>
      <w:r>
        <w:rPr>
          <w:sz w:val="17"/>
        </w:rPr>
        <w:t xml:space="preserve">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 and expenses during the reported period.  Actual results could differ from those estimates. </w:t>
      </w:r>
    </w:p>
    <w:p>
      <w:pPr>
        <w:pStyle w:val="TextBody"/>
        <w:spacing w:before="0" w:after="200"/>
        <w:ind w:left="1440" w:right="0" w:hanging="0"/>
        <w:jc w:val="both"/>
        <w:rPr>
          <w:sz w:val="17"/>
        </w:rPr>
      </w:pPr>
      <w:r>
        <w:rPr>
          <w:sz w:val="17"/>
          <w:u w:val="single"/>
        </w:rPr>
        <w:t>Accounting Pronouncements Adopted During 2012</w:t>
      </w:r>
      <w:r>
        <w:rPr>
          <w:sz w:val="17"/>
        </w:rPr>
        <w:t xml:space="preserve"> </w:t>
      </w:r>
    </w:p>
    <w:p>
      <w:pPr>
        <w:pStyle w:val="TextBody"/>
        <w:spacing w:before="0" w:after="200"/>
        <w:ind w:left="1440" w:right="0" w:hanging="0"/>
        <w:jc w:val="both"/>
        <w:rPr>
          <w:sz w:val="17"/>
        </w:rPr>
      </w:pPr>
      <w:r>
        <w:rPr>
          <w:i/>
          <w:sz w:val="17"/>
        </w:rPr>
        <w:t>FASB ASU No. 2011-05 - Comprehensive Income (Topic 220): Presentation of Comprehensive Income</w:t>
      </w:r>
      <w:r>
        <w:rPr>
          <w:sz w:val="17"/>
        </w:rPr>
        <w:t xml:space="preserve"> </w:t>
      </w:r>
    </w:p>
    <w:p>
      <w:pPr>
        <w:pStyle w:val="TextBody"/>
        <w:spacing w:before="0" w:after="200"/>
        <w:ind w:left="1440" w:right="0" w:firstLine="720"/>
        <w:jc w:val="both"/>
        <w:rPr>
          <w:sz w:val="17"/>
        </w:rPr>
      </w:pPr>
      <w:r>
        <w:rPr>
          <w:sz w:val="17"/>
        </w:rPr>
        <w:t xml:space="preserve">ASU No. 2011-05 requires that all non-owner changes in stockholders’ equity be presented either in a single continuous statement of comprehensive income or in two separate but consecutive statements, eliminating the option to present other comprehensive income in the statement of changes in equity.  Under either choice, items that are reclassified from other comprehensive income to net income are required to be presented on the face of the financial statements where the components of net income and the components of other comprehensive income are presented.  This amendment is effective for our Company in 2012 and was applied retrospectively. </w:t>
      </w:r>
    </w:p>
    <w:p>
      <w:pPr>
        <w:pStyle w:val="TextBody"/>
        <w:spacing w:before="0" w:after="200"/>
        <w:ind w:left="1440" w:right="0" w:hanging="0"/>
        <w:jc w:val="both"/>
        <w:rPr>
          <w:sz w:val="17"/>
        </w:rPr>
      </w:pPr>
      <w:r>
        <w:rPr>
          <w:i/>
          <w:sz w:val="17"/>
        </w:rPr>
        <w:t>FASB ASU No. 2011-08 - Intangibles—Goodwill and Other</w:t>
      </w:r>
      <w:r>
        <w:rPr>
          <w:sz w:val="17"/>
        </w:rPr>
        <w:t xml:space="preserve"> </w:t>
      </w:r>
    </w:p>
    <w:p>
      <w:pPr>
        <w:pStyle w:val="TextBody"/>
        <w:spacing w:before="0" w:after="200"/>
        <w:ind w:left="1440" w:right="0" w:firstLine="720"/>
        <w:jc w:val="both"/>
        <w:rPr>
          <w:sz w:val="17"/>
        </w:rPr>
      </w:pPr>
      <w:r>
        <w:rPr>
          <w:sz w:val="17"/>
        </w:rPr>
        <w:t xml:space="preserve">ASU No. 2011-08 relates to a change in the annual test of goodwill for impairment.  The statement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This amendment is effective for annual and interim goodwill impairment tests performed for fiscal years beginning after December 15, 2011.  For our goodwill impairment testing, at least for now, we have continued to use a quantitative approach. </w:t>
      </w:r>
    </w:p>
    <w:p>
      <w:pPr>
        <w:pStyle w:val="TextBody"/>
        <w:spacing w:before="0" w:after="200"/>
        <w:ind w:left="1440" w:right="0" w:hanging="0"/>
        <w:jc w:val="both"/>
        <w:rPr>
          <w:sz w:val="17"/>
        </w:rPr>
      </w:pPr>
      <w:r>
        <w:rPr>
          <w:sz w:val="17"/>
          <w:u w:val="single"/>
        </w:rPr>
        <w:t>New Accounting Pronouncements</w:t>
      </w:r>
      <w:r>
        <w:rPr>
          <w:sz w:val="17"/>
        </w:rPr>
        <w:t xml:space="preserve"> </w:t>
      </w:r>
    </w:p>
    <w:p>
      <w:pPr>
        <w:pStyle w:val="TextBody"/>
        <w:spacing w:before="0" w:after="200"/>
        <w:ind w:left="1440" w:right="0" w:firstLine="720"/>
        <w:jc w:val="both"/>
        <w:rPr>
          <w:sz w:val="17"/>
        </w:rPr>
      </w:pPr>
      <w:r>
        <w:rPr>
          <w:sz w:val="17"/>
        </w:rPr>
        <w:t xml:space="preserve">No new pronouncements were made pertaining to our Company’s accounting during the year ended December 31, 2012.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69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firstLine="720"/>
        <w:jc w:val="both"/>
        <w:rPr/>
      </w:pPr>
      <w:r>
        <w:rPr/>
        <w:t xml:space="preserve">  </w:t>
      </w:r>
    </w:p>
    <w:p>
      <w:pPr>
        <w:pStyle w:val="TextBody"/>
        <w:spacing w:before="0" w:after="200"/>
        <w:ind w:left="1440" w:right="0" w:hanging="0"/>
        <w:jc w:val="both"/>
        <w:rPr>
          <w:sz w:val="17"/>
        </w:rPr>
      </w:pPr>
      <w:r>
        <w:rPr>
          <w:b/>
          <w:sz w:val="17"/>
          <w:u w:val="single"/>
        </w:rPr>
        <w:t>Note 3 – Stock Based Compensation and Employee Stock Option Plan</w:t>
      </w:r>
      <w:r>
        <w:rPr>
          <w:sz w:val="17"/>
        </w:rPr>
        <w:t xml:space="preserve"> </w:t>
      </w:r>
    </w:p>
    <w:p>
      <w:pPr>
        <w:pStyle w:val="TextBody"/>
        <w:spacing w:before="0" w:after="200"/>
        <w:ind w:left="1440" w:right="0" w:hanging="0"/>
        <w:jc w:val="both"/>
        <w:rPr>
          <w:sz w:val="17"/>
        </w:rPr>
      </w:pPr>
      <w:r>
        <w:rPr>
          <w:sz w:val="17"/>
          <w:u w:val="single"/>
        </w:rPr>
        <w:t>Stock Based Compensation</w:t>
      </w:r>
      <w:r>
        <w:rPr>
          <w:sz w:val="17"/>
        </w:rPr>
        <w:t xml:space="preserve"> </w:t>
      </w:r>
    </w:p>
    <w:p>
      <w:pPr>
        <w:pStyle w:val="TextBody"/>
        <w:spacing w:before="0" w:after="200"/>
        <w:ind w:left="1440" w:right="0" w:firstLine="720"/>
        <w:jc w:val="both"/>
        <w:rPr>
          <w:sz w:val="17"/>
        </w:rPr>
      </w:pPr>
      <w:r>
        <w:rPr>
          <w:sz w:val="17"/>
        </w:rPr>
        <w:t xml:space="preserve">As part of his compensation package, Mr. James J. Cotter, our Chairman of the Board and Chief Executive Officer, was granted $950,000, $750,000, and $750,000, respectively, of restricted class A non-voting common stock (“Class A Stock”) for each of the years ended December 31, 2012, 2011, and 2010, respectively.  The 2012, 2011, and 2010 stock grants of 217,890, 155,925, and 174,825 shares, respectively, were granted with stock grant prices of $4.36, $4.81, and $4.29, respectively.  Mr. Cotter’s stock compensation is granted fully vested with a five-year restriction on sale.  As of December 31, 2012, the 2012 stock grant had not yet been issued to Mr. Cotter.  During 2012, we issued to Mr. Cotter 155,925 of Class A Stock for his 2011 vested stock grants which had a stock grant price of $4.81 and a grant date fair value of $750,000.  </w:t>
      </w:r>
    </w:p>
    <w:p>
      <w:pPr>
        <w:pStyle w:val="TextBody"/>
        <w:spacing w:before="0" w:after="200"/>
        <w:ind w:left="1440" w:right="0" w:firstLine="720"/>
        <w:jc w:val="both"/>
        <w:rPr>
          <w:sz w:val="17"/>
        </w:rPr>
      </w:pPr>
      <w:r>
        <w:rPr>
          <w:sz w:val="17"/>
        </w:rPr>
        <w:t xml:space="preserve">During 2012, we issued 9,680 shares as a one-time stock grant of Class A Nonvoting shares to our employees valued at $44,000.  During 2010, as part of Mr. John Hunter’s, our Chief Operating Officer, compensation package, $100,000 of restricted Class A Stock vested relating to Mr. Hunter’s 2009 and 2008 stock grants.  During 2010, we issued to Mr. Hunter 5,154 shares related to his 2009 vested stock compensation.  </w:t>
      </w:r>
    </w:p>
    <w:p>
      <w:pPr>
        <w:pStyle w:val="TextBody"/>
        <w:spacing w:before="0" w:after="200"/>
        <w:ind w:left="1440" w:right="0" w:firstLine="720"/>
        <w:jc w:val="both"/>
        <w:rPr>
          <w:sz w:val="17"/>
        </w:rPr>
      </w:pPr>
      <w:r>
        <w:rPr>
          <w:sz w:val="17"/>
        </w:rPr>
        <w:t xml:space="preserve">During the years ended December 31, 2012, 2011, and 2010, we recorded compensation expense of $994,000, $750,000, and $754,000, respectively, for the vesting of all our restricted stock grants.  The following table details the grants and vesting of restricted stock to our employees (dollars in thousands): </w:t>
      </w:r>
    </w:p>
    <w:tbl>
      <w:tblPr>
        <w:tblW w:w="7925" w:type="dxa"/>
        <w:jc w:val="left"/>
        <w:tblInd w:w="1440" w:type="dxa"/>
        <w:tblCellMar>
          <w:top w:w="0" w:type="dxa"/>
          <w:left w:w="0" w:type="dxa"/>
          <w:bottom w:w="0" w:type="dxa"/>
          <w:right w:w="0" w:type="dxa"/>
        </w:tblCellMar>
      </w:tblPr>
      <w:tblGrid>
        <w:gridCol w:w="2435"/>
        <w:gridCol w:w="2090"/>
        <w:gridCol w:w="110"/>
        <w:gridCol w:w="3290"/>
      </w:tblGrid>
      <w:tr>
        <w:trPr/>
        <w:tc>
          <w:tcPr>
            <w:tcW w:w="2435" w:type="dxa"/>
            <w:tcBorders/>
            <w:shd w:fill="auto" w:val="clear"/>
            <w:vAlign w:val="bottom"/>
          </w:tcPr>
          <w:p>
            <w:pPr>
              <w:pStyle w:val="TableContents"/>
              <w:spacing w:before="0" w:after="1"/>
              <w:ind w:left="0" w:right="0" w:hanging="0"/>
              <w:jc w:val="both"/>
              <w:rPr/>
            </w:pPr>
            <w:r>
              <w:rPr/>
              <w:t> </w:t>
            </w:r>
          </w:p>
        </w:tc>
        <w:tc>
          <w:tcPr>
            <w:tcW w:w="20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290" w:type="dxa"/>
            <w:tcBorders/>
            <w:shd w:fill="auto" w:val="clear"/>
            <w:vAlign w:val="bottom"/>
          </w:tcPr>
          <w:p>
            <w:pPr>
              <w:pStyle w:val="TableContents"/>
              <w:spacing w:before="0" w:after="1"/>
              <w:ind w:left="0" w:right="0" w:hanging="0"/>
              <w:jc w:val="both"/>
              <w:rPr/>
            </w:pPr>
            <w:r>
              <w:rPr/>
              <w:t> </w:t>
            </w:r>
          </w:p>
        </w:tc>
      </w:tr>
      <w:tr>
        <w:trPr/>
        <w:tc>
          <w:tcPr>
            <w:tcW w:w="2435" w:type="dxa"/>
            <w:tcBorders/>
            <w:shd w:fill="auto" w:val="clear"/>
            <w:vAlign w:val="bottom"/>
          </w:tcPr>
          <w:p>
            <w:pPr>
              <w:pStyle w:val="TableContents"/>
              <w:spacing w:before="0" w:after="1"/>
              <w:ind w:left="0" w:right="0" w:hanging="0"/>
              <w:jc w:val="both"/>
              <w:rPr/>
            </w:pPr>
            <w:r>
              <w:rPr/>
              <w:t> </w:t>
            </w:r>
          </w:p>
        </w:tc>
        <w:tc>
          <w:tcPr>
            <w:tcW w:w="20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290" w:type="dxa"/>
            <w:tcBorders/>
            <w:shd w:fill="auto" w:val="clear"/>
            <w:vAlign w:val="bottom"/>
          </w:tcPr>
          <w:p>
            <w:pPr>
              <w:pStyle w:val="TableContents"/>
              <w:spacing w:before="0" w:after="1"/>
              <w:ind w:left="0" w:right="0" w:hanging="0"/>
              <w:jc w:val="both"/>
              <w:rPr/>
            </w:pPr>
            <w:r>
              <w:rPr/>
              <w:t> </w:t>
            </w:r>
          </w:p>
        </w:tc>
      </w:tr>
      <w:tr>
        <w:trPr/>
        <w:tc>
          <w:tcPr>
            <w:tcW w:w="243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20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Non-Vested Restricted Stock</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32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Weighted Average Fair Value at Grant Date</w:t>
            </w:r>
          </w:p>
        </w:tc>
      </w:tr>
      <w:tr>
        <w:trPr/>
        <w:tc>
          <w:tcPr>
            <w:tcW w:w="243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Outstanding – January 1, 2010</w:t>
            </w:r>
          </w:p>
        </w:tc>
        <w:tc>
          <w:tcPr>
            <w:tcW w:w="2090"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3290"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r>
      <w:tr>
        <w:trPr/>
        <w:tc>
          <w:tcPr>
            <w:tcW w:w="2435" w:type="dxa"/>
            <w:tcBorders/>
            <w:shd w:fill="FFFFFF" w:val="clear"/>
            <w:vAlign w:val="bottom"/>
          </w:tcPr>
          <w:p>
            <w:pPr>
              <w:pStyle w:val="TableContents"/>
              <w:spacing w:before="0" w:after="1"/>
              <w:ind w:left="0" w:right="0" w:hanging="0"/>
              <w:jc w:val="both"/>
              <w:rPr>
                <w:sz w:val="17"/>
              </w:rPr>
            </w:pPr>
            <w:r>
              <w:rPr>
                <w:sz w:val="17"/>
              </w:rPr>
              <w:t>Granted</w:t>
            </w:r>
          </w:p>
        </w:tc>
        <w:tc>
          <w:tcPr>
            <w:tcW w:w="2090" w:type="dxa"/>
            <w:tcBorders/>
            <w:shd w:fill="FFFFFF" w:val="clear"/>
            <w:vAlign w:val="bottom"/>
          </w:tcPr>
          <w:p>
            <w:pPr>
              <w:pStyle w:val="TableContents"/>
              <w:spacing w:before="0" w:after="283"/>
              <w:jc w:val="right"/>
              <w:rPr>
                <w:sz w:val="17"/>
              </w:rPr>
            </w:pPr>
            <w:r>
              <w:rPr>
                <w:sz w:val="17"/>
              </w:rPr>
              <w:t xml:space="preserve">174,825  </w:t>
            </w:r>
          </w:p>
        </w:tc>
        <w:tc>
          <w:tcPr>
            <w:tcW w:w="110" w:type="dxa"/>
            <w:tcBorders/>
            <w:shd w:fill="FFFFFF" w:val="clear"/>
            <w:vAlign w:val="bottom"/>
          </w:tcPr>
          <w:p>
            <w:pPr>
              <w:pStyle w:val="TableContents"/>
              <w:spacing w:before="0" w:after="1"/>
              <w:ind w:left="0" w:right="0" w:hanging="0"/>
              <w:jc w:val="right"/>
              <w:rPr/>
            </w:pPr>
            <w:r>
              <w:rPr/>
              <w:t> </w:t>
            </w:r>
          </w:p>
        </w:tc>
        <w:tc>
          <w:tcPr>
            <w:tcW w:w="3290" w:type="dxa"/>
            <w:tcBorders/>
            <w:shd w:fill="FFFFFF" w:val="clear"/>
            <w:vAlign w:val="bottom"/>
          </w:tcPr>
          <w:p>
            <w:pPr>
              <w:pStyle w:val="TableContents"/>
              <w:spacing w:before="0" w:after="283"/>
              <w:jc w:val="right"/>
              <w:rPr>
                <w:sz w:val="17"/>
              </w:rPr>
            </w:pPr>
            <w:r>
              <w:rPr>
                <w:sz w:val="17"/>
              </w:rPr>
              <w:t xml:space="preserve">750  </w:t>
            </w:r>
          </w:p>
        </w:tc>
      </w:tr>
      <w:tr>
        <w:trPr/>
        <w:tc>
          <w:tcPr>
            <w:tcW w:w="243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Vested</w:t>
            </w:r>
          </w:p>
        </w:tc>
        <w:tc>
          <w:tcPr>
            <w:tcW w:w="209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(174,825)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329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(750) </w:t>
            </w:r>
          </w:p>
        </w:tc>
      </w:tr>
      <w:tr>
        <w:trPr/>
        <w:tc>
          <w:tcPr>
            <w:tcW w:w="2435"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Outstanding – December 31, 2010</w:t>
            </w:r>
          </w:p>
        </w:tc>
        <w:tc>
          <w:tcPr>
            <w:tcW w:w="2090" w:type="dxa"/>
            <w:tcBorders>
              <w:top w:val="single" w:sz="8" w:space="0" w:color="000000"/>
            </w:tcBorders>
            <w:shd w:fill="FFFF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3290" w:type="dxa"/>
            <w:tcBorders>
              <w:top w:val="single" w:sz="8" w:space="0" w:color="000000"/>
            </w:tcBorders>
            <w:shd w:fill="FFFFFF" w:val="clear"/>
            <w:tcMar>
              <w:top w:w="28" w:type="dxa"/>
            </w:tcMar>
            <w:vAlign w:val="bottom"/>
          </w:tcPr>
          <w:p>
            <w:pPr>
              <w:pStyle w:val="TableContents"/>
              <w:spacing w:before="0" w:after="1"/>
              <w:ind w:left="0" w:right="65" w:hanging="0"/>
              <w:jc w:val="right"/>
              <w:rPr>
                <w:sz w:val="17"/>
              </w:rPr>
            </w:pPr>
            <w:r>
              <w:rPr>
                <w:sz w:val="17"/>
              </w:rPr>
              <w:t>--</w:t>
            </w:r>
          </w:p>
        </w:tc>
      </w:tr>
      <w:tr>
        <w:trPr/>
        <w:tc>
          <w:tcPr>
            <w:tcW w:w="2435" w:type="dxa"/>
            <w:tcBorders/>
            <w:shd w:fill="CCEEFF" w:val="clear"/>
            <w:vAlign w:val="bottom"/>
          </w:tcPr>
          <w:p>
            <w:pPr>
              <w:pStyle w:val="TableContents"/>
              <w:spacing w:before="0" w:after="1"/>
              <w:ind w:left="0" w:right="0" w:hanging="0"/>
              <w:jc w:val="both"/>
              <w:rPr>
                <w:sz w:val="17"/>
              </w:rPr>
            </w:pPr>
            <w:r>
              <w:rPr>
                <w:sz w:val="17"/>
              </w:rPr>
              <w:t>Granted</w:t>
            </w:r>
          </w:p>
        </w:tc>
        <w:tc>
          <w:tcPr>
            <w:tcW w:w="2090" w:type="dxa"/>
            <w:tcBorders/>
            <w:shd w:fill="CCEEFF" w:val="clear"/>
            <w:vAlign w:val="bottom"/>
          </w:tcPr>
          <w:p>
            <w:pPr>
              <w:pStyle w:val="TableContents"/>
              <w:spacing w:before="0" w:after="283"/>
              <w:jc w:val="right"/>
              <w:rPr>
                <w:sz w:val="17"/>
              </w:rPr>
            </w:pPr>
            <w:r>
              <w:rPr>
                <w:sz w:val="17"/>
              </w:rPr>
              <w:t xml:space="preserve">155,925  </w:t>
            </w:r>
          </w:p>
        </w:tc>
        <w:tc>
          <w:tcPr>
            <w:tcW w:w="110" w:type="dxa"/>
            <w:tcBorders/>
            <w:shd w:fill="CCEEFF" w:val="clear"/>
            <w:vAlign w:val="bottom"/>
          </w:tcPr>
          <w:p>
            <w:pPr>
              <w:pStyle w:val="TableContents"/>
              <w:spacing w:before="0" w:after="1"/>
              <w:ind w:left="0" w:right="0" w:hanging="0"/>
              <w:jc w:val="right"/>
              <w:rPr/>
            </w:pPr>
            <w:r>
              <w:rPr/>
              <w:t> </w:t>
            </w:r>
          </w:p>
        </w:tc>
        <w:tc>
          <w:tcPr>
            <w:tcW w:w="3290" w:type="dxa"/>
            <w:tcBorders/>
            <w:shd w:fill="CCEEFF" w:val="clear"/>
            <w:vAlign w:val="bottom"/>
          </w:tcPr>
          <w:p>
            <w:pPr>
              <w:pStyle w:val="TableContents"/>
              <w:spacing w:before="0" w:after="283"/>
              <w:jc w:val="right"/>
              <w:rPr>
                <w:sz w:val="17"/>
              </w:rPr>
            </w:pPr>
            <w:r>
              <w:rPr>
                <w:sz w:val="17"/>
              </w:rPr>
              <w:t xml:space="preserve">750  </w:t>
            </w:r>
          </w:p>
        </w:tc>
      </w:tr>
      <w:tr>
        <w:trPr/>
        <w:tc>
          <w:tcPr>
            <w:tcW w:w="243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Vested</w:t>
            </w:r>
          </w:p>
        </w:tc>
        <w:tc>
          <w:tcPr>
            <w:tcW w:w="209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(155,925)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329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(750) </w:t>
            </w:r>
          </w:p>
        </w:tc>
      </w:tr>
      <w:tr>
        <w:trPr/>
        <w:tc>
          <w:tcPr>
            <w:tcW w:w="243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Outstanding – December 31, 2011</w:t>
            </w:r>
          </w:p>
        </w:tc>
        <w:tc>
          <w:tcPr>
            <w:tcW w:w="2090" w:type="dxa"/>
            <w:tcBorders>
              <w:top w:val="single" w:sz="8"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3290" w:type="dxa"/>
            <w:tcBorders>
              <w:top w:val="single" w:sz="8"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r>
      <w:tr>
        <w:trPr/>
        <w:tc>
          <w:tcPr>
            <w:tcW w:w="2435" w:type="dxa"/>
            <w:tcBorders/>
            <w:shd w:fill="FFFFFF" w:val="clear"/>
            <w:vAlign w:val="bottom"/>
          </w:tcPr>
          <w:p>
            <w:pPr>
              <w:pStyle w:val="TableContents"/>
              <w:spacing w:before="0" w:after="1"/>
              <w:ind w:left="0" w:right="0" w:hanging="0"/>
              <w:jc w:val="both"/>
              <w:rPr>
                <w:sz w:val="17"/>
              </w:rPr>
            </w:pPr>
            <w:r>
              <w:rPr>
                <w:sz w:val="17"/>
              </w:rPr>
              <w:t>Granted</w:t>
            </w:r>
          </w:p>
        </w:tc>
        <w:tc>
          <w:tcPr>
            <w:tcW w:w="2090" w:type="dxa"/>
            <w:tcBorders/>
            <w:shd w:fill="FFFFFF" w:val="clear"/>
            <w:vAlign w:val="bottom"/>
          </w:tcPr>
          <w:p>
            <w:pPr>
              <w:pStyle w:val="TableContents"/>
              <w:spacing w:before="0" w:after="283"/>
              <w:jc w:val="right"/>
              <w:rPr>
                <w:sz w:val="17"/>
              </w:rPr>
            </w:pPr>
            <w:r>
              <w:rPr>
                <w:sz w:val="17"/>
              </w:rPr>
              <w:t xml:space="preserve">227,570  </w:t>
            </w:r>
          </w:p>
        </w:tc>
        <w:tc>
          <w:tcPr>
            <w:tcW w:w="110" w:type="dxa"/>
            <w:tcBorders/>
            <w:shd w:fill="FFFFFF" w:val="clear"/>
            <w:vAlign w:val="bottom"/>
          </w:tcPr>
          <w:p>
            <w:pPr>
              <w:pStyle w:val="TableContents"/>
              <w:spacing w:before="0" w:after="1"/>
              <w:ind w:left="0" w:right="0" w:hanging="0"/>
              <w:jc w:val="right"/>
              <w:rPr/>
            </w:pPr>
            <w:r>
              <w:rPr/>
              <w:t> </w:t>
            </w:r>
          </w:p>
        </w:tc>
        <w:tc>
          <w:tcPr>
            <w:tcW w:w="3290" w:type="dxa"/>
            <w:tcBorders/>
            <w:shd w:fill="FFFFFF" w:val="clear"/>
            <w:vAlign w:val="bottom"/>
          </w:tcPr>
          <w:p>
            <w:pPr>
              <w:pStyle w:val="TableContents"/>
              <w:spacing w:before="0" w:after="283"/>
              <w:jc w:val="right"/>
              <w:rPr>
                <w:sz w:val="17"/>
              </w:rPr>
            </w:pPr>
            <w:r>
              <w:rPr>
                <w:sz w:val="17"/>
              </w:rPr>
              <w:t xml:space="preserve">994  </w:t>
            </w:r>
          </w:p>
        </w:tc>
      </w:tr>
      <w:tr>
        <w:trPr/>
        <w:tc>
          <w:tcPr>
            <w:tcW w:w="243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Vested</w:t>
            </w:r>
          </w:p>
        </w:tc>
        <w:tc>
          <w:tcPr>
            <w:tcW w:w="209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(227,570)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329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(994) </w:t>
            </w:r>
          </w:p>
        </w:tc>
      </w:tr>
      <w:tr>
        <w:trPr/>
        <w:tc>
          <w:tcPr>
            <w:tcW w:w="243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Outstanding – December 31, 2012</w:t>
            </w:r>
          </w:p>
        </w:tc>
        <w:tc>
          <w:tcPr>
            <w:tcW w:w="209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65" w:hanging="0"/>
              <w:jc w:val="right"/>
              <w:rPr>
                <w:sz w:val="17"/>
              </w:rPr>
            </w:pPr>
            <w:r>
              <w:rPr>
                <w:sz w:val="17"/>
              </w:rPr>
              <w:t>--</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329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65" w:hanging="0"/>
              <w:jc w:val="right"/>
              <w:rPr>
                <w:sz w:val="17"/>
              </w:rPr>
            </w:pPr>
            <w:r>
              <w:rPr>
                <w:sz w:val="17"/>
              </w:rPr>
              <w:t>--</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On April 1, 2010, we terminated our then existing contractual relationship with Doug Osborne, at that time the chief executive officer of our Landplan real estate operations.  Mr. Osborne’s incentive interest in our various Landplan projects, which was valued at $0, was revoked at that time.  Mr. Osborne continues to provide services to us on a non-exclusive independent contractor basis. </w:t>
      </w:r>
    </w:p>
    <w:p>
      <w:pPr>
        <w:pStyle w:val="TextBody"/>
        <w:spacing w:before="0" w:after="200"/>
        <w:ind w:left="1440" w:right="0" w:hanging="0"/>
        <w:jc w:val="both"/>
        <w:rPr>
          <w:sz w:val="17"/>
        </w:rPr>
      </w:pPr>
      <w:r>
        <w:rPr>
          <w:sz w:val="17"/>
          <w:u w:val="single"/>
        </w:rPr>
        <w:t>Employee Stock Option Plan</w:t>
      </w:r>
      <w:r>
        <w:rPr>
          <w:sz w:val="17"/>
        </w:rPr>
        <w:t xml:space="preserve"> </w:t>
      </w:r>
    </w:p>
    <w:p>
      <w:pPr>
        <w:pStyle w:val="TextBody"/>
        <w:spacing w:before="0" w:after="200"/>
        <w:ind w:left="1440" w:right="0" w:firstLine="720"/>
        <w:jc w:val="both"/>
        <w:rPr>
          <w:sz w:val="17"/>
        </w:rPr>
      </w:pPr>
      <w:r>
        <w:rPr>
          <w:sz w:val="17"/>
        </w:rPr>
        <w:t xml:space="preserve">We have a long-term incentive stock option plan that provides for the grant to eligible employees, directors, and consultants of incentive or nonstatutory options to purchase shares of our Class A Nonvoting Common Stock.  Our 1999 Stock Option Plan expired in November 2009, and was replaced by our new 2010 Stock Incentive Plan, which was approved by the holders of our Class B Voting Common Stock in May 2010.  For the stock options exercised during the years ended December 31, 2012 and 2010, we issued 95,000 and 90,000 shares of Class A Stock for cash to employees of the corporation under this stock based compensation plan at exercise prices of $4.68 and $2.76, respectively.  During the year ended December 31, 2011, we did not issue any shares under this stock based compensation plan. </w:t>
      </w:r>
    </w:p>
    <w:p>
      <w:pPr>
        <w:pStyle w:val="TextBody"/>
        <w:spacing w:before="0" w:after="200"/>
        <w:ind w:left="1440" w:right="0" w:firstLine="720"/>
        <w:jc w:val="both"/>
        <w:rPr>
          <w:sz w:val="17"/>
        </w:rPr>
      </w:pPr>
      <w:r>
        <w:rPr>
          <w:sz w:val="17"/>
        </w:rPr>
        <w:t xml:space="preserve">FASB ASC 718-10 – </w:t>
      </w:r>
      <w:r>
        <w:rPr>
          <w:i/>
          <w:sz w:val="17"/>
        </w:rPr>
        <w:t>Stock Compensation</w:t>
      </w:r>
      <w:r>
        <w:rPr>
          <w:sz w:val="17"/>
        </w:rPr>
        <w:t xml:space="preserve"> (“ASC 718-10”) requires that all stock-based compensation be recognized as an expense in the financial statements and that such costs be measured at the fair value of the award.  We estimate the valuation of stock based compensation using a Black-Scholes option-pricing model.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When our tax deduction from an option exercise exceeds the compensation cost resulting from the option, a tax benefit is created.  ASC 718-10 requires that excess tax benefits related to stock option exercises be reflected as financing cash inflows instead of operating cash inflows.  For the years ended December 31, 2012, 2011, and 2010, there was no impact to the consolidated statements of cash flows because there were no recognized tax benefits during these periods. </w:t>
      </w:r>
    </w:p>
    <w:p>
      <w:pPr>
        <w:pStyle w:val="TextBody"/>
        <w:spacing w:before="0" w:after="200"/>
        <w:ind w:left="1440" w:right="0" w:firstLine="720"/>
        <w:jc w:val="both"/>
        <w:rPr>
          <w:sz w:val="17"/>
        </w:rPr>
      </w:pPr>
      <w:r>
        <w:rPr>
          <w:sz w:val="17"/>
        </w:rPr>
        <w:t xml:space="preserve">ASC 718-10 requires companies to estimate forfeitures.  Based on our historical experience, we did not estimate any forfeitures for the options granted during the years ended December 31, 2012, 2011, and 2010. </w:t>
      </w:r>
    </w:p>
    <w:p>
      <w:pPr>
        <w:pStyle w:val="TextBody"/>
        <w:spacing w:before="0" w:after="200"/>
        <w:ind w:left="1440" w:right="0" w:firstLine="720"/>
        <w:jc w:val="both"/>
        <w:rPr>
          <w:sz w:val="17"/>
        </w:rPr>
      </w:pPr>
      <w:r>
        <w:rPr>
          <w:sz w:val="17"/>
        </w:rPr>
        <w:t xml:space="preserve">In accordance with ASC 718-10, we estimate the fair value of our options using the Black-Scholes option-pricing model, which takes into account assumptions such as the dividend yield, the risk-free interest rate, the expected stock price volatility, and the expected life of the options.  The dividend yield is excluded from the calculation, as it is our present intention to retain all earnings.  We estimated the expected stock price volatility based on our historical price volatility measured using daily share prices back to the inception of the Company in its current form beginning on December 31, 2001.  We estimate the expected option life based on our historical share option exercise experience during this same period.  We expense the estimated grant date fair values of options issued on a straight-line basis over their vesting periods. </w:t>
      </w:r>
    </w:p>
    <w:p>
      <w:pPr>
        <w:pStyle w:val="TextBody"/>
        <w:spacing w:before="0" w:after="200"/>
        <w:ind w:left="1440" w:right="0" w:firstLine="720"/>
        <w:jc w:val="both"/>
        <w:rPr>
          <w:sz w:val="17"/>
        </w:rPr>
      </w:pPr>
      <w:r>
        <w:rPr>
          <w:sz w:val="17"/>
        </w:rPr>
        <w:t xml:space="preserve">No options were granted during 2011.  For the 206,000 and 157,700 options granted during 2012 and 2010, respectively, we estimated the fair value of these options at the date of grant using a Black-Scholes option-pricing model with the following weighted average assumptions: </w:t>
      </w:r>
    </w:p>
    <w:p>
      <w:pPr>
        <w:pStyle w:val="TextBody"/>
        <w:spacing w:before="0" w:after="0"/>
        <w:ind w:left="1440" w:right="0" w:firstLine="720"/>
        <w:jc w:val="both"/>
        <w:rPr/>
      </w:pPr>
      <w:r>
        <w:rPr/>
        <w:t xml:space="preserve">  </w:t>
      </w:r>
    </w:p>
    <w:tbl>
      <w:tblPr>
        <w:tblW w:w="3180" w:type="dxa"/>
        <w:jc w:val="left"/>
        <w:tblInd w:w="1440" w:type="dxa"/>
        <w:tblCellMar>
          <w:top w:w="0" w:type="dxa"/>
          <w:left w:w="0" w:type="dxa"/>
          <w:bottom w:w="0" w:type="dxa"/>
          <w:right w:w="0" w:type="dxa"/>
        </w:tblCellMar>
      </w:tblPr>
      <w:tblGrid>
        <w:gridCol w:w="1985"/>
        <w:gridCol w:w="590"/>
        <w:gridCol w:w="605"/>
      </w:tblGrid>
      <w:tr>
        <w:trPr/>
        <w:tc>
          <w:tcPr>
            <w:tcW w:w="198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r>
      <w:tr>
        <w:trPr/>
        <w:tc>
          <w:tcPr>
            <w:tcW w:w="198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r>
      <w:tr>
        <w:trPr/>
        <w:tc>
          <w:tcPr>
            <w:tcW w:w="198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90" w:type="dxa"/>
            <w:tcBorders>
              <w:bottom w:val="single" w:sz="12" w:space="0" w:color="000000"/>
            </w:tcBorders>
            <w:shd w:fill="auto" w:val="clear"/>
            <w:tcMar>
              <w:bottom w:w="28" w:type="dxa"/>
            </w:tcMar>
          </w:tcPr>
          <w:p>
            <w:pPr>
              <w:pStyle w:val="TableContents"/>
              <w:spacing w:before="0" w:after="1"/>
              <w:ind w:left="0" w:right="0" w:hanging="0"/>
              <w:jc w:val="center"/>
              <w:rPr>
                <w:sz w:val="17"/>
              </w:rPr>
            </w:pPr>
            <w:r>
              <w:rPr>
                <w:sz w:val="17"/>
              </w:rPr>
              <w:t>2012</w:t>
            </w:r>
          </w:p>
        </w:tc>
        <w:tc>
          <w:tcPr>
            <w:tcW w:w="605" w:type="dxa"/>
            <w:tcBorders>
              <w:bottom w:val="single" w:sz="12" w:space="0" w:color="000000"/>
            </w:tcBorders>
            <w:shd w:fill="auto" w:val="clear"/>
            <w:tcMar>
              <w:bottom w:w="28" w:type="dxa"/>
            </w:tcMar>
          </w:tcPr>
          <w:p>
            <w:pPr>
              <w:pStyle w:val="TableContents"/>
              <w:spacing w:before="0" w:after="1"/>
              <w:ind w:left="0" w:right="0" w:hanging="0"/>
              <w:jc w:val="center"/>
              <w:rPr>
                <w:sz w:val="17"/>
              </w:rPr>
            </w:pPr>
            <w:r>
              <w:rPr>
                <w:sz w:val="17"/>
              </w:rPr>
              <w:t>2010 </w:t>
            </w:r>
          </w:p>
        </w:tc>
      </w:tr>
      <w:tr>
        <w:trPr/>
        <w:tc>
          <w:tcPr>
            <w:tcW w:w="1985"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Stock option exercise price</w:t>
            </w:r>
          </w:p>
        </w:tc>
        <w:tc>
          <w:tcPr>
            <w:tcW w:w="590" w:type="dxa"/>
            <w:tcBorders>
              <w:top w:val="single" w:sz="12" w:space="0" w:color="000000"/>
            </w:tcBorders>
            <w:shd w:fill="CCEEFF" w:val="clear"/>
            <w:tcMar>
              <w:top w:w="28" w:type="dxa"/>
            </w:tcMar>
          </w:tcPr>
          <w:p>
            <w:pPr>
              <w:pStyle w:val="TableContents"/>
              <w:spacing w:before="0" w:after="1"/>
              <w:ind w:left="0" w:right="0" w:hanging="0"/>
              <w:jc w:val="center"/>
              <w:rPr>
                <w:sz w:val="17"/>
              </w:rPr>
            </w:pPr>
            <w:r>
              <w:rPr>
                <w:sz w:val="17"/>
              </w:rPr>
              <w:t>$5.94</w:t>
            </w:r>
          </w:p>
        </w:tc>
        <w:tc>
          <w:tcPr>
            <w:tcW w:w="605" w:type="dxa"/>
            <w:tcBorders>
              <w:top w:val="single" w:sz="12" w:space="0" w:color="000000"/>
            </w:tcBorders>
            <w:shd w:fill="CCEEFF" w:val="clear"/>
            <w:tcMar>
              <w:top w:w="28" w:type="dxa"/>
            </w:tcMar>
          </w:tcPr>
          <w:p>
            <w:pPr>
              <w:pStyle w:val="TableContents"/>
              <w:spacing w:before="0" w:after="1"/>
              <w:ind w:left="0" w:right="0" w:hanging="0"/>
              <w:jc w:val="center"/>
              <w:rPr>
                <w:sz w:val="17"/>
              </w:rPr>
            </w:pPr>
            <w:r>
              <w:rPr>
                <w:sz w:val="17"/>
              </w:rPr>
              <w:t>$5.17</w:t>
            </w:r>
          </w:p>
        </w:tc>
      </w:tr>
      <w:tr>
        <w:trPr/>
        <w:tc>
          <w:tcPr>
            <w:tcW w:w="1985" w:type="dxa"/>
            <w:tcBorders/>
            <w:shd w:fill="FFFFFF" w:val="clear"/>
          </w:tcPr>
          <w:p>
            <w:pPr>
              <w:pStyle w:val="TableContents"/>
              <w:spacing w:before="0" w:after="1"/>
              <w:ind w:left="0" w:right="0" w:hanging="0"/>
              <w:jc w:val="both"/>
              <w:rPr>
                <w:sz w:val="17"/>
              </w:rPr>
            </w:pPr>
            <w:r>
              <w:rPr>
                <w:sz w:val="17"/>
              </w:rPr>
              <w:t>Risk-free interest rate</w:t>
            </w:r>
          </w:p>
        </w:tc>
        <w:tc>
          <w:tcPr>
            <w:tcW w:w="590" w:type="dxa"/>
            <w:tcBorders/>
            <w:shd w:fill="FFFFFF" w:val="clear"/>
            <w:vAlign w:val="bottom"/>
          </w:tcPr>
          <w:p>
            <w:pPr>
              <w:pStyle w:val="TableContents"/>
              <w:spacing w:before="0" w:after="1"/>
              <w:ind w:left="0" w:right="0" w:hanging="0"/>
              <w:jc w:val="center"/>
              <w:rPr>
                <w:sz w:val="17"/>
              </w:rPr>
            </w:pPr>
            <w:r>
              <w:rPr>
                <w:sz w:val="17"/>
              </w:rPr>
              <w:t>1.71%</w:t>
            </w:r>
          </w:p>
        </w:tc>
        <w:tc>
          <w:tcPr>
            <w:tcW w:w="605" w:type="dxa"/>
            <w:tcBorders/>
            <w:shd w:fill="FFFFFF" w:val="clear"/>
            <w:vAlign w:val="bottom"/>
          </w:tcPr>
          <w:p>
            <w:pPr>
              <w:pStyle w:val="TableContents"/>
              <w:spacing w:before="0" w:after="1"/>
              <w:ind w:left="0" w:right="0" w:hanging="0"/>
              <w:jc w:val="center"/>
              <w:rPr>
                <w:sz w:val="17"/>
              </w:rPr>
            </w:pPr>
            <w:r>
              <w:rPr>
                <w:sz w:val="17"/>
              </w:rPr>
              <w:t>2.74%</w:t>
            </w:r>
          </w:p>
        </w:tc>
      </w:tr>
      <w:tr>
        <w:trPr/>
        <w:tc>
          <w:tcPr>
            <w:tcW w:w="1985" w:type="dxa"/>
            <w:tcBorders/>
            <w:shd w:fill="CCEEFF" w:val="clear"/>
          </w:tcPr>
          <w:p>
            <w:pPr>
              <w:pStyle w:val="TableContents"/>
              <w:spacing w:before="0" w:after="1"/>
              <w:ind w:left="0" w:right="0" w:hanging="0"/>
              <w:jc w:val="both"/>
              <w:rPr>
                <w:sz w:val="17"/>
              </w:rPr>
            </w:pPr>
            <w:r>
              <w:rPr>
                <w:sz w:val="17"/>
              </w:rPr>
              <w:t>Expected dividend yield</w:t>
            </w:r>
          </w:p>
        </w:tc>
        <w:tc>
          <w:tcPr>
            <w:tcW w:w="590" w:type="dxa"/>
            <w:tcBorders/>
            <w:shd w:fill="CCEEFF" w:val="clear"/>
            <w:vAlign w:val="bottom"/>
          </w:tcPr>
          <w:p>
            <w:pPr>
              <w:pStyle w:val="TableContents"/>
              <w:spacing w:before="0" w:after="1"/>
              <w:ind w:left="0" w:right="0" w:hanging="0"/>
              <w:jc w:val="center"/>
              <w:rPr>
                <w:sz w:val="17"/>
              </w:rPr>
            </w:pPr>
            <w:r>
              <w:rPr>
                <w:sz w:val="17"/>
              </w:rPr>
              <w:t>--</w:t>
            </w:r>
          </w:p>
        </w:tc>
        <w:tc>
          <w:tcPr>
            <w:tcW w:w="605" w:type="dxa"/>
            <w:tcBorders/>
            <w:shd w:fill="CCEEFF" w:val="clear"/>
            <w:vAlign w:val="bottom"/>
          </w:tcPr>
          <w:p>
            <w:pPr>
              <w:pStyle w:val="TableContents"/>
              <w:spacing w:before="0" w:after="1"/>
              <w:ind w:left="0" w:right="0" w:hanging="0"/>
              <w:jc w:val="center"/>
              <w:rPr>
                <w:sz w:val="17"/>
              </w:rPr>
            </w:pPr>
            <w:r>
              <w:rPr>
                <w:sz w:val="17"/>
              </w:rPr>
              <w:t>--</w:t>
            </w:r>
          </w:p>
        </w:tc>
      </w:tr>
      <w:tr>
        <w:trPr/>
        <w:tc>
          <w:tcPr>
            <w:tcW w:w="1985" w:type="dxa"/>
            <w:tcBorders/>
            <w:shd w:fill="FFFFFF" w:val="clear"/>
          </w:tcPr>
          <w:p>
            <w:pPr>
              <w:pStyle w:val="TableContents"/>
              <w:spacing w:before="0" w:after="1"/>
              <w:ind w:left="0" w:right="0" w:hanging="0"/>
              <w:jc w:val="both"/>
              <w:rPr>
                <w:sz w:val="17"/>
              </w:rPr>
            </w:pPr>
            <w:r>
              <w:rPr>
                <w:sz w:val="17"/>
              </w:rPr>
              <w:t>Expected option life</w:t>
            </w:r>
          </w:p>
        </w:tc>
        <w:tc>
          <w:tcPr>
            <w:tcW w:w="590" w:type="dxa"/>
            <w:tcBorders/>
            <w:shd w:fill="FFFFFF" w:val="clear"/>
          </w:tcPr>
          <w:p>
            <w:pPr>
              <w:pStyle w:val="TableContents"/>
              <w:spacing w:before="0" w:after="1"/>
              <w:ind w:left="0" w:right="0" w:hanging="0"/>
              <w:jc w:val="center"/>
              <w:rPr>
                <w:sz w:val="17"/>
              </w:rPr>
            </w:pPr>
            <w:r>
              <w:rPr>
                <w:sz w:val="17"/>
              </w:rPr>
              <w:t>7.20 yrs</w:t>
            </w:r>
          </w:p>
        </w:tc>
        <w:tc>
          <w:tcPr>
            <w:tcW w:w="605" w:type="dxa"/>
            <w:tcBorders/>
            <w:shd w:fill="FFFFFF" w:val="clear"/>
          </w:tcPr>
          <w:p>
            <w:pPr>
              <w:pStyle w:val="TableContents"/>
              <w:spacing w:before="0" w:after="1"/>
              <w:ind w:left="0" w:right="0" w:hanging="0"/>
              <w:jc w:val="center"/>
              <w:rPr>
                <w:sz w:val="17"/>
              </w:rPr>
            </w:pPr>
            <w:r>
              <w:rPr>
                <w:sz w:val="17"/>
              </w:rPr>
              <w:t>7.23 yrs</w:t>
            </w:r>
          </w:p>
        </w:tc>
      </w:tr>
      <w:tr>
        <w:trPr/>
        <w:tc>
          <w:tcPr>
            <w:tcW w:w="1985" w:type="dxa"/>
            <w:tcBorders/>
            <w:shd w:fill="CCEEFF" w:val="clear"/>
          </w:tcPr>
          <w:p>
            <w:pPr>
              <w:pStyle w:val="TableContents"/>
              <w:spacing w:before="0" w:after="1"/>
              <w:ind w:left="0" w:right="0" w:hanging="0"/>
              <w:jc w:val="both"/>
              <w:rPr>
                <w:sz w:val="17"/>
              </w:rPr>
            </w:pPr>
            <w:r>
              <w:rPr>
                <w:sz w:val="17"/>
              </w:rPr>
              <w:t>Expected volatility</w:t>
            </w:r>
          </w:p>
        </w:tc>
        <w:tc>
          <w:tcPr>
            <w:tcW w:w="590" w:type="dxa"/>
            <w:tcBorders/>
            <w:shd w:fill="CCEEFF" w:val="clear"/>
            <w:vAlign w:val="bottom"/>
          </w:tcPr>
          <w:p>
            <w:pPr>
              <w:pStyle w:val="TableContents"/>
              <w:spacing w:before="0" w:after="1"/>
              <w:ind w:left="0" w:right="0" w:hanging="0"/>
              <w:jc w:val="center"/>
              <w:rPr>
                <w:sz w:val="17"/>
              </w:rPr>
            </w:pPr>
            <w:r>
              <w:rPr>
                <w:sz w:val="17"/>
              </w:rPr>
              <w:t>32.15%</w:t>
            </w:r>
          </w:p>
        </w:tc>
        <w:tc>
          <w:tcPr>
            <w:tcW w:w="605" w:type="dxa"/>
            <w:tcBorders/>
            <w:shd w:fill="CCEEFF" w:val="clear"/>
            <w:vAlign w:val="bottom"/>
          </w:tcPr>
          <w:p>
            <w:pPr>
              <w:pStyle w:val="TableContents"/>
              <w:spacing w:before="0" w:after="1"/>
              <w:ind w:left="0" w:right="0" w:hanging="0"/>
              <w:jc w:val="center"/>
              <w:rPr>
                <w:sz w:val="17"/>
              </w:rPr>
            </w:pPr>
            <w:r>
              <w:rPr>
                <w:sz w:val="17"/>
              </w:rPr>
              <w:t>33.01%</w:t>
            </w:r>
          </w:p>
        </w:tc>
      </w:tr>
      <w:tr>
        <w:trPr/>
        <w:tc>
          <w:tcPr>
            <w:tcW w:w="1985" w:type="dxa"/>
            <w:tcBorders/>
            <w:shd w:fill="FFFFFF" w:val="clear"/>
          </w:tcPr>
          <w:p>
            <w:pPr>
              <w:pStyle w:val="TableContents"/>
              <w:spacing w:before="0" w:after="1"/>
              <w:ind w:left="0" w:right="0" w:hanging="0"/>
              <w:jc w:val="both"/>
              <w:rPr>
                <w:sz w:val="17"/>
              </w:rPr>
            </w:pPr>
            <w:r>
              <w:rPr>
                <w:sz w:val="17"/>
              </w:rPr>
              <w:t>Weighted average fair value</w:t>
            </w:r>
          </w:p>
        </w:tc>
        <w:tc>
          <w:tcPr>
            <w:tcW w:w="590" w:type="dxa"/>
            <w:tcBorders/>
            <w:shd w:fill="FFFFFF" w:val="clear"/>
          </w:tcPr>
          <w:p>
            <w:pPr>
              <w:pStyle w:val="TableContents"/>
              <w:spacing w:before="0" w:after="1"/>
              <w:ind w:left="0" w:right="0" w:hanging="0"/>
              <w:jc w:val="center"/>
              <w:rPr>
                <w:sz w:val="17"/>
              </w:rPr>
            </w:pPr>
            <w:r>
              <w:rPr>
                <w:sz w:val="17"/>
              </w:rPr>
              <w:t>$2.62</w:t>
            </w:r>
          </w:p>
        </w:tc>
        <w:tc>
          <w:tcPr>
            <w:tcW w:w="605" w:type="dxa"/>
            <w:tcBorders/>
            <w:shd w:fill="FFFFFF" w:val="clear"/>
          </w:tcPr>
          <w:p>
            <w:pPr>
              <w:pStyle w:val="TableContents"/>
              <w:spacing w:before="0" w:after="1"/>
              <w:ind w:left="0" w:right="0" w:hanging="0"/>
              <w:jc w:val="center"/>
              <w:rPr>
                <w:sz w:val="17"/>
              </w:rPr>
            </w:pPr>
            <w:r>
              <w:rPr>
                <w:sz w:val="17"/>
              </w:rPr>
              <w:t>$1.88</w:t>
            </w:r>
          </w:p>
        </w:tc>
      </w:tr>
    </w:tbl>
    <w:p>
      <w:pPr>
        <w:pStyle w:val="TextBody"/>
        <w:spacing w:before="0" w:after="0"/>
        <w:ind w:left="1440" w:right="0" w:firstLine="720"/>
        <w:jc w:val="both"/>
        <w:rPr/>
      </w:pPr>
      <w:r>
        <w:rPr/>
        <w:t xml:space="preserve">  </w:t>
      </w:r>
    </w:p>
    <w:p>
      <w:pPr>
        <w:pStyle w:val="TextBody"/>
        <w:spacing w:before="0" w:after="200"/>
        <w:ind w:left="1440" w:right="0" w:firstLine="720"/>
        <w:jc w:val="both"/>
        <w:rPr>
          <w:sz w:val="17"/>
        </w:rPr>
      </w:pPr>
      <w:r>
        <w:rPr>
          <w:sz w:val="17"/>
        </w:rPr>
        <w:t xml:space="preserve">Using the above assumptions and based on our use of the modified prospective method, we recorded $285,000, $189,000, and $67,000 in compensation expense for the total estimated grant date fair value of stock options that vested during the years ended December 31, 2012, 2011, and 2010, respectively.  At December 31, 2012 total unrecognized estimated compensation cost related to non-vested stock options granted was $342,000 which is expected to be recognized over a weighted average vesting period of 2.38. </w:t>
      </w:r>
    </w:p>
    <w:p>
      <w:pPr>
        <w:pStyle w:val="TextBody"/>
        <w:spacing w:before="0" w:after="200"/>
        <w:ind w:left="1440" w:right="0" w:firstLine="720"/>
        <w:jc w:val="both"/>
        <w:rPr>
          <w:sz w:val="17"/>
        </w:rPr>
      </w:pPr>
      <w:r>
        <w:rPr>
          <w:sz w:val="17"/>
        </w:rPr>
        <w:t xml:space="preserve">No options were exercised in 2011.  The total realized value of stock options exercised during the years ended December 31, 2012 and 2010 was $136,000 and $138,000, respectively.  The grant date fair value of options that vested during the years ending December 31, 2012, 2011, and 2010 was $285,000, $189,000, and $67,000, respectively.  We recorded cash received from stock options exercised of $308,000 and $248,000 during the years ended December 31, 2012 and 2010, respectively.  Additionally, in 2012, 41,000 options were exercised having a realized value of $103,000 for which we did not receive any cash but the employee elected to receive the net incremental number of in-the-money shares of 15,822 based on an exercise price of $4.01 and a market price of $6.53.  At December 31, 2012, the intrinsic, unrealized value of all options outstanding, vested and expected to vest, was $509,000 of which 100.0% were currently exercisable. </w:t>
      </w:r>
    </w:p>
    <w:p>
      <w:pPr>
        <w:pStyle w:val="TextBody"/>
        <w:spacing w:before="0" w:after="200"/>
        <w:ind w:left="1440" w:right="0" w:firstLine="720"/>
        <w:jc w:val="both"/>
        <w:rPr>
          <w:sz w:val="17"/>
        </w:rPr>
      </w:pPr>
      <w:r>
        <w:rPr>
          <w:sz w:val="17"/>
        </w:rPr>
        <w:t xml:space="preserve">Pursuant to both our 1999 Stock Option Plan and our 2010 Stock Incentive Plan, all stock options expire within ten years of their grant date.  The aggregate total number of shares of Class A Stock and class B voting common stock authorized for issuance under our 2010 Stock Option Plan is 1,250,000.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  </w:t>
      </w:r>
    </w:p>
    <w:p>
      <w:pPr>
        <w:pStyle w:val="TextBody"/>
        <w:spacing w:before="0" w:after="200"/>
        <w:ind w:left="1440" w:right="0" w:firstLine="720"/>
        <w:jc w:val="both"/>
        <w:rPr>
          <w:sz w:val="17"/>
        </w:rPr>
      </w:pPr>
      <w:r>
        <w:rPr>
          <w:sz w:val="17"/>
        </w:rPr>
        <w:t xml:space="preserve">We had the following stock options outstanding and exercisable: </w:t>
      </w:r>
    </w:p>
    <w:p>
      <w:pPr>
        <w:pStyle w:val="TextBody"/>
        <w:spacing w:before="0" w:after="0"/>
        <w:ind w:left="1440" w:right="144" w:firstLine="720"/>
        <w:jc w:val="both"/>
        <w:rPr/>
      </w:pPr>
      <w:r>
        <w:rPr/>
        <w:t xml:space="preserve">  </w:t>
      </w:r>
    </w:p>
    <w:tbl>
      <w:tblPr>
        <w:tblW w:w="6907" w:type="dxa"/>
        <w:jc w:val="left"/>
        <w:tblInd w:w="1440" w:type="dxa"/>
        <w:tblCellMar>
          <w:top w:w="0" w:type="dxa"/>
          <w:left w:w="0" w:type="dxa"/>
          <w:bottom w:w="0" w:type="dxa"/>
          <w:right w:w="0" w:type="dxa"/>
        </w:tblCellMar>
      </w:tblPr>
      <w:tblGrid>
        <w:gridCol w:w="2030"/>
        <w:gridCol w:w="650"/>
        <w:gridCol w:w="605"/>
        <w:gridCol w:w="102"/>
        <w:gridCol w:w="413"/>
        <w:gridCol w:w="102"/>
        <w:gridCol w:w="496"/>
        <w:gridCol w:w="605"/>
        <w:gridCol w:w="605"/>
        <w:gridCol w:w="95"/>
        <w:gridCol w:w="484"/>
        <w:gridCol w:w="121"/>
        <w:gridCol w:w="599"/>
      </w:tblGrid>
      <w:tr>
        <w:trPr/>
        <w:tc>
          <w:tcPr>
            <w:tcW w:w="2030" w:type="dxa"/>
            <w:tcBorders/>
            <w:shd w:fill="auto" w:val="clear"/>
            <w:vAlign w:val="bottom"/>
          </w:tcPr>
          <w:p>
            <w:pPr>
              <w:pStyle w:val="TableContents"/>
              <w:spacing w:before="0" w:after="1"/>
              <w:ind w:left="0" w:right="0" w:hanging="0"/>
              <w:jc w:val="both"/>
              <w:rPr/>
            </w:pPr>
            <w:r>
              <w:rPr/>
              <w:t> </w:t>
            </w:r>
          </w:p>
        </w:tc>
        <w:tc>
          <w:tcPr>
            <w:tcW w:w="65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413"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496"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484" w:type="dxa"/>
            <w:tcBorders/>
            <w:shd w:fill="auto" w:val="clear"/>
            <w:vAlign w:val="bottom"/>
          </w:tcPr>
          <w:p>
            <w:pPr>
              <w:pStyle w:val="TableContents"/>
              <w:spacing w:before="0" w:after="1"/>
              <w:ind w:left="0" w:right="0" w:hanging="0"/>
              <w:jc w:val="both"/>
              <w:rPr/>
            </w:pPr>
            <w:r>
              <w:rPr/>
              <w:t> </w:t>
            </w:r>
          </w:p>
        </w:tc>
        <w:tc>
          <w:tcPr>
            <w:tcW w:w="121" w:type="dxa"/>
            <w:tcBorders/>
            <w:shd w:fill="auto" w:val="clear"/>
            <w:vAlign w:val="bottom"/>
          </w:tcPr>
          <w:p>
            <w:pPr>
              <w:pStyle w:val="TableContents"/>
              <w:spacing w:before="0" w:after="1"/>
              <w:ind w:left="0" w:right="0" w:hanging="0"/>
              <w:jc w:val="both"/>
              <w:rPr/>
            </w:pPr>
            <w:r>
              <w:rPr/>
              <w:t> </w:t>
            </w:r>
          </w:p>
        </w:tc>
        <w:tc>
          <w:tcPr>
            <w:tcW w:w="599" w:type="dxa"/>
            <w:tcBorders/>
            <w:shd w:fill="auto" w:val="clear"/>
            <w:vAlign w:val="bottom"/>
          </w:tcPr>
          <w:p>
            <w:pPr>
              <w:pStyle w:val="TableContents"/>
              <w:spacing w:before="0" w:after="1"/>
              <w:ind w:left="0" w:right="0" w:hanging="0"/>
              <w:jc w:val="both"/>
              <w:rPr/>
            </w:pPr>
            <w:r>
              <w:rPr/>
              <w:t> </w:t>
            </w:r>
          </w:p>
        </w:tc>
      </w:tr>
      <w:tr>
        <w:trPr/>
        <w:tc>
          <w:tcPr>
            <w:tcW w:w="2030" w:type="dxa"/>
            <w:tcBorders/>
            <w:shd w:fill="auto" w:val="clear"/>
            <w:vAlign w:val="bottom"/>
          </w:tcPr>
          <w:p>
            <w:pPr>
              <w:pStyle w:val="TableContents"/>
              <w:spacing w:before="0" w:after="1"/>
              <w:ind w:left="0" w:right="0" w:hanging="0"/>
              <w:jc w:val="both"/>
              <w:rPr/>
            </w:pPr>
            <w:r>
              <w:rPr/>
              <w:t> </w:t>
            </w:r>
          </w:p>
        </w:tc>
        <w:tc>
          <w:tcPr>
            <w:tcW w:w="65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413" w:type="dxa"/>
            <w:tcBorders/>
            <w:shd w:fill="auto" w:val="clear"/>
            <w:vAlign w:val="bottom"/>
          </w:tcPr>
          <w:p>
            <w:pPr>
              <w:pStyle w:val="TableContents"/>
              <w:spacing w:before="0" w:after="1"/>
              <w:ind w:left="0" w:right="0" w:hanging="0"/>
              <w:jc w:val="both"/>
              <w:rPr/>
            </w:pPr>
            <w:r>
              <w:rPr/>
              <w:t> </w:t>
            </w:r>
          </w:p>
        </w:tc>
        <w:tc>
          <w:tcPr>
            <w:tcW w:w="102" w:type="dxa"/>
            <w:tcBorders/>
            <w:shd w:fill="auto" w:val="clear"/>
            <w:vAlign w:val="bottom"/>
          </w:tcPr>
          <w:p>
            <w:pPr>
              <w:pStyle w:val="TableContents"/>
              <w:spacing w:before="0" w:after="1"/>
              <w:ind w:left="0" w:right="0" w:hanging="0"/>
              <w:jc w:val="both"/>
              <w:rPr/>
            </w:pPr>
            <w:r>
              <w:rPr/>
              <w:t> </w:t>
            </w:r>
          </w:p>
        </w:tc>
        <w:tc>
          <w:tcPr>
            <w:tcW w:w="496"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484" w:type="dxa"/>
            <w:tcBorders/>
            <w:shd w:fill="auto" w:val="clear"/>
            <w:vAlign w:val="bottom"/>
          </w:tcPr>
          <w:p>
            <w:pPr>
              <w:pStyle w:val="TableContents"/>
              <w:spacing w:before="0" w:after="1"/>
              <w:ind w:left="0" w:right="0" w:hanging="0"/>
              <w:jc w:val="both"/>
              <w:rPr/>
            </w:pPr>
            <w:r>
              <w:rPr/>
              <w:t> </w:t>
            </w:r>
          </w:p>
        </w:tc>
        <w:tc>
          <w:tcPr>
            <w:tcW w:w="121" w:type="dxa"/>
            <w:tcBorders/>
            <w:shd w:fill="auto" w:val="clear"/>
            <w:vAlign w:val="bottom"/>
          </w:tcPr>
          <w:p>
            <w:pPr>
              <w:pStyle w:val="TableContents"/>
              <w:spacing w:before="0" w:after="1"/>
              <w:ind w:left="0" w:right="0" w:hanging="0"/>
              <w:jc w:val="both"/>
              <w:rPr/>
            </w:pPr>
            <w:r>
              <w:rPr/>
              <w:t> </w:t>
            </w:r>
          </w:p>
        </w:tc>
        <w:tc>
          <w:tcPr>
            <w:tcW w:w="599" w:type="dxa"/>
            <w:tcBorders/>
            <w:shd w:fill="auto" w:val="clear"/>
            <w:vAlign w:val="bottom"/>
          </w:tcPr>
          <w:p>
            <w:pPr>
              <w:pStyle w:val="TableContents"/>
              <w:spacing w:before="0" w:after="1"/>
              <w:ind w:left="0" w:right="0" w:hanging="0"/>
              <w:jc w:val="both"/>
              <w:rPr/>
            </w:pPr>
            <w:r>
              <w:rPr/>
              <w:t> </w:t>
            </w:r>
          </w:p>
        </w:tc>
      </w:tr>
      <w:tr>
        <w:trPr/>
        <w:tc>
          <w:tcPr>
            <w:tcW w:w="2030" w:type="dxa"/>
            <w:tcBorders/>
            <w:shd w:fill="auto" w:val="clear"/>
            <w:vAlign w:val="bottom"/>
          </w:tcPr>
          <w:p>
            <w:pPr>
              <w:pStyle w:val="TableContents"/>
              <w:spacing w:before="0" w:after="1"/>
              <w:ind w:left="0" w:right="0" w:hanging="0"/>
              <w:jc w:val="both"/>
              <w:rPr/>
            </w:pPr>
            <w:r>
              <w:rPr/>
              <w:t> </w:t>
            </w:r>
          </w:p>
        </w:tc>
        <w:tc>
          <w:tcPr>
            <w:tcW w:w="65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13" w:type="dxa"/>
            <w:gridSpan w:val="4"/>
            <w:tcBorders/>
            <w:shd w:fill="auto" w:val="clear"/>
            <w:vAlign w:val="bottom"/>
          </w:tcPr>
          <w:p>
            <w:pPr>
              <w:pStyle w:val="TableContents"/>
              <w:spacing w:before="0" w:after="1"/>
              <w:ind w:left="0" w:right="0" w:hanging="0"/>
              <w:jc w:val="center"/>
              <w:rPr>
                <w:b/>
                <w:sz w:val="15"/>
                <w:u w:val="single"/>
              </w:rPr>
            </w:pPr>
            <w:r>
              <w:rPr>
                <w:b/>
                <w:sz w:val="15"/>
                <w:u w:val="single"/>
              </w:rPr>
              <w:t>Weighted</w:t>
            </w:r>
          </w:p>
        </w:tc>
        <w:tc>
          <w:tcPr>
            <w:tcW w:w="605"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204" w:type="dxa"/>
            <w:gridSpan w:val="3"/>
            <w:tcBorders/>
            <w:shd w:fill="auto" w:val="clear"/>
            <w:vAlign w:val="bottom"/>
          </w:tcPr>
          <w:p>
            <w:pPr>
              <w:pStyle w:val="TableContents"/>
              <w:spacing w:before="0" w:after="1"/>
              <w:ind w:left="0" w:right="0" w:hanging="0"/>
              <w:jc w:val="center"/>
              <w:rPr>
                <w:b/>
                <w:sz w:val="15"/>
                <w:u w:val="single"/>
              </w:rPr>
            </w:pPr>
            <w:r>
              <w:rPr>
                <w:b/>
                <w:sz w:val="15"/>
                <w:u w:val="single"/>
              </w:rPr>
              <w:t>Weighted Average</w:t>
            </w:r>
          </w:p>
        </w:tc>
      </w:tr>
      <w:tr>
        <w:trPr/>
        <w:tc>
          <w:tcPr>
            <w:tcW w:w="2030" w:type="dxa"/>
            <w:tcBorders/>
            <w:shd w:fill="auto" w:val="clear"/>
          </w:tcPr>
          <w:p>
            <w:pPr>
              <w:pStyle w:val="TableContents"/>
              <w:spacing w:before="0" w:after="1"/>
              <w:ind w:left="0" w:right="0" w:hanging="0"/>
              <w:jc w:val="both"/>
              <w:rPr/>
            </w:pPr>
            <w:r>
              <w:rPr/>
              <w:t> </w:t>
            </w:r>
          </w:p>
        </w:tc>
        <w:tc>
          <w:tcPr>
            <w:tcW w:w="1255" w:type="dxa"/>
            <w:gridSpan w:val="2"/>
            <w:tcBorders/>
            <w:shd w:fill="auto" w:val="clear"/>
            <w:vAlign w:val="bottom"/>
          </w:tcPr>
          <w:p>
            <w:pPr>
              <w:pStyle w:val="TableContents"/>
              <w:spacing w:before="0" w:after="1"/>
              <w:ind w:left="0" w:right="0" w:hanging="0"/>
              <w:jc w:val="center"/>
              <w:rPr>
                <w:b/>
                <w:sz w:val="15"/>
                <w:u w:val="single"/>
              </w:rPr>
            </w:pPr>
            <w:r>
              <w:rPr>
                <w:b/>
                <w:sz w:val="15"/>
                <w:u w:val="single"/>
              </w:rPr>
              <w:t xml:space="preserve">Common Stock </w:t>
            </w:r>
          </w:p>
        </w:tc>
        <w:tc>
          <w:tcPr>
            <w:tcW w:w="1113" w:type="dxa"/>
            <w:gridSpan w:val="4"/>
            <w:tcBorders/>
            <w:shd w:fill="auto" w:val="clear"/>
            <w:vAlign w:val="bottom"/>
          </w:tcPr>
          <w:p>
            <w:pPr>
              <w:pStyle w:val="TableContents"/>
              <w:spacing w:before="0" w:after="1"/>
              <w:ind w:left="0" w:right="0" w:hanging="0"/>
              <w:jc w:val="center"/>
              <w:rPr>
                <w:b/>
                <w:sz w:val="15"/>
                <w:u w:val="single"/>
              </w:rPr>
            </w:pPr>
            <w:r>
              <w:rPr>
                <w:b/>
                <w:sz w:val="15"/>
                <w:u w:val="single"/>
              </w:rPr>
              <w:t>Average Exercise</w:t>
            </w:r>
          </w:p>
        </w:tc>
        <w:tc>
          <w:tcPr>
            <w:tcW w:w="1210" w:type="dxa"/>
            <w:gridSpan w:val="2"/>
            <w:tcBorders/>
            <w:shd w:fill="auto" w:val="clear"/>
            <w:vAlign w:val="bottom"/>
          </w:tcPr>
          <w:p>
            <w:pPr>
              <w:pStyle w:val="TableContents"/>
              <w:spacing w:before="0" w:after="1"/>
              <w:ind w:left="0" w:right="0" w:hanging="0"/>
              <w:jc w:val="center"/>
              <w:rPr>
                <w:b/>
                <w:sz w:val="15"/>
                <w:u w:val="single"/>
              </w:rPr>
            </w:pPr>
            <w:r>
              <w:rPr>
                <w:b/>
                <w:sz w:val="15"/>
                <w:u w:val="single"/>
              </w:rPr>
              <w:t xml:space="preserve">Common Stock </w:t>
            </w:r>
          </w:p>
        </w:tc>
        <w:tc>
          <w:tcPr>
            <w:tcW w:w="95" w:type="dxa"/>
            <w:tcBorders/>
            <w:shd w:fill="auto" w:val="clear"/>
            <w:vAlign w:val="bottom"/>
          </w:tcPr>
          <w:p>
            <w:pPr>
              <w:pStyle w:val="TableContents"/>
              <w:spacing w:before="0" w:after="1"/>
              <w:ind w:left="0" w:right="0" w:hanging="0"/>
              <w:jc w:val="center"/>
              <w:rPr/>
            </w:pPr>
            <w:r>
              <w:rPr/>
              <w:t> </w:t>
            </w:r>
          </w:p>
        </w:tc>
        <w:tc>
          <w:tcPr>
            <w:tcW w:w="1204" w:type="dxa"/>
            <w:gridSpan w:val="3"/>
            <w:tcBorders/>
            <w:shd w:fill="auto" w:val="clear"/>
            <w:vAlign w:val="bottom"/>
          </w:tcPr>
          <w:p>
            <w:pPr>
              <w:pStyle w:val="TableContents"/>
              <w:spacing w:before="0" w:after="1"/>
              <w:ind w:left="0" w:right="0" w:hanging="0"/>
              <w:jc w:val="center"/>
              <w:rPr>
                <w:b/>
                <w:sz w:val="15"/>
                <w:u w:val="single"/>
              </w:rPr>
            </w:pPr>
            <w:r>
              <w:rPr>
                <w:b/>
                <w:sz w:val="15"/>
                <w:u w:val="single"/>
              </w:rPr>
              <w:t xml:space="preserve">Price of </w:t>
            </w:r>
          </w:p>
        </w:tc>
      </w:tr>
      <w:tr>
        <w:trPr/>
        <w:tc>
          <w:tcPr>
            <w:tcW w:w="2030" w:type="dxa"/>
            <w:tcBorders/>
            <w:shd w:fill="auto" w:val="clear"/>
          </w:tcPr>
          <w:p>
            <w:pPr>
              <w:pStyle w:val="TableContents"/>
              <w:spacing w:before="0" w:after="1"/>
              <w:ind w:left="0" w:right="0" w:hanging="0"/>
              <w:jc w:val="both"/>
              <w:rPr/>
            </w:pPr>
            <w:r>
              <w:rPr/>
              <w:t> </w:t>
            </w:r>
          </w:p>
        </w:tc>
        <w:tc>
          <w:tcPr>
            <w:tcW w:w="1255" w:type="dxa"/>
            <w:gridSpan w:val="2"/>
            <w:tcBorders/>
            <w:shd w:fill="auto" w:val="clear"/>
            <w:vAlign w:val="bottom"/>
          </w:tcPr>
          <w:p>
            <w:pPr>
              <w:pStyle w:val="TableContents"/>
              <w:spacing w:before="0" w:after="1"/>
              <w:ind w:left="0" w:right="0" w:hanging="0"/>
              <w:jc w:val="center"/>
              <w:rPr>
                <w:b/>
                <w:sz w:val="15"/>
                <w:u w:val="single"/>
              </w:rPr>
            </w:pPr>
            <w:r>
              <w:rPr>
                <w:b/>
                <w:sz w:val="15"/>
                <w:u w:val="single"/>
              </w:rPr>
              <w:t xml:space="preserve">Options </w:t>
            </w:r>
          </w:p>
        </w:tc>
        <w:tc>
          <w:tcPr>
            <w:tcW w:w="1113" w:type="dxa"/>
            <w:gridSpan w:val="4"/>
            <w:tcBorders/>
            <w:shd w:fill="auto" w:val="clear"/>
            <w:vAlign w:val="bottom"/>
          </w:tcPr>
          <w:p>
            <w:pPr>
              <w:pStyle w:val="TableContents"/>
              <w:spacing w:before="0" w:after="1"/>
              <w:ind w:left="0" w:right="0" w:hanging="0"/>
              <w:jc w:val="center"/>
              <w:rPr>
                <w:b/>
                <w:sz w:val="15"/>
                <w:u w:val="single"/>
              </w:rPr>
            </w:pPr>
            <w:r>
              <w:rPr>
                <w:b/>
                <w:sz w:val="15"/>
                <w:u w:val="single"/>
              </w:rPr>
              <w:t xml:space="preserve">Price of Options </w:t>
            </w:r>
          </w:p>
        </w:tc>
        <w:tc>
          <w:tcPr>
            <w:tcW w:w="1210" w:type="dxa"/>
            <w:gridSpan w:val="2"/>
            <w:tcBorders/>
            <w:shd w:fill="auto" w:val="clear"/>
            <w:vAlign w:val="bottom"/>
          </w:tcPr>
          <w:p>
            <w:pPr>
              <w:pStyle w:val="TableContents"/>
              <w:spacing w:before="0" w:after="1"/>
              <w:ind w:left="0" w:right="0" w:hanging="0"/>
              <w:jc w:val="center"/>
              <w:rPr>
                <w:b/>
                <w:sz w:val="15"/>
                <w:u w:val="single"/>
              </w:rPr>
            </w:pPr>
            <w:r>
              <w:rPr>
                <w:b/>
                <w:sz w:val="15"/>
                <w:u w:val="single"/>
              </w:rPr>
              <w:t>Exercisable</w:t>
            </w:r>
          </w:p>
        </w:tc>
        <w:tc>
          <w:tcPr>
            <w:tcW w:w="95" w:type="dxa"/>
            <w:tcBorders/>
            <w:shd w:fill="auto" w:val="clear"/>
            <w:vAlign w:val="bottom"/>
          </w:tcPr>
          <w:p>
            <w:pPr>
              <w:pStyle w:val="TableContents"/>
              <w:spacing w:before="0" w:after="1"/>
              <w:ind w:left="0" w:right="0" w:hanging="0"/>
              <w:jc w:val="center"/>
              <w:rPr/>
            </w:pPr>
            <w:r>
              <w:rPr/>
              <w:t> </w:t>
            </w:r>
          </w:p>
        </w:tc>
        <w:tc>
          <w:tcPr>
            <w:tcW w:w="1204" w:type="dxa"/>
            <w:gridSpan w:val="3"/>
            <w:tcBorders/>
            <w:shd w:fill="auto" w:val="clear"/>
            <w:vAlign w:val="bottom"/>
          </w:tcPr>
          <w:p>
            <w:pPr>
              <w:pStyle w:val="TableContents"/>
              <w:spacing w:before="0" w:after="1"/>
              <w:ind w:left="0" w:right="0" w:hanging="0"/>
              <w:jc w:val="center"/>
              <w:rPr>
                <w:b/>
                <w:sz w:val="15"/>
                <w:u w:val="single"/>
              </w:rPr>
            </w:pPr>
            <w:r>
              <w:rPr>
                <w:b/>
                <w:sz w:val="15"/>
                <w:u w:val="single"/>
              </w:rPr>
              <w:t>Exercisable</w:t>
            </w:r>
          </w:p>
        </w:tc>
      </w:tr>
      <w:tr>
        <w:trPr/>
        <w:tc>
          <w:tcPr>
            <w:tcW w:w="2030" w:type="dxa"/>
            <w:tcBorders/>
            <w:shd w:fill="auto" w:val="clear"/>
          </w:tcPr>
          <w:p>
            <w:pPr>
              <w:pStyle w:val="TableContents"/>
              <w:spacing w:before="0" w:after="1"/>
              <w:ind w:left="0" w:right="0" w:hanging="0"/>
              <w:jc w:val="both"/>
              <w:rPr/>
            </w:pPr>
            <w:r>
              <w:rPr/>
              <w:t> </w:t>
            </w:r>
          </w:p>
        </w:tc>
        <w:tc>
          <w:tcPr>
            <w:tcW w:w="1255" w:type="dxa"/>
            <w:gridSpan w:val="2"/>
            <w:tcBorders/>
            <w:shd w:fill="auto" w:val="clear"/>
            <w:vAlign w:val="bottom"/>
          </w:tcPr>
          <w:p>
            <w:pPr>
              <w:pStyle w:val="TableContents"/>
              <w:spacing w:before="0" w:after="1"/>
              <w:ind w:left="0" w:right="0" w:hanging="0"/>
              <w:jc w:val="center"/>
              <w:rPr>
                <w:b/>
                <w:sz w:val="15"/>
                <w:u w:val="single"/>
              </w:rPr>
            </w:pPr>
            <w:r>
              <w:rPr>
                <w:b/>
                <w:sz w:val="15"/>
                <w:u w:val="single"/>
              </w:rPr>
              <w:t>Outstanding</w:t>
            </w:r>
          </w:p>
        </w:tc>
        <w:tc>
          <w:tcPr>
            <w:tcW w:w="1113" w:type="dxa"/>
            <w:gridSpan w:val="4"/>
            <w:tcBorders/>
            <w:shd w:fill="auto" w:val="clear"/>
            <w:vAlign w:val="bottom"/>
          </w:tcPr>
          <w:p>
            <w:pPr>
              <w:pStyle w:val="TableContents"/>
              <w:spacing w:before="0" w:after="1"/>
              <w:ind w:left="0" w:right="0" w:hanging="0"/>
              <w:jc w:val="center"/>
              <w:rPr>
                <w:b/>
                <w:sz w:val="15"/>
                <w:u w:val="single"/>
              </w:rPr>
            </w:pPr>
            <w:r>
              <w:rPr>
                <w:b/>
                <w:sz w:val="15"/>
                <w:u w:val="single"/>
              </w:rPr>
              <w:t>Outstanding</w:t>
            </w:r>
          </w:p>
        </w:tc>
        <w:tc>
          <w:tcPr>
            <w:tcW w:w="1210" w:type="dxa"/>
            <w:gridSpan w:val="2"/>
            <w:tcBorders/>
            <w:shd w:fill="auto" w:val="clear"/>
            <w:vAlign w:val="bottom"/>
          </w:tcPr>
          <w:p>
            <w:pPr>
              <w:pStyle w:val="TableContents"/>
              <w:spacing w:before="0" w:after="1"/>
              <w:ind w:left="0" w:right="0" w:hanging="0"/>
              <w:jc w:val="center"/>
              <w:rPr>
                <w:b/>
                <w:sz w:val="15"/>
                <w:u w:val="single"/>
              </w:rPr>
            </w:pPr>
            <w:r>
              <w:rPr>
                <w:b/>
                <w:sz w:val="15"/>
                <w:u w:val="single"/>
              </w:rPr>
              <w:t>Options</w:t>
            </w:r>
          </w:p>
        </w:tc>
        <w:tc>
          <w:tcPr>
            <w:tcW w:w="95" w:type="dxa"/>
            <w:tcBorders/>
            <w:shd w:fill="auto" w:val="clear"/>
            <w:vAlign w:val="bottom"/>
          </w:tcPr>
          <w:p>
            <w:pPr>
              <w:pStyle w:val="TableContents"/>
              <w:spacing w:before="0" w:after="1"/>
              <w:ind w:left="0" w:right="0" w:hanging="0"/>
              <w:jc w:val="center"/>
              <w:rPr/>
            </w:pPr>
            <w:r>
              <w:rPr/>
              <w:t> </w:t>
            </w:r>
          </w:p>
        </w:tc>
        <w:tc>
          <w:tcPr>
            <w:tcW w:w="1204" w:type="dxa"/>
            <w:gridSpan w:val="3"/>
            <w:tcBorders/>
            <w:shd w:fill="auto" w:val="clear"/>
            <w:vAlign w:val="bottom"/>
          </w:tcPr>
          <w:p>
            <w:pPr>
              <w:pStyle w:val="TableContents"/>
              <w:spacing w:before="0" w:after="1"/>
              <w:ind w:left="0" w:right="0" w:hanging="0"/>
              <w:jc w:val="center"/>
              <w:rPr>
                <w:b/>
                <w:sz w:val="15"/>
                <w:u w:val="single"/>
              </w:rPr>
            </w:pPr>
            <w:r>
              <w:rPr>
                <w:b/>
                <w:sz w:val="15"/>
                <w:u w:val="single"/>
              </w:rPr>
              <w:t>Options</w:t>
            </w:r>
          </w:p>
        </w:tc>
      </w:tr>
      <w:tr>
        <w:trPr/>
        <w:tc>
          <w:tcPr>
            <w:tcW w:w="2030" w:type="dxa"/>
            <w:tcBorders>
              <w:bottom w:val="single" w:sz="8" w:space="0" w:color="000000"/>
            </w:tcBorders>
            <w:shd w:fill="auto" w:val="clear"/>
            <w:tcMar>
              <w:bottom w:w="28" w:type="dxa"/>
            </w:tcMar>
          </w:tcPr>
          <w:p>
            <w:pPr>
              <w:pStyle w:val="TableContents"/>
              <w:spacing w:before="0" w:after="1"/>
              <w:ind w:left="0" w:right="0" w:hanging="0"/>
              <w:jc w:val="both"/>
              <w:rPr/>
            </w:pPr>
            <w:r>
              <w:rPr/>
              <w:t> </w:t>
            </w:r>
          </w:p>
        </w:tc>
        <w:tc>
          <w:tcPr>
            <w:tcW w:w="650" w:type="dxa"/>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A</w:t>
            </w:r>
          </w:p>
        </w:tc>
        <w:tc>
          <w:tcPr>
            <w:tcW w:w="605" w:type="dxa"/>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B</w:t>
            </w:r>
          </w:p>
        </w:tc>
        <w:tc>
          <w:tcPr>
            <w:tcW w:w="515"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A</w:t>
            </w:r>
          </w:p>
        </w:tc>
        <w:tc>
          <w:tcPr>
            <w:tcW w:w="598"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B</w:t>
            </w:r>
          </w:p>
        </w:tc>
        <w:tc>
          <w:tcPr>
            <w:tcW w:w="605" w:type="dxa"/>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A</w:t>
            </w:r>
          </w:p>
        </w:tc>
        <w:tc>
          <w:tcPr>
            <w:tcW w:w="605" w:type="dxa"/>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B</w:t>
            </w:r>
          </w:p>
        </w:tc>
        <w:tc>
          <w:tcPr>
            <w:tcW w:w="57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A</w:t>
            </w:r>
          </w:p>
        </w:tc>
        <w:tc>
          <w:tcPr>
            <w:tcW w:w="720"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Class B</w:t>
            </w:r>
          </w:p>
        </w:tc>
      </w:tr>
      <w:tr>
        <w:trPr/>
        <w:tc>
          <w:tcPr>
            <w:tcW w:w="203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Outstanding-January 1, 2010</w:t>
            </w:r>
          </w:p>
        </w:tc>
        <w:tc>
          <w:tcPr>
            <w:tcW w:w="65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589,750  </w:t>
            </w:r>
          </w:p>
        </w:tc>
        <w:tc>
          <w:tcPr>
            <w:tcW w:w="60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150,000  </w:t>
            </w:r>
          </w:p>
        </w:tc>
        <w:tc>
          <w:tcPr>
            <w:tcW w:w="102"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5.51  </w:t>
            </w:r>
          </w:p>
        </w:tc>
        <w:tc>
          <w:tcPr>
            <w:tcW w:w="102"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10.24  </w:t>
            </w:r>
          </w:p>
        </w:tc>
        <w:tc>
          <w:tcPr>
            <w:tcW w:w="60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534,750  </w:t>
            </w:r>
          </w:p>
        </w:tc>
        <w:tc>
          <w:tcPr>
            <w:tcW w:w="60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150,000  </w:t>
            </w:r>
          </w:p>
        </w:tc>
        <w:tc>
          <w:tcPr>
            <w:tcW w:w="9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84"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5.62  </w:t>
            </w:r>
          </w:p>
        </w:tc>
        <w:tc>
          <w:tcPr>
            <w:tcW w:w="121"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9"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10.24  </w:t>
            </w:r>
          </w:p>
        </w:tc>
      </w:tr>
      <w:tr>
        <w:trPr/>
        <w:tc>
          <w:tcPr>
            <w:tcW w:w="2030" w:type="dxa"/>
            <w:tcBorders>
              <w:top w:val="single" w:sz="8" w:space="0" w:color="000000"/>
            </w:tcBorders>
            <w:shd w:fill="FFFFFF" w:val="clear"/>
            <w:tcMar>
              <w:top w:w="28" w:type="dxa"/>
            </w:tcMar>
            <w:vAlign w:val="bottom"/>
          </w:tcPr>
          <w:p>
            <w:pPr>
              <w:pStyle w:val="TableContents"/>
              <w:spacing w:before="0" w:after="1"/>
              <w:ind w:left="120" w:right="0" w:hanging="0"/>
              <w:jc w:val="both"/>
              <w:rPr>
                <w:sz w:val="15"/>
              </w:rPr>
            </w:pPr>
            <w:r>
              <w:rPr>
                <w:sz w:val="15"/>
              </w:rPr>
              <w:t>Granted</w:t>
            </w:r>
          </w:p>
        </w:tc>
        <w:tc>
          <w:tcPr>
            <w:tcW w:w="650"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122,600  </w:t>
            </w:r>
          </w:p>
        </w:tc>
        <w:tc>
          <w:tcPr>
            <w:tcW w:w="605"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35,100  </w:t>
            </w:r>
          </w:p>
        </w:tc>
        <w:tc>
          <w:tcPr>
            <w:tcW w:w="102"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5.17  </w:t>
            </w:r>
          </w:p>
        </w:tc>
        <w:tc>
          <w:tcPr>
            <w:tcW w:w="102" w:type="dxa"/>
            <w:tcBorders>
              <w:top w:val="single" w:sz="8" w:space="0" w:color="000000"/>
            </w:tcBorders>
            <w:shd w:fill="FFFFFF" w:val="clear"/>
            <w:tcMar>
              <w:top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tcBorders>
            <w:shd w:fill="FFFFFF" w:val="clear"/>
            <w:tcMar>
              <w:top w:w="28" w:type="dxa"/>
            </w:tcMar>
            <w:vAlign w:val="bottom"/>
          </w:tcPr>
          <w:p>
            <w:pPr>
              <w:pStyle w:val="TableContents"/>
              <w:spacing w:before="0" w:after="283"/>
              <w:jc w:val="right"/>
              <w:rPr>
                <w:sz w:val="15"/>
              </w:rPr>
            </w:pPr>
            <w:r>
              <w:rPr>
                <w:sz w:val="15"/>
              </w:rPr>
              <w:t xml:space="preserve">8.47  </w:t>
            </w:r>
          </w:p>
        </w:tc>
        <w:tc>
          <w:tcPr>
            <w:tcW w:w="60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0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484"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21"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599"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030"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5"/>
              </w:rPr>
            </w:pPr>
            <w:r>
              <w:rPr>
                <w:sz w:val="15"/>
              </w:rPr>
              <w:t>Exercised</w:t>
            </w:r>
          </w:p>
        </w:tc>
        <w:tc>
          <w:tcPr>
            <w:tcW w:w="65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(90,000) </w:t>
            </w:r>
          </w:p>
        </w:tc>
        <w:tc>
          <w:tcPr>
            <w:tcW w:w="605"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02"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413"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2.76  </w:t>
            </w:r>
          </w:p>
        </w:tc>
        <w:tc>
          <w:tcPr>
            <w:tcW w:w="102"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496"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60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84"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21"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99"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r>
      <w:tr>
        <w:trPr/>
        <w:tc>
          <w:tcPr>
            <w:tcW w:w="203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Outstanding- December 31, 2010</w:t>
            </w:r>
          </w:p>
        </w:tc>
        <w:tc>
          <w:tcPr>
            <w:tcW w:w="65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622,350  </w:t>
            </w:r>
          </w:p>
        </w:tc>
        <w:tc>
          <w:tcPr>
            <w:tcW w:w="60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185,100  </w:t>
            </w:r>
          </w:p>
        </w:tc>
        <w:tc>
          <w:tcPr>
            <w:tcW w:w="10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5.65  </w:t>
            </w:r>
          </w:p>
        </w:tc>
        <w:tc>
          <w:tcPr>
            <w:tcW w:w="10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9.90  </w:t>
            </w:r>
          </w:p>
        </w:tc>
        <w:tc>
          <w:tcPr>
            <w:tcW w:w="60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449,750  </w:t>
            </w:r>
          </w:p>
        </w:tc>
        <w:tc>
          <w:tcPr>
            <w:tcW w:w="60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150,000 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84"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6.22  </w:t>
            </w:r>
          </w:p>
        </w:tc>
        <w:tc>
          <w:tcPr>
            <w:tcW w:w="121"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10.24  </w:t>
            </w:r>
          </w:p>
        </w:tc>
      </w:tr>
      <w:tr>
        <w:trPr/>
        <w:tc>
          <w:tcPr>
            <w:tcW w:w="203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120" w:right="0" w:hanging="0"/>
              <w:jc w:val="both"/>
              <w:rPr>
                <w:sz w:val="15"/>
              </w:rPr>
            </w:pPr>
            <w:r>
              <w:rPr>
                <w:sz w:val="15"/>
              </w:rPr>
              <w:t>No activity during the period</w:t>
            </w:r>
          </w:p>
        </w:tc>
        <w:tc>
          <w:tcPr>
            <w:tcW w:w="65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0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2"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2"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0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60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484"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121"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599"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r>
      <w:tr>
        <w:trPr/>
        <w:tc>
          <w:tcPr>
            <w:tcW w:w="203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Outstanding-December 31, 2011</w:t>
            </w:r>
          </w:p>
        </w:tc>
        <w:tc>
          <w:tcPr>
            <w:tcW w:w="65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622,350  </w:t>
            </w:r>
          </w:p>
        </w:tc>
        <w:tc>
          <w:tcPr>
            <w:tcW w:w="60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185,100  </w:t>
            </w:r>
          </w:p>
        </w:tc>
        <w:tc>
          <w:tcPr>
            <w:tcW w:w="10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5.65  </w:t>
            </w:r>
          </w:p>
        </w:tc>
        <w:tc>
          <w:tcPr>
            <w:tcW w:w="10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9.90  </w:t>
            </w:r>
          </w:p>
        </w:tc>
        <w:tc>
          <w:tcPr>
            <w:tcW w:w="60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544,383  </w:t>
            </w:r>
          </w:p>
        </w:tc>
        <w:tc>
          <w:tcPr>
            <w:tcW w:w="60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167,550  </w:t>
            </w:r>
          </w:p>
        </w:tc>
        <w:tc>
          <w:tcPr>
            <w:tcW w:w="9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84"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5.86  </w:t>
            </w:r>
          </w:p>
        </w:tc>
        <w:tc>
          <w:tcPr>
            <w:tcW w:w="121"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10.05  </w:t>
            </w:r>
          </w:p>
        </w:tc>
      </w:tr>
      <w:tr>
        <w:trPr/>
        <w:tc>
          <w:tcPr>
            <w:tcW w:w="2030" w:type="dxa"/>
            <w:tcBorders>
              <w:top w:val="single" w:sz="8" w:space="0" w:color="000000"/>
            </w:tcBorders>
            <w:shd w:fill="CCEEFF" w:val="clear"/>
            <w:tcMar>
              <w:top w:w="28" w:type="dxa"/>
            </w:tcMar>
            <w:vAlign w:val="bottom"/>
          </w:tcPr>
          <w:p>
            <w:pPr>
              <w:pStyle w:val="TableContents"/>
              <w:spacing w:before="0" w:after="1"/>
              <w:ind w:left="120" w:right="0" w:hanging="0"/>
              <w:jc w:val="both"/>
              <w:rPr>
                <w:sz w:val="15"/>
              </w:rPr>
            </w:pPr>
            <w:r>
              <w:rPr>
                <w:sz w:val="15"/>
              </w:rPr>
              <w:t>Granted</w:t>
            </w:r>
          </w:p>
        </w:tc>
        <w:tc>
          <w:tcPr>
            <w:tcW w:w="65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206,000  </w:t>
            </w:r>
          </w:p>
        </w:tc>
        <w:tc>
          <w:tcPr>
            <w:tcW w:w="60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5.94  </w:t>
            </w:r>
          </w:p>
        </w:tc>
        <w:tc>
          <w:tcPr>
            <w:tcW w:w="10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0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0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484"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21"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99"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2030" w:type="dxa"/>
            <w:tcBorders/>
            <w:shd w:fill="FFFFFF" w:val="clear"/>
            <w:vAlign w:val="bottom"/>
          </w:tcPr>
          <w:p>
            <w:pPr>
              <w:pStyle w:val="TableContents"/>
              <w:spacing w:before="0" w:after="1"/>
              <w:ind w:left="120" w:right="0" w:hanging="0"/>
              <w:jc w:val="both"/>
              <w:rPr>
                <w:sz w:val="15"/>
              </w:rPr>
            </w:pPr>
            <w:r>
              <w:rPr>
                <w:sz w:val="15"/>
              </w:rPr>
              <w:t>Exercised</w:t>
            </w:r>
          </w:p>
        </w:tc>
        <w:tc>
          <w:tcPr>
            <w:tcW w:w="650" w:type="dxa"/>
            <w:tcBorders/>
            <w:shd w:fill="FFFFFF" w:val="clear"/>
            <w:vAlign w:val="bottom"/>
          </w:tcPr>
          <w:p>
            <w:pPr>
              <w:pStyle w:val="TableContents"/>
              <w:spacing w:before="0" w:after="283"/>
              <w:jc w:val="right"/>
              <w:rPr>
                <w:sz w:val="15"/>
              </w:rPr>
            </w:pPr>
            <w:r>
              <w:rPr>
                <w:sz w:val="15"/>
              </w:rPr>
              <w:t xml:space="preserve">(136,000) </w:t>
            </w:r>
          </w:p>
        </w:tc>
        <w:tc>
          <w:tcPr>
            <w:tcW w:w="605" w:type="dxa"/>
            <w:tcBorders/>
            <w:shd w:fill="FFFFFF" w:val="clear"/>
            <w:vAlign w:val="bottom"/>
          </w:tcPr>
          <w:p>
            <w:pPr>
              <w:pStyle w:val="TableContents"/>
              <w:spacing w:before="0" w:after="1"/>
              <w:ind w:left="0" w:right="0" w:hanging="0"/>
              <w:jc w:val="right"/>
              <w:rPr>
                <w:sz w:val="15"/>
              </w:rPr>
            </w:pPr>
            <w:r>
              <w:rPr>
                <w:sz w:val="15"/>
              </w:rPr>
              <w:t>--</w:t>
            </w:r>
          </w:p>
        </w:tc>
        <w:tc>
          <w:tcPr>
            <w:tcW w:w="102" w:type="dxa"/>
            <w:tcBorders/>
            <w:shd w:fill="FFFFFF" w:val="clear"/>
            <w:vAlign w:val="bottom"/>
          </w:tcPr>
          <w:p>
            <w:pPr>
              <w:pStyle w:val="TableContents"/>
              <w:spacing w:before="0" w:after="1"/>
              <w:ind w:left="0" w:right="0" w:hanging="0"/>
              <w:jc w:val="right"/>
              <w:rPr>
                <w:sz w:val="15"/>
              </w:rPr>
            </w:pPr>
            <w:r>
              <w:rPr>
                <w:sz w:val="15"/>
              </w:rPr>
              <w:t>$</w:t>
            </w:r>
          </w:p>
        </w:tc>
        <w:tc>
          <w:tcPr>
            <w:tcW w:w="413" w:type="dxa"/>
            <w:tcBorders/>
            <w:shd w:fill="FFFFFF" w:val="clear"/>
            <w:vAlign w:val="bottom"/>
          </w:tcPr>
          <w:p>
            <w:pPr>
              <w:pStyle w:val="TableContents"/>
              <w:spacing w:before="0" w:after="283"/>
              <w:jc w:val="right"/>
              <w:rPr>
                <w:sz w:val="15"/>
              </w:rPr>
            </w:pPr>
            <w:r>
              <w:rPr>
                <w:sz w:val="15"/>
              </w:rPr>
              <w:t xml:space="preserve">4.68  </w:t>
            </w:r>
          </w:p>
        </w:tc>
        <w:tc>
          <w:tcPr>
            <w:tcW w:w="102" w:type="dxa"/>
            <w:tcBorders/>
            <w:shd w:fill="FFFFFF" w:val="clear"/>
            <w:vAlign w:val="bottom"/>
          </w:tcPr>
          <w:p>
            <w:pPr>
              <w:pStyle w:val="TableContents"/>
              <w:spacing w:before="0" w:after="1"/>
              <w:ind w:left="0" w:right="0" w:hanging="0"/>
              <w:jc w:val="right"/>
              <w:rPr>
                <w:sz w:val="15"/>
              </w:rPr>
            </w:pPr>
            <w:r>
              <w:rPr>
                <w:sz w:val="15"/>
              </w:rPr>
              <w:t>$</w:t>
            </w:r>
          </w:p>
        </w:tc>
        <w:tc>
          <w:tcPr>
            <w:tcW w:w="496" w:type="dxa"/>
            <w:tcBorders/>
            <w:shd w:fill="FFFFFF" w:val="clear"/>
            <w:vAlign w:val="bottom"/>
          </w:tcPr>
          <w:p>
            <w:pPr>
              <w:pStyle w:val="TableContents"/>
              <w:spacing w:before="0" w:after="1"/>
              <w:ind w:left="0" w:right="0" w:hanging="0"/>
              <w:jc w:val="right"/>
              <w:rPr>
                <w:sz w:val="15"/>
              </w:rPr>
            </w:pPr>
            <w:r>
              <w:rPr>
                <w:sz w:val="15"/>
              </w:rPr>
              <w:t>--</w:t>
            </w:r>
          </w:p>
        </w:tc>
        <w:tc>
          <w:tcPr>
            <w:tcW w:w="605"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484" w:type="dxa"/>
            <w:tcBorders/>
            <w:shd w:fill="FFFFFF" w:val="clear"/>
            <w:vAlign w:val="bottom"/>
          </w:tcPr>
          <w:p>
            <w:pPr>
              <w:pStyle w:val="TableContents"/>
              <w:spacing w:before="0" w:after="1"/>
              <w:ind w:left="0" w:right="0" w:hanging="0"/>
              <w:jc w:val="right"/>
              <w:rPr/>
            </w:pPr>
            <w:r>
              <w:rPr/>
              <w:t> </w:t>
            </w:r>
          </w:p>
        </w:tc>
        <w:tc>
          <w:tcPr>
            <w:tcW w:w="121" w:type="dxa"/>
            <w:tcBorders/>
            <w:shd w:fill="FFFFFF" w:val="clear"/>
            <w:vAlign w:val="bottom"/>
          </w:tcPr>
          <w:p>
            <w:pPr>
              <w:pStyle w:val="TableContents"/>
              <w:spacing w:before="0" w:after="1"/>
              <w:ind w:left="0" w:right="0" w:hanging="0"/>
              <w:jc w:val="right"/>
              <w:rPr/>
            </w:pPr>
            <w:r>
              <w:rPr/>
              <w:t> </w:t>
            </w:r>
          </w:p>
        </w:tc>
        <w:tc>
          <w:tcPr>
            <w:tcW w:w="599" w:type="dxa"/>
            <w:tcBorders/>
            <w:shd w:fill="FFFFFF" w:val="clear"/>
            <w:vAlign w:val="bottom"/>
          </w:tcPr>
          <w:p>
            <w:pPr>
              <w:pStyle w:val="TableContents"/>
              <w:spacing w:before="0" w:after="1"/>
              <w:ind w:left="0" w:right="0" w:hanging="0"/>
              <w:jc w:val="right"/>
              <w:rPr/>
            </w:pPr>
            <w:r>
              <w:rPr/>
              <w:t> </w:t>
            </w:r>
          </w:p>
        </w:tc>
      </w:tr>
      <w:tr>
        <w:trPr/>
        <w:tc>
          <w:tcPr>
            <w:tcW w:w="2030"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5"/>
              </w:rPr>
            </w:pPr>
            <w:r>
              <w:rPr>
                <w:sz w:val="15"/>
              </w:rPr>
              <w:t>Expired</w:t>
            </w:r>
          </w:p>
        </w:tc>
        <w:tc>
          <w:tcPr>
            <w:tcW w:w="65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(20,000) </w:t>
            </w:r>
          </w:p>
        </w:tc>
        <w:tc>
          <w:tcPr>
            <w:tcW w:w="605"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02"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413"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3.75  </w:t>
            </w:r>
          </w:p>
        </w:tc>
        <w:tc>
          <w:tcPr>
            <w:tcW w:w="102"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496"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60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484"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21"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99"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r>
      <w:tr>
        <w:trPr/>
        <w:tc>
          <w:tcPr>
            <w:tcW w:w="20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Outstanding-December 31, 2012</w:t>
            </w:r>
          </w:p>
        </w:tc>
        <w:tc>
          <w:tcPr>
            <w:tcW w:w="6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672,350  </w:t>
            </w:r>
          </w:p>
        </w:tc>
        <w:tc>
          <w:tcPr>
            <w:tcW w:w="60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185,100  </w:t>
            </w:r>
          </w:p>
        </w:tc>
        <w:tc>
          <w:tcPr>
            <w:tcW w:w="10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13"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6.24  </w:t>
            </w:r>
          </w:p>
        </w:tc>
        <w:tc>
          <w:tcPr>
            <w:tcW w:w="10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96"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9.90  </w:t>
            </w:r>
          </w:p>
        </w:tc>
        <w:tc>
          <w:tcPr>
            <w:tcW w:w="60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546,350  </w:t>
            </w:r>
          </w:p>
        </w:tc>
        <w:tc>
          <w:tcPr>
            <w:tcW w:w="60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185,100  </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48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6.26  </w:t>
            </w:r>
          </w:p>
        </w:tc>
        <w:tc>
          <w:tcPr>
            <w:tcW w:w="121"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9"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9.90 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w:t>
      </w:r>
      <w:r>
        <w:rPr>
          <w:sz w:val="17"/>
        </w:rPr>
        <w:t xml:space="preserve">The weighted average remaining contractual life of all options outstanding, vested and expected to vest, at December 31, 2012 and 2011 were approximately 5.32 and 4.13 years, respectively.  The weighted average remaining contractual life of the exercisable options outstanding at December 31, 2012 and 2011 was approximately 4.28 and 3.85 years, respectively. </w:t>
      </w:r>
    </w:p>
    <w:p>
      <w:pPr>
        <w:pStyle w:val="TextBody"/>
        <w:spacing w:before="0" w:after="200"/>
        <w:ind w:left="1440" w:right="0" w:hanging="0"/>
        <w:jc w:val="both"/>
        <w:rPr>
          <w:sz w:val="17"/>
        </w:rPr>
      </w:pPr>
      <w:r>
        <w:rPr>
          <w:b/>
          <w:sz w:val="17"/>
          <w:u w:val="single"/>
        </w:rPr>
        <w:t>Note 4 – Earnings (Loss) Per Share</w:t>
      </w:r>
      <w:r>
        <w:rPr>
          <w:sz w:val="17"/>
        </w:rPr>
        <w:t xml:space="preserve"> </w:t>
      </w:r>
    </w:p>
    <w:p>
      <w:pPr>
        <w:pStyle w:val="TextBody"/>
        <w:spacing w:before="0" w:after="200"/>
        <w:ind w:left="1440" w:right="0" w:hanging="0"/>
        <w:jc w:val="both"/>
        <w:rPr/>
      </w:pPr>
      <w:r>
        <w:rPr/>
        <w:t>            </w:t>
      </w:r>
      <w:r>
        <w:rPr>
          <w:sz w:val="17"/>
        </w:rPr>
        <w:t xml:space="preserve">For the three years ended December 31, 2012, we calculated the following earnings (loss) per share (dollars in thousands, except per share amounts): </w:t>
      </w:r>
    </w:p>
    <w:p>
      <w:pPr>
        <w:pStyle w:val="TextBody"/>
        <w:spacing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6065"/>
        <w:gridCol w:w="95"/>
        <w:gridCol w:w="800"/>
        <w:gridCol w:w="95"/>
        <w:gridCol w:w="800"/>
        <w:gridCol w:w="95"/>
        <w:gridCol w:w="815"/>
      </w:tblGrid>
      <w:tr>
        <w:trPr/>
        <w:tc>
          <w:tcPr>
            <w:tcW w:w="60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60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606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2011</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2010</w:t>
            </w:r>
          </w:p>
        </w:tc>
      </w:tr>
      <w:tr>
        <w:trPr/>
        <w:tc>
          <w:tcPr>
            <w:tcW w:w="6065"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Income (loss) from continuing operations</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(509)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8,068 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1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(12,747) </w:t>
            </w:r>
          </w:p>
        </w:tc>
      </w:tr>
      <w:tr>
        <w:trPr/>
        <w:tc>
          <w:tcPr>
            <w:tcW w:w="60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Income (loss) from discontinued operations</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(405)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1,888 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97  </w:t>
            </w:r>
          </w:p>
        </w:tc>
      </w:tr>
      <w:tr>
        <w:trPr/>
        <w:tc>
          <w:tcPr>
            <w:tcW w:w="6065"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Net income (loss) attributable to Reading International, Inc. common shareholders</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(914)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0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9,956 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81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(12,650) </w:t>
            </w:r>
          </w:p>
        </w:tc>
      </w:tr>
      <w:tr>
        <w:trPr/>
        <w:tc>
          <w:tcPr>
            <w:tcW w:w="6065" w:type="dxa"/>
            <w:tcBorders/>
            <w:shd w:fill="FFFFFF" w:val="clear"/>
            <w:vAlign w:val="bottom"/>
          </w:tcPr>
          <w:p>
            <w:pPr>
              <w:pStyle w:val="TableContents"/>
              <w:spacing w:before="0" w:after="1"/>
              <w:ind w:left="0" w:right="0" w:hanging="0"/>
              <w:jc w:val="both"/>
              <w:rPr>
                <w:b/>
                <w:sz w:val="15"/>
              </w:rPr>
            </w:pPr>
            <w:r>
              <w:rPr>
                <w:b/>
                <w:sz w:val="15"/>
              </w:rPr>
              <w:t>Basic income (loss) per common share attributable to Reading International, Inc. shareholders:</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6065" w:type="dxa"/>
            <w:tcBorders/>
            <w:shd w:fill="CCEEFF" w:val="clear"/>
            <w:vAlign w:val="bottom"/>
          </w:tcPr>
          <w:p>
            <w:pPr>
              <w:pStyle w:val="TableContents"/>
              <w:spacing w:before="0" w:after="1"/>
              <w:ind w:left="0" w:right="0" w:hanging="0"/>
              <w:jc w:val="both"/>
              <w:rPr>
                <w:sz w:val="15"/>
              </w:rPr>
            </w:pPr>
            <w:r>
              <w:rPr>
                <w:sz w:val="15"/>
              </w:rPr>
              <w:t>Earnings (loss) from continuing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(0.02)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0.36 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(0.56) </w:t>
            </w:r>
          </w:p>
        </w:tc>
      </w:tr>
      <w:tr>
        <w:trPr/>
        <w:tc>
          <w:tcPr>
            <w:tcW w:w="60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Earnings (loss) from discontinued operations, net</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(0.02)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0.08 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r>
      <w:tr>
        <w:trPr/>
        <w:tc>
          <w:tcPr>
            <w:tcW w:w="6065"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Basic income (loss) per share attributable to Reading International, Inc. shareholders</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(0.04)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0.44 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81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(0.56) </w:t>
            </w:r>
          </w:p>
        </w:tc>
      </w:tr>
      <w:tr>
        <w:trPr/>
        <w:tc>
          <w:tcPr>
            <w:tcW w:w="6065" w:type="dxa"/>
            <w:tcBorders/>
            <w:shd w:fill="FFFFFF" w:val="clear"/>
            <w:vAlign w:val="bottom"/>
          </w:tcPr>
          <w:p>
            <w:pPr>
              <w:pStyle w:val="TableContents"/>
              <w:spacing w:before="0" w:after="1"/>
              <w:ind w:left="0" w:right="0" w:hanging="0"/>
              <w:jc w:val="both"/>
              <w:rPr>
                <w:b/>
                <w:sz w:val="15"/>
              </w:rPr>
            </w:pPr>
            <w:r>
              <w:rPr>
                <w:b/>
                <w:sz w:val="15"/>
              </w:rPr>
              <w:t>Diluted income (loss) per common share attributable to Reading International, Inc. shareholders:</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00"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1"/>
              <w:ind w:left="0" w:right="0" w:hanging="0"/>
              <w:jc w:val="right"/>
              <w:rPr/>
            </w:pPr>
            <w:r>
              <w:rPr/>
              <w:t> </w:t>
            </w:r>
          </w:p>
        </w:tc>
      </w:tr>
      <w:tr>
        <w:trPr/>
        <w:tc>
          <w:tcPr>
            <w:tcW w:w="6065" w:type="dxa"/>
            <w:tcBorders/>
            <w:shd w:fill="CCEEFF" w:val="clear"/>
            <w:vAlign w:val="bottom"/>
          </w:tcPr>
          <w:p>
            <w:pPr>
              <w:pStyle w:val="TableContents"/>
              <w:spacing w:before="0" w:after="1"/>
              <w:ind w:left="0" w:right="0" w:hanging="0"/>
              <w:jc w:val="both"/>
              <w:rPr>
                <w:sz w:val="15"/>
              </w:rPr>
            </w:pPr>
            <w:r>
              <w:rPr>
                <w:sz w:val="15"/>
              </w:rPr>
              <w:t>Earnings (loss) from continuing operations</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(0.02)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00" w:type="dxa"/>
            <w:tcBorders/>
            <w:shd w:fill="CCEEFF" w:val="clear"/>
            <w:vAlign w:val="bottom"/>
          </w:tcPr>
          <w:p>
            <w:pPr>
              <w:pStyle w:val="TableContents"/>
              <w:spacing w:before="0" w:after="283"/>
              <w:jc w:val="right"/>
              <w:rPr>
                <w:sz w:val="15"/>
              </w:rPr>
            </w:pPr>
            <w:r>
              <w:rPr>
                <w:sz w:val="15"/>
              </w:rPr>
              <w:t xml:space="preserve">0.35  </w:t>
            </w:r>
          </w:p>
        </w:tc>
        <w:tc>
          <w:tcPr>
            <w:tcW w:w="95" w:type="dxa"/>
            <w:tcBorders/>
            <w:shd w:fill="CCEEFF" w:val="clear"/>
            <w:vAlign w:val="bottom"/>
          </w:tcPr>
          <w:p>
            <w:pPr>
              <w:pStyle w:val="TableContents"/>
              <w:spacing w:before="0" w:after="1"/>
              <w:ind w:left="0" w:right="0" w:hanging="0"/>
              <w:jc w:val="right"/>
              <w:rPr>
                <w:sz w:val="15"/>
              </w:rPr>
            </w:pPr>
            <w:r>
              <w:rPr>
                <w:sz w:val="15"/>
              </w:rPr>
              <w:t>$</w:t>
            </w:r>
          </w:p>
        </w:tc>
        <w:tc>
          <w:tcPr>
            <w:tcW w:w="815" w:type="dxa"/>
            <w:tcBorders/>
            <w:shd w:fill="CCEEFF" w:val="clear"/>
            <w:vAlign w:val="bottom"/>
          </w:tcPr>
          <w:p>
            <w:pPr>
              <w:pStyle w:val="TableContents"/>
              <w:spacing w:before="0" w:after="283"/>
              <w:jc w:val="right"/>
              <w:rPr>
                <w:sz w:val="15"/>
              </w:rPr>
            </w:pPr>
            <w:r>
              <w:rPr>
                <w:sz w:val="15"/>
              </w:rPr>
              <w:t xml:space="preserve">(0.56) </w:t>
            </w:r>
          </w:p>
        </w:tc>
      </w:tr>
      <w:tr>
        <w:trPr/>
        <w:tc>
          <w:tcPr>
            <w:tcW w:w="60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Earnings (loss) from discontinued operations, net</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(0.02)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0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0.08 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1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r>
      <w:tr>
        <w:trPr/>
        <w:tc>
          <w:tcPr>
            <w:tcW w:w="60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Diluted income (loss) per share attributable to Reading International, Inc. shareholders</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(0.04)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0.43 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8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(0.56) </w:t>
            </w:r>
          </w:p>
        </w:tc>
      </w:tr>
      <w:tr>
        <w:trPr/>
        <w:tc>
          <w:tcPr>
            <w:tcW w:w="6065" w:type="dxa"/>
            <w:tcBorders>
              <w:top w:val="single" w:sz="12" w:space="0" w:color="000000"/>
            </w:tcBorders>
            <w:shd w:fill="FFFFFF" w:val="clear"/>
            <w:tcMar>
              <w:top w:w="28" w:type="dxa"/>
            </w:tcMar>
            <w:vAlign w:val="bottom"/>
          </w:tcPr>
          <w:p>
            <w:pPr>
              <w:pStyle w:val="TableContents"/>
              <w:spacing w:before="0" w:after="1"/>
              <w:ind w:left="0" w:right="0" w:hanging="0"/>
              <w:jc w:val="both"/>
              <w:rPr>
                <w:sz w:val="15"/>
              </w:rPr>
            </w:pPr>
            <w:r>
              <w:rPr>
                <w:sz w:val="15"/>
              </w:rPr>
              <w:t>Weighted average shares of common stock – basic</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800" w:type="dxa"/>
            <w:tcBorders>
              <w:top w:val="single" w:sz="12" w:space="0" w:color="000000"/>
            </w:tcBorders>
            <w:shd w:fill="FFFFFF" w:val="clear"/>
            <w:tcMar>
              <w:top w:w="28" w:type="dxa"/>
            </w:tcMar>
            <w:vAlign w:val="bottom"/>
          </w:tcPr>
          <w:p>
            <w:pPr>
              <w:pStyle w:val="TableContents"/>
              <w:spacing w:before="0" w:after="283"/>
              <w:jc w:val="right"/>
              <w:rPr>
                <w:sz w:val="15"/>
              </w:rPr>
            </w:pPr>
            <w:r>
              <w:rPr>
                <w:sz w:val="15"/>
              </w:rPr>
              <w:t xml:space="preserve">23,028,596 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800" w:type="dxa"/>
            <w:tcBorders>
              <w:top w:val="single" w:sz="12" w:space="0" w:color="000000"/>
            </w:tcBorders>
            <w:shd w:fill="FFFFFF" w:val="clear"/>
            <w:tcMar>
              <w:top w:w="28" w:type="dxa"/>
            </w:tcMar>
            <w:vAlign w:val="bottom"/>
          </w:tcPr>
          <w:p>
            <w:pPr>
              <w:pStyle w:val="TableContents"/>
              <w:spacing w:before="0" w:after="283"/>
              <w:jc w:val="right"/>
              <w:rPr>
                <w:sz w:val="15"/>
              </w:rPr>
            </w:pPr>
            <w:r>
              <w:rPr>
                <w:sz w:val="15"/>
              </w:rPr>
              <w:t xml:space="preserve">22,764,666  </w:t>
            </w:r>
          </w:p>
        </w:tc>
        <w:tc>
          <w:tcPr>
            <w:tcW w:w="9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815" w:type="dxa"/>
            <w:tcBorders>
              <w:top w:val="single" w:sz="12" w:space="0" w:color="000000"/>
            </w:tcBorders>
            <w:shd w:fill="FFFFFF" w:val="clear"/>
            <w:tcMar>
              <w:top w:w="28" w:type="dxa"/>
            </w:tcMar>
            <w:vAlign w:val="bottom"/>
          </w:tcPr>
          <w:p>
            <w:pPr>
              <w:pStyle w:val="TableContents"/>
              <w:spacing w:before="0" w:after="283"/>
              <w:jc w:val="right"/>
              <w:rPr>
                <w:sz w:val="15"/>
              </w:rPr>
            </w:pPr>
            <w:r>
              <w:rPr>
                <w:sz w:val="15"/>
              </w:rPr>
              <w:t xml:space="preserve">22,781,392  </w:t>
            </w:r>
          </w:p>
        </w:tc>
      </w:tr>
      <w:tr>
        <w:trPr/>
        <w:tc>
          <w:tcPr>
            <w:tcW w:w="6065" w:type="dxa"/>
            <w:tcBorders>
              <w:bottom w:val="single" w:sz="12" w:space="0" w:color="000000"/>
            </w:tcBorders>
            <w:shd w:fill="CCEEFF" w:val="clear"/>
            <w:tcMar>
              <w:bottom w:w="28" w:type="dxa"/>
            </w:tcMar>
            <w:vAlign w:val="bottom"/>
          </w:tcPr>
          <w:p>
            <w:pPr>
              <w:pStyle w:val="TableContents"/>
              <w:spacing w:before="0" w:after="1"/>
              <w:ind w:left="0" w:right="0" w:hanging="0"/>
              <w:jc w:val="both"/>
              <w:rPr>
                <w:sz w:val="15"/>
              </w:rPr>
            </w:pPr>
            <w:r>
              <w:rPr>
                <w:sz w:val="15"/>
              </w:rPr>
              <w:t>Weighted average shares of common stock – diluted</w:t>
            </w:r>
          </w:p>
        </w:tc>
        <w:tc>
          <w:tcPr>
            <w:tcW w:w="95" w:type="dxa"/>
            <w:tcBorders>
              <w:bottom w:val="single" w:sz="12" w:space="0" w:color="000000"/>
            </w:tcBorders>
            <w:shd w:fill="CCEEFF" w:val="clear"/>
            <w:tcMar>
              <w:bottom w:w="28" w:type="dxa"/>
            </w:tcMar>
            <w:vAlign w:val="bottom"/>
          </w:tcPr>
          <w:p>
            <w:pPr>
              <w:pStyle w:val="TableContents"/>
              <w:spacing w:before="0" w:after="1"/>
              <w:ind w:left="0" w:right="0" w:hanging="0"/>
              <w:jc w:val="both"/>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sz w:val="15"/>
              </w:rPr>
            </w:pPr>
            <w:r>
              <w:rPr>
                <w:sz w:val="15"/>
              </w:rPr>
              <w:t xml:space="preserve">23,028,596  </w:t>
            </w:r>
          </w:p>
        </w:tc>
        <w:tc>
          <w:tcPr>
            <w:tcW w:w="95" w:type="dxa"/>
            <w:tcBorders>
              <w:bottom w:val="single" w:sz="12" w:space="0" w:color="000000"/>
            </w:tcBorders>
            <w:shd w:fill="CCEEFF" w:val="clear"/>
            <w:tcMar>
              <w:bottom w:w="28" w:type="dxa"/>
            </w:tcMar>
            <w:vAlign w:val="bottom"/>
          </w:tcPr>
          <w:p>
            <w:pPr>
              <w:pStyle w:val="TableContents"/>
              <w:spacing w:before="0" w:after="1"/>
              <w:ind w:left="0" w:right="0" w:hanging="0"/>
              <w:jc w:val="both"/>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sz w:val="15"/>
              </w:rPr>
            </w:pPr>
            <w:r>
              <w:rPr>
                <w:sz w:val="15"/>
              </w:rPr>
              <w:t xml:space="preserve">22,993,135  </w:t>
            </w:r>
          </w:p>
        </w:tc>
        <w:tc>
          <w:tcPr>
            <w:tcW w:w="95" w:type="dxa"/>
            <w:tcBorders>
              <w:bottom w:val="single" w:sz="12" w:space="0" w:color="000000"/>
            </w:tcBorders>
            <w:shd w:fill="CCEEFF" w:val="clear"/>
            <w:tcMar>
              <w:bottom w:w="28" w:type="dxa"/>
            </w:tcMar>
            <w:vAlign w:val="bottom"/>
          </w:tcPr>
          <w:p>
            <w:pPr>
              <w:pStyle w:val="TableContents"/>
              <w:spacing w:before="0" w:after="1"/>
              <w:ind w:left="0" w:right="0" w:hanging="0"/>
              <w:jc w:val="both"/>
              <w:rPr/>
            </w:pPr>
            <w:r>
              <w:rPr/>
              <w:t> </w:t>
            </w:r>
          </w:p>
        </w:tc>
        <w:tc>
          <w:tcPr>
            <w:tcW w:w="815" w:type="dxa"/>
            <w:tcBorders>
              <w:bottom w:val="single" w:sz="12" w:space="0" w:color="000000"/>
            </w:tcBorders>
            <w:shd w:fill="CCEEFF" w:val="clear"/>
            <w:tcMar>
              <w:bottom w:w="28" w:type="dxa"/>
            </w:tcMar>
            <w:vAlign w:val="bottom"/>
          </w:tcPr>
          <w:p>
            <w:pPr>
              <w:pStyle w:val="TableContents"/>
              <w:spacing w:before="0" w:after="283"/>
              <w:jc w:val="right"/>
              <w:rPr>
                <w:sz w:val="15"/>
              </w:rPr>
            </w:pPr>
            <w:r>
              <w:rPr>
                <w:sz w:val="15"/>
              </w:rPr>
              <w:t xml:space="preserve">22,781,392 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For the year ended December 31, 2011, the weighted average common stock – dilutive included 228,469 of incremental shares of exercisable in-the-money stock options and unissued restricted Class A Stock.  For the years ended December 31, 2012 and 2010, we recorded losses from continuing operations.  As such, the 284,054 and 235,517, respectively, of incremental shares of exercisable in-the-money stock options and unissued restricted Class A Stock were excluded from the computation of diluted loss per share because they were anti-dilutive in those periods.  In addition, 791,286, 734,906, and 746,758 of out-of-the-money stock options were excluded from the computation of diluted earnings (loss) per share for the years ended December 31, 2012, 2011, and 2010, respectively.  The total number of in-the-money stock options, out-of-the-money stock options, and unissued restricted Class A Stock that could potentially dilute basic earnings per share was 1,075,340, 963,375, and 982,275 for the years ended December 31, 2012, 2011, and 2010, respectively.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firstLine="720"/>
        <w:jc w:val="both"/>
        <w:rPr/>
      </w:pPr>
      <w:r>
        <w:rPr/>
        <w:t xml:space="preserve">  </w:t>
      </w:r>
    </w:p>
    <w:p>
      <w:pPr>
        <w:pStyle w:val="TextBody"/>
        <w:spacing w:before="0" w:after="200"/>
        <w:ind w:left="1440" w:right="0" w:hanging="0"/>
        <w:jc w:val="both"/>
        <w:rPr>
          <w:sz w:val="17"/>
        </w:rPr>
      </w:pPr>
      <w:r>
        <w:rPr>
          <w:b/>
          <w:sz w:val="17"/>
          <w:u w:val="single"/>
        </w:rPr>
        <w:t>Note 5 – Prepaid and Other Assets</w:t>
      </w:r>
      <w:r>
        <w:rPr>
          <w:sz w:val="17"/>
        </w:rPr>
        <w:t xml:space="preserve"> </w:t>
      </w:r>
    </w:p>
    <w:p>
      <w:pPr>
        <w:pStyle w:val="TextBody"/>
        <w:spacing w:before="0" w:after="200"/>
        <w:ind w:left="1440" w:right="0" w:firstLine="720"/>
        <w:jc w:val="both"/>
        <w:rPr>
          <w:sz w:val="17"/>
        </w:rPr>
      </w:pPr>
      <w:r>
        <w:rPr>
          <w:sz w:val="17"/>
        </w:rPr>
        <w:t xml:space="preserve">Prepaid and other assets are summarized as follows (dollars in thousands): </w:t>
      </w:r>
    </w:p>
    <w:p>
      <w:pPr>
        <w:pStyle w:val="TextBody"/>
        <w:spacing w:before="0" w:after="0"/>
        <w:ind w:left="1440" w:right="0" w:firstLine="720"/>
        <w:jc w:val="both"/>
        <w:rPr/>
      </w:pPr>
      <w:r>
        <w:rPr/>
        <w:t xml:space="preserve">  </w:t>
      </w:r>
    </w:p>
    <w:tbl>
      <w:tblPr>
        <w:tblW w:w="4765" w:type="dxa"/>
        <w:jc w:val="left"/>
        <w:tblInd w:w="1440" w:type="dxa"/>
        <w:tblCellMar>
          <w:top w:w="0" w:type="dxa"/>
          <w:left w:w="0" w:type="dxa"/>
          <w:bottom w:w="0" w:type="dxa"/>
          <w:right w:w="0" w:type="dxa"/>
        </w:tblCellMar>
      </w:tblPr>
      <w:tblGrid>
        <w:gridCol w:w="3500"/>
        <w:gridCol w:w="110"/>
        <w:gridCol w:w="515"/>
        <w:gridCol w:w="110"/>
        <w:gridCol w:w="530"/>
      </w:tblGrid>
      <w:tr>
        <w:trPr/>
        <w:tc>
          <w:tcPr>
            <w:tcW w:w="35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35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35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5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350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3500" w:type="dxa"/>
            <w:tcBorders>
              <w:top w:val="single" w:sz="12" w:space="0" w:color="000000"/>
            </w:tcBorders>
            <w:shd w:fill="CCEEFF" w:val="clear"/>
            <w:tcMar>
              <w:top w:w="28" w:type="dxa"/>
            </w:tcMar>
            <w:vAlign w:val="bottom"/>
          </w:tcPr>
          <w:p>
            <w:pPr>
              <w:pStyle w:val="TableContents"/>
              <w:spacing w:before="0" w:after="1"/>
              <w:ind w:left="0" w:right="0" w:hanging="0"/>
              <w:jc w:val="both"/>
              <w:rPr>
                <w:b/>
                <w:sz w:val="17"/>
              </w:rPr>
            </w:pPr>
            <w:r>
              <w:rPr>
                <w:b/>
                <w:sz w:val="17"/>
              </w:rPr>
              <w:t>Prepaid and other current assets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1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3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3500" w:type="dxa"/>
            <w:tcBorders/>
            <w:shd w:fill="FFFFFF" w:val="clear"/>
            <w:vAlign w:val="bottom"/>
          </w:tcPr>
          <w:p>
            <w:pPr>
              <w:pStyle w:val="TableContents"/>
              <w:spacing w:before="0" w:after="1"/>
              <w:ind w:left="120" w:right="0" w:hanging="0"/>
              <w:jc w:val="both"/>
              <w:rPr>
                <w:sz w:val="17"/>
              </w:rPr>
            </w:pPr>
            <w:r>
              <w:rPr>
                <w:sz w:val="17"/>
              </w:rPr>
              <w:t>Prepaid expenses</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515" w:type="dxa"/>
            <w:tcBorders/>
            <w:shd w:fill="FFFFFF" w:val="clear"/>
            <w:vAlign w:val="bottom"/>
          </w:tcPr>
          <w:p>
            <w:pPr>
              <w:pStyle w:val="TableContents"/>
              <w:spacing w:before="0" w:after="283"/>
              <w:jc w:val="right"/>
              <w:rPr>
                <w:sz w:val="17"/>
              </w:rPr>
            </w:pPr>
            <w:r>
              <w:rPr>
                <w:sz w:val="17"/>
              </w:rPr>
              <w:t xml:space="preserve">1,150 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530" w:type="dxa"/>
            <w:tcBorders/>
            <w:shd w:fill="FFFFFF" w:val="clear"/>
            <w:vAlign w:val="bottom"/>
          </w:tcPr>
          <w:p>
            <w:pPr>
              <w:pStyle w:val="TableContents"/>
              <w:spacing w:before="0" w:after="283"/>
              <w:jc w:val="right"/>
              <w:rPr>
                <w:sz w:val="17"/>
              </w:rPr>
            </w:pPr>
            <w:r>
              <w:rPr>
                <w:sz w:val="17"/>
              </w:rPr>
              <w:t xml:space="preserve">1,168  </w:t>
            </w:r>
          </w:p>
        </w:tc>
      </w:tr>
      <w:tr>
        <w:trPr/>
        <w:tc>
          <w:tcPr>
            <w:tcW w:w="3500" w:type="dxa"/>
            <w:tcBorders/>
            <w:shd w:fill="CCEEFF" w:val="clear"/>
            <w:vAlign w:val="bottom"/>
          </w:tcPr>
          <w:p>
            <w:pPr>
              <w:pStyle w:val="TableContents"/>
              <w:spacing w:before="0" w:after="1"/>
              <w:ind w:left="120" w:right="0" w:hanging="0"/>
              <w:jc w:val="both"/>
              <w:rPr>
                <w:sz w:val="17"/>
              </w:rPr>
            </w:pPr>
            <w:r>
              <w:rPr>
                <w:sz w:val="17"/>
              </w:rPr>
              <w:t>Prepaid taxes</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855 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781  </w:t>
            </w:r>
          </w:p>
        </w:tc>
      </w:tr>
      <w:tr>
        <w:trPr/>
        <w:tc>
          <w:tcPr>
            <w:tcW w:w="3500" w:type="dxa"/>
            <w:tcBorders/>
            <w:shd w:fill="FFFFFF" w:val="clear"/>
            <w:vAlign w:val="bottom"/>
          </w:tcPr>
          <w:p>
            <w:pPr>
              <w:pStyle w:val="TableContents"/>
              <w:spacing w:before="0" w:after="1"/>
              <w:ind w:left="120" w:right="0" w:hanging="0"/>
              <w:jc w:val="both"/>
              <w:rPr>
                <w:sz w:val="17"/>
              </w:rPr>
            </w:pPr>
            <w:r>
              <w:rPr>
                <w:sz w:val="17"/>
              </w:rPr>
              <w:t>Deposits</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373 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605  </w:t>
            </w:r>
          </w:p>
        </w:tc>
      </w:tr>
      <w:tr>
        <w:trPr/>
        <w:tc>
          <w:tcPr>
            <w:tcW w:w="3500"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7"/>
              </w:rPr>
            </w:pPr>
            <w:r>
              <w:rPr>
                <w:sz w:val="17"/>
              </w:rPr>
              <w:t>Other</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1,198 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1,227  </w:t>
            </w:r>
          </w:p>
        </w:tc>
      </w:tr>
      <w:tr>
        <w:trPr/>
        <w:tc>
          <w:tcPr>
            <w:tcW w:w="350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240" w:right="0" w:hanging="0"/>
              <w:jc w:val="both"/>
              <w:rPr>
                <w:sz w:val="17"/>
              </w:rPr>
            </w:pPr>
            <w:r>
              <w:rPr>
                <w:sz w:val="17"/>
              </w:rPr>
              <w:t>Total prepaid and other current assets</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3,576 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3,781  </w:t>
            </w:r>
          </w:p>
        </w:tc>
      </w:tr>
      <w:tr>
        <w:trPr/>
        <w:tc>
          <w:tcPr>
            <w:tcW w:w="350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15"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53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3500" w:type="dxa"/>
            <w:tcBorders>
              <w:bottom w:val="single" w:sz="8" w:space="0" w:color="000000"/>
            </w:tcBorders>
            <w:shd w:fill="FFFFFF" w:val="clear"/>
            <w:tcMar>
              <w:bottom w:w="28" w:type="dxa"/>
            </w:tcMar>
            <w:vAlign w:val="bottom"/>
          </w:tcPr>
          <w:p>
            <w:pPr>
              <w:pStyle w:val="TableContents"/>
              <w:spacing w:before="0" w:after="1"/>
              <w:ind w:left="0" w:right="0" w:hanging="0"/>
              <w:jc w:val="both"/>
              <w:rPr>
                <w:b/>
                <w:sz w:val="17"/>
              </w:rPr>
            </w:pPr>
            <w:r>
              <w:rPr>
                <w:b/>
                <w:sz w:val="17"/>
              </w:rPr>
              <w:t>Other non-current assets</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1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53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r>
      <w:tr>
        <w:trPr/>
        <w:tc>
          <w:tcPr>
            <w:tcW w:w="3500" w:type="dxa"/>
            <w:tcBorders>
              <w:top w:val="single" w:sz="8" w:space="0" w:color="000000"/>
            </w:tcBorders>
            <w:shd w:fill="CCEEFF" w:val="clear"/>
            <w:tcMar>
              <w:top w:w="28" w:type="dxa"/>
            </w:tcMar>
            <w:vAlign w:val="bottom"/>
          </w:tcPr>
          <w:p>
            <w:pPr>
              <w:pStyle w:val="TableContents"/>
              <w:spacing w:before="0" w:after="1"/>
              <w:ind w:left="120" w:right="0" w:hanging="0"/>
              <w:jc w:val="both"/>
              <w:rPr>
                <w:sz w:val="17"/>
              </w:rPr>
            </w:pPr>
            <w:r>
              <w:rPr>
                <w:sz w:val="17"/>
              </w:rPr>
              <w:t>Other non-cinema and non-rental real estate assets</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1,134 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3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1,134  </w:t>
            </w:r>
          </w:p>
        </w:tc>
      </w:tr>
      <w:tr>
        <w:trPr/>
        <w:tc>
          <w:tcPr>
            <w:tcW w:w="3500" w:type="dxa"/>
            <w:tcBorders/>
            <w:shd w:fill="FFFFFF" w:val="clear"/>
            <w:vAlign w:val="bottom"/>
          </w:tcPr>
          <w:p>
            <w:pPr>
              <w:pStyle w:val="TableContents"/>
              <w:spacing w:before="0" w:after="1"/>
              <w:ind w:left="120" w:right="0" w:hanging="0"/>
              <w:jc w:val="both"/>
              <w:rPr>
                <w:sz w:val="17"/>
              </w:rPr>
            </w:pPr>
            <w:r>
              <w:rPr>
                <w:sz w:val="17"/>
              </w:rPr>
              <w:t>Long-term deposits</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212 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264  </w:t>
            </w:r>
          </w:p>
        </w:tc>
      </w:tr>
      <w:tr>
        <w:trPr/>
        <w:tc>
          <w:tcPr>
            <w:tcW w:w="3500" w:type="dxa"/>
            <w:tcBorders/>
            <w:shd w:fill="CCEEFF" w:val="clear"/>
            <w:vAlign w:val="bottom"/>
          </w:tcPr>
          <w:p>
            <w:pPr>
              <w:pStyle w:val="TableContents"/>
              <w:spacing w:before="0" w:after="1"/>
              <w:ind w:left="120" w:right="0" w:hanging="0"/>
              <w:jc w:val="both"/>
              <w:rPr>
                <w:sz w:val="17"/>
              </w:rPr>
            </w:pPr>
            <w:r>
              <w:rPr>
                <w:sz w:val="17"/>
              </w:rPr>
              <w:t>Deferred financing costs, net</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2,230 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3,725  </w:t>
            </w:r>
          </w:p>
        </w:tc>
      </w:tr>
      <w:tr>
        <w:trPr/>
        <w:tc>
          <w:tcPr>
            <w:tcW w:w="3500" w:type="dxa"/>
            <w:tcBorders/>
            <w:shd w:fill="FFFFFF" w:val="clear"/>
            <w:vAlign w:val="bottom"/>
          </w:tcPr>
          <w:p>
            <w:pPr>
              <w:pStyle w:val="TableContents"/>
              <w:spacing w:before="0" w:after="1"/>
              <w:ind w:left="120" w:right="0" w:hanging="0"/>
              <w:jc w:val="both"/>
              <w:rPr>
                <w:sz w:val="17"/>
              </w:rPr>
            </w:pPr>
            <w:r>
              <w:rPr>
                <w:sz w:val="17"/>
              </w:rPr>
              <w:t>Notes receivable</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2,000 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851  </w:t>
            </w:r>
          </w:p>
        </w:tc>
      </w:tr>
      <w:tr>
        <w:trPr/>
        <w:tc>
          <w:tcPr>
            <w:tcW w:w="3500" w:type="dxa"/>
            <w:tcBorders/>
            <w:shd w:fill="CCEEFF" w:val="clear"/>
            <w:vAlign w:val="bottom"/>
          </w:tcPr>
          <w:p>
            <w:pPr>
              <w:pStyle w:val="TableContents"/>
              <w:spacing w:before="0" w:after="1"/>
              <w:ind w:left="120" w:right="0" w:hanging="0"/>
              <w:jc w:val="both"/>
              <w:rPr>
                <w:sz w:val="17"/>
              </w:rPr>
            </w:pPr>
            <w:r>
              <w:rPr>
                <w:sz w:val="17"/>
              </w:rPr>
              <w:t>Tenant inducement asset</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716 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1,064  </w:t>
            </w:r>
          </w:p>
        </w:tc>
      </w:tr>
      <w:tr>
        <w:trPr/>
        <w:tc>
          <w:tcPr>
            <w:tcW w:w="3500" w:type="dxa"/>
            <w:tcBorders/>
            <w:shd w:fill="FFFFFF" w:val="clear"/>
            <w:vAlign w:val="bottom"/>
          </w:tcPr>
          <w:p>
            <w:pPr>
              <w:pStyle w:val="TableContents"/>
              <w:spacing w:before="0" w:after="1"/>
              <w:ind w:left="120" w:right="0" w:hanging="0"/>
              <w:jc w:val="both"/>
              <w:rPr>
                <w:sz w:val="17"/>
              </w:rPr>
            </w:pPr>
            <w:r>
              <w:rPr>
                <w:sz w:val="17"/>
              </w:rPr>
              <w:t>Straight-line rent asset</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2,775 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2,776  </w:t>
            </w:r>
          </w:p>
        </w:tc>
      </w:tr>
      <w:tr>
        <w:trPr/>
        <w:tc>
          <w:tcPr>
            <w:tcW w:w="3500"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7"/>
              </w:rPr>
            </w:pPr>
            <w:r>
              <w:rPr>
                <w:sz w:val="17"/>
              </w:rPr>
              <w:t>Other</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r>
      <w:tr>
        <w:trPr/>
        <w:tc>
          <w:tcPr>
            <w:tcW w:w="350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240" w:right="0" w:hanging="0"/>
              <w:jc w:val="both"/>
              <w:rPr>
                <w:sz w:val="17"/>
              </w:rPr>
            </w:pPr>
            <w:r>
              <w:rPr>
                <w:sz w:val="17"/>
              </w:rPr>
              <w:t>Total non-current assets</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9,069 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9,814  </w:t>
            </w:r>
          </w:p>
        </w:tc>
      </w:tr>
    </w:tbl>
    <w:p>
      <w:pPr>
        <w:pStyle w:val="TextBody"/>
        <w:spacing w:before="0" w:after="0"/>
        <w:ind w:left="1440" w:right="0" w:hanging="0"/>
        <w:jc w:val="both"/>
        <w:rPr/>
      </w:pPr>
      <w:r>
        <w:rPr>
          <w:u w:val="single"/>
        </w:rPr>
        <w:t> </w:t>
      </w:r>
      <w:r>
        <w:rPr/>
        <w:t xml:space="preserve"> </w:t>
      </w:r>
    </w:p>
    <w:p>
      <w:pPr>
        <w:pStyle w:val="TextBody"/>
        <w:spacing w:before="0" w:after="200"/>
        <w:ind w:left="1440" w:right="0" w:hanging="0"/>
        <w:jc w:val="both"/>
        <w:rPr>
          <w:sz w:val="17"/>
        </w:rPr>
      </w:pPr>
      <w:r>
        <w:rPr>
          <w:sz w:val="17"/>
          <w:u w:val="single"/>
        </w:rPr>
        <w:t>Investment in Notes Receivable</w:t>
      </w:r>
      <w:r>
        <w:rPr>
          <w:sz w:val="17"/>
        </w:rPr>
        <w:t xml:space="preserve"> </w:t>
      </w:r>
    </w:p>
    <w:p>
      <w:pPr>
        <w:pStyle w:val="TextBody"/>
        <w:spacing w:before="0" w:after="200"/>
        <w:ind w:left="1440" w:right="0" w:hanging="0"/>
        <w:jc w:val="both"/>
        <w:rPr>
          <w:sz w:val="17"/>
        </w:rPr>
      </w:pPr>
      <w:r>
        <w:rPr>
          <w:i/>
          <w:sz w:val="17"/>
        </w:rPr>
        <w:t>Notes Receivable</w:t>
      </w:r>
      <w:r>
        <w:rPr>
          <w:sz w:val="17"/>
        </w:rPr>
        <w:t xml:space="preserve"> </w:t>
      </w:r>
    </w:p>
    <w:p>
      <w:pPr>
        <w:pStyle w:val="TextBody"/>
        <w:spacing w:before="0" w:after="200"/>
        <w:ind w:left="1440" w:right="0" w:hanging="0"/>
        <w:jc w:val="both"/>
        <w:rPr/>
      </w:pPr>
      <w:r>
        <w:rPr/>
        <w:t>            </w:t>
      </w:r>
      <w:r>
        <w:rPr>
          <w:sz w:val="17"/>
        </w:rPr>
        <w:t xml:space="preserve">We currently hold two promissory notes secured by assets in the United States and New Zealand.    The purchase price of these notes aggregate to $2.0 million and they are carried on our balance sheet at their purchase price.  </w:t>
      </w:r>
    </w:p>
    <w:p>
      <w:pPr>
        <w:pStyle w:val="TextBody"/>
        <w:spacing w:before="0" w:after="200"/>
        <w:ind w:left="1440" w:right="0" w:hanging="0"/>
        <w:jc w:val="both"/>
        <w:rPr>
          <w:sz w:val="17"/>
        </w:rPr>
      </w:pPr>
      <w:r>
        <w:rPr>
          <w:b/>
          <w:sz w:val="17"/>
          <w:u w:val="single"/>
        </w:rPr>
        <w:t>Note 6 – Operating Property</w:t>
      </w:r>
      <w:r>
        <w:rPr>
          <w:sz w:val="17"/>
        </w:rPr>
        <w:t xml:space="preserve"> </w:t>
      </w:r>
    </w:p>
    <w:p>
      <w:pPr>
        <w:pStyle w:val="TextBody"/>
        <w:spacing w:before="0" w:after="200"/>
        <w:ind w:left="1440" w:right="0" w:firstLine="720"/>
        <w:jc w:val="both"/>
        <w:rPr>
          <w:sz w:val="17"/>
        </w:rPr>
      </w:pPr>
      <w:r>
        <w:rPr>
          <w:sz w:val="17"/>
        </w:rPr>
        <w:t xml:space="preserve">Property associated with our operating activities is summarized as follows (dollars in thousands): </w:t>
      </w:r>
    </w:p>
    <w:p>
      <w:pPr>
        <w:pStyle w:val="TextBody"/>
        <w:spacing w:before="0" w:after="0"/>
        <w:ind w:left="1440" w:right="0" w:hanging="0"/>
        <w:jc w:val="both"/>
        <w:rPr/>
      </w:pPr>
      <w:r>
        <w:rPr/>
        <w:t xml:space="preserve">  </w:t>
      </w:r>
    </w:p>
    <w:tbl>
      <w:tblPr>
        <w:tblW w:w="3970" w:type="dxa"/>
        <w:jc w:val="left"/>
        <w:tblInd w:w="1440" w:type="dxa"/>
        <w:tblCellMar>
          <w:top w:w="0" w:type="dxa"/>
          <w:left w:w="0" w:type="dxa"/>
          <w:bottom w:w="0" w:type="dxa"/>
          <w:right w:w="0" w:type="dxa"/>
        </w:tblCellMar>
      </w:tblPr>
      <w:tblGrid>
        <w:gridCol w:w="2195"/>
        <w:gridCol w:w="110"/>
        <w:gridCol w:w="770"/>
        <w:gridCol w:w="110"/>
        <w:gridCol w:w="785"/>
      </w:tblGrid>
      <w:tr>
        <w:trPr/>
        <w:tc>
          <w:tcPr>
            <w:tcW w:w="21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85" w:type="dxa"/>
            <w:tcBorders/>
            <w:shd w:fill="auto" w:val="clear"/>
            <w:vAlign w:val="bottom"/>
          </w:tcPr>
          <w:p>
            <w:pPr>
              <w:pStyle w:val="TableContents"/>
              <w:spacing w:before="0" w:after="1"/>
              <w:ind w:left="0" w:right="0" w:hanging="0"/>
              <w:jc w:val="both"/>
              <w:rPr/>
            </w:pPr>
            <w:r>
              <w:rPr/>
              <w:t> </w:t>
            </w:r>
          </w:p>
        </w:tc>
      </w:tr>
      <w:tr>
        <w:trPr/>
        <w:tc>
          <w:tcPr>
            <w:tcW w:w="21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85" w:type="dxa"/>
            <w:tcBorders/>
            <w:shd w:fill="auto" w:val="clear"/>
            <w:vAlign w:val="bottom"/>
          </w:tcPr>
          <w:p>
            <w:pPr>
              <w:pStyle w:val="TableContents"/>
              <w:spacing w:before="0" w:after="1"/>
              <w:ind w:left="0" w:right="0" w:hanging="0"/>
              <w:jc w:val="both"/>
              <w:rPr/>
            </w:pPr>
            <w:r>
              <w:rPr/>
              <w:t> </w:t>
            </w:r>
          </w:p>
        </w:tc>
      </w:tr>
      <w:tr>
        <w:trPr/>
        <w:tc>
          <w:tcPr>
            <w:tcW w:w="21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6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21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Operating property</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77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78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2195" w:type="dxa"/>
            <w:tcBorders>
              <w:top w:val="single" w:sz="12" w:space="0" w:color="000000"/>
            </w:tcBorders>
            <w:shd w:fill="CCEEFF" w:val="clear"/>
            <w:tcMar>
              <w:top w:w="28" w:type="dxa"/>
            </w:tcMar>
            <w:vAlign w:val="bottom"/>
          </w:tcPr>
          <w:p>
            <w:pPr>
              <w:pStyle w:val="TableContents"/>
              <w:spacing w:before="0" w:after="1"/>
              <w:ind w:left="120" w:right="0" w:hanging="0"/>
              <w:jc w:val="both"/>
              <w:rPr>
                <w:sz w:val="17"/>
              </w:rPr>
            </w:pPr>
            <w:r>
              <w:rPr>
                <w:sz w:val="17"/>
              </w:rPr>
              <w:t>Land</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7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69,370 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8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62,873  </w:t>
            </w:r>
          </w:p>
        </w:tc>
      </w:tr>
      <w:tr>
        <w:trPr/>
        <w:tc>
          <w:tcPr>
            <w:tcW w:w="2195" w:type="dxa"/>
            <w:tcBorders/>
            <w:shd w:fill="FFFFFF" w:val="clear"/>
            <w:vAlign w:val="bottom"/>
          </w:tcPr>
          <w:p>
            <w:pPr>
              <w:pStyle w:val="TableContents"/>
              <w:spacing w:before="0" w:after="1"/>
              <w:ind w:left="120" w:right="0" w:hanging="0"/>
              <w:jc w:val="both"/>
              <w:rPr>
                <w:sz w:val="17"/>
              </w:rPr>
            </w:pPr>
            <w:r>
              <w:rPr>
                <w:sz w:val="17"/>
              </w:rPr>
              <w:t>Building and improvements</w:t>
            </w:r>
          </w:p>
        </w:tc>
        <w:tc>
          <w:tcPr>
            <w:tcW w:w="110" w:type="dxa"/>
            <w:tcBorders/>
            <w:shd w:fill="FFFFFF" w:val="clear"/>
            <w:vAlign w:val="bottom"/>
          </w:tcPr>
          <w:p>
            <w:pPr>
              <w:pStyle w:val="TableContents"/>
              <w:spacing w:before="0" w:after="1"/>
              <w:ind w:left="0" w:right="0" w:hanging="0"/>
              <w:jc w:val="right"/>
              <w:rPr/>
            </w:pPr>
            <w:r>
              <w:rPr/>
              <w:t> </w:t>
            </w:r>
          </w:p>
        </w:tc>
        <w:tc>
          <w:tcPr>
            <w:tcW w:w="770" w:type="dxa"/>
            <w:tcBorders/>
            <w:shd w:fill="FFFFFF" w:val="clear"/>
            <w:vAlign w:val="bottom"/>
          </w:tcPr>
          <w:p>
            <w:pPr>
              <w:pStyle w:val="TableContents"/>
              <w:spacing w:before="0" w:after="283"/>
              <w:jc w:val="right"/>
              <w:rPr>
                <w:sz w:val="17"/>
              </w:rPr>
            </w:pPr>
            <w:r>
              <w:rPr>
                <w:sz w:val="17"/>
              </w:rPr>
              <w:t xml:space="preserve">136,225  </w:t>
            </w:r>
          </w:p>
        </w:tc>
        <w:tc>
          <w:tcPr>
            <w:tcW w:w="110" w:type="dxa"/>
            <w:tcBorders/>
            <w:shd w:fill="FFFFFF" w:val="clear"/>
            <w:vAlign w:val="bottom"/>
          </w:tcPr>
          <w:p>
            <w:pPr>
              <w:pStyle w:val="TableContents"/>
              <w:spacing w:before="0" w:after="1"/>
              <w:ind w:left="0" w:right="0" w:hanging="0"/>
              <w:jc w:val="right"/>
              <w:rPr/>
            </w:pPr>
            <w:r>
              <w:rPr/>
              <w:t> </w:t>
            </w:r>
          </w:p>
        </w:tc>
        <w:tc>
          <w:tcPr>
            <w:tcW w:w="785" w:type="dxa"/>
            <w:tcBorders/>
            <w:shd w:fill="FFFFFF" w:val="clear"/>
            <w:vAlign w:val="bottom"/>
          </w:tcPr>
          <w:p>
            <w:pPr>
              <w:pStyle w:val="TableContents"/>
              <w:spacing w:before="0" w:after="283"/>
              <w:jc w:val="right"/>
              <w:rPr>
                <w:sz w:val="17"/>
              </w:rPr>
            </w:pPr>
            <w:r>
              <w:rPr>
                <w:sz w:val="17"/>
              </w:rPr>
              <w:t xml:space="preserve">134,967  </w:t>
            </w:r>
          </w:p>
        </w:tc>
      </w:tr>
      <w:tr>
        <w:trPr/>
        <w:tc>
          <w:tcPr>
            <w:tcW w:w="2195" w:type="dxa"/>
            <w:tcBorders/>
            <w:shd w:fill="CCEEFF" w:val="clear"/>
            <w:vAlign w:val="bottom"/>
          </w:tcPr>
          <w:p>
            <w:pPr>
              <w:pStyle w:val="TableContents"/>
              <w:spacing w:before="0" w:after="1"/>
              <w:ind w:left="120" w:right="0" w:hanging="0"/>
              <w:jc w:val="both"/>
              <w:rPr>
                <w:sz w:val="17"/>
              </w:rPr>
            </w:pPr>
            <w:r>
              <w:rPr>
                <w:sz w:val="17"/>
              </w:rPr>
              <w:t>Leasehold improvements</w:t>
            </w:r>
          </w:p>
        </w:tc>
        <w:tc>
          <w:tcPr>
            <w:tcW w:w="110" w:type="dxa"/>
            <w:tcBorders/>
            <w:shd w:fill="CCEEFF" w:val="clear"/>
            <w:vAlign w:val="bottom"/>
          </w:tcPr>
          <w:p>
            <w:pPr>
              <w:pStyle w:val="TableContents"/>
              <w:spacing w:before="0" w:after="1"/>
              <w:ind w:left="0" w:right="0" w:hanging="0"/>
              <w:jc w:val="right"/>
              <w:rPr/>
            </w:pPr>
            <w:r>
              <w:rPr/>
              <w:t> </w:t>
            </w:r>
          </w:p>
        </w:tc>
        <w:tc>
          <w:tcPr>
            <w:tcW w:w="770" w:type="dxa"/>
            <w:tcBorders/>
            <w:shd w:fill="CCEEFF" w:val="clear"/>
            <w:vAlign w:val="bottom"/>
          </w:tcPr>
          <w:p>
            <w:pPr>
              <w:pStyle w:val="TableContents"/>
              <w:spacing w:before="0" w:after="283"/>
              <w:jc w:val="right"/>
              <w:rPr>
                <w:sz w:val="17"/>
              </w:rPr>
            </w:pPr>
            <w:r>
              <w:rPr>
                <w:sz w:val="17"/>
              </w:rPr>
              <w:t xml:space="preserve">45,391  </w:t>
            </w:r>
          </w:p>
        </w:tc>
        <w:tc>
          <w:tcPr>
            <w:tcW w:w="110" w:type="dxa"/>
            <w:tcBorders/>
            <w:shd w:fill="CCEEFF" w:val="clear"/>
            <w:vAlign w:val="bottom"/>
          </w:tcPr>
          <w:p>
            <w:pPr>
              <w:pStyle w:val="TableContents"/>
              <w:spacing w:before="0" w:after="1"/>
              <w:ind w:left="0" w:right="0" w:hanging="0"/>
              <w:jc w:val="right"/>
              <w:rPr/>
            </w:pPr>
            <w:r>
              <w:rPr/>
              <w:t> </w:t>
            </w:r>
          </w:p>
        </w:tc>
        <w:tc>
          <w:tcPr>
            <w:tcW w:w="785" w:type="dxa"/>
            <w:tcBorders/>
            <w:shd w:fill="CCEEFF" w:val="clear"/>
            <w:vAlign w:val="bottom"/>
          </w:tcPr>
          <w:p>
            <w:pPr>
              <w:pStyle w:val="TableContents"/>
              <w:spacing w:before="0" w:after="283"/>
              <w:jc w:val="right"/>
              <w:rPr>
                <w:sz w:val="17"/>
              </w:rPr>
            </w:pPr>
            <w:r>
              <w:rPr>
                <w:sz w:val="17"/>
              </w:rPr>
              <w:t xml:space="preserve">41,380  </w:t>
            </w:r>
          </w:p>
        </w:tc>
      </w:tr>
      <w:tr>
        <w:trPr/>
        <w:tc>
          <w:tcPr>
            <w:tcW w:w="219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7"/>
              </w:rPr>
            </w:pPr>
            <w:r>
              <w:rPr>
                <w:sz w:val="17"/>
              </w:rPr>
              <w:t>Fixtures and equipment</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7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108,169 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8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103,872  </w:t>
            </w:r>
          </w:p>
        </w:tc>
      </w:tr>
      <w:tr>
        <w:trPr/>
        <w:tc>
          <w:tcPr>
            <w:tcW w:w="2195" w:type="dxa"/>
            <w:tcBorders>
              <w:top w:val="single" w:sz="8" w:space="0" w:color="000000"/>
            </w:tcBorders>
            <w:shd w:fill="CCEEFF" w:val="clear"/>
            <w:tcMar>
              <w:top w:w="28" w:type="dxa"/>
            </w:tcMar>
            <w:vAlign w:val="bottom"/>
          </w:tcPr>
          <w:p>
            <w:pPr>
              <w:pStyle w:val="TableContents"/>
              <w:spacing w:before="0" w:after="1"/>
              <w:ind w:left="240" w:right="0" w:hanging="0"/>
              <w:jc w:val="both"/>
              <w:rPr>
                <w:sz w:val="17"/>
              </w:rPr>
            </w:pPr>
            <w:r>
              <w:rPr>
                <w:sz w:val="17"/>
              </w:rPr>
              <w:t>Total cost</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77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359,155 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78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343,092  </w:t>
            </w:r>
          </w:p>
        </w:tc>
      </w:tr>
      <w:tr>
        <w:trPr/>
        <w:tc>
          <w:tcPr>
            <w:tcW w:w="219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7"/>
              </w:rPr>
            </w:pPr>
            <w:r>
              <w:rPr>
                <w:sz w:val="17"/>
              </w:rPr>
              <w:t>Less: accumulated depreciation</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7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(156,377)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8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(139,312) </w:t>
            </w:r>
          </w:p>
        </w:tc>
      </w:tr>
      <w:tr>
        <w:trPr/>
        <w:tc>
          <w:tcPr>
            <w:tcW w:w="21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Operating property, net</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202,778 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8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203,780  </w:t>
            </w:r>
          </w:p>
        </w:tc>
      </w:tr>
    </w:tbl>
    <w:p>
      <w:pPr>
        <w:pStyle w:val="TextBody"/>
        <w:spacing w:before="0" w:after="200"/>
        <w:ind w:left="1440" w:right="0" w:firstLine="720"/>
        <w:jc w:val="both"/>
        <w:rPr>
          <w:sz w:val="17"/>
        </w:rPr>
      </w:pPr>
      <w:r>
        <w:rPr>
          <w:sz w:val="17"/>
        </w:rPr>
        <w:t xml:space="preserve">Depreciation expense for operating property was $14.9 million, $14.9 million, and $13.0 million for the three years ended December 31, 2012, 2011, and 2010, respectively. </w:t>
      </w:r>
    </w:p>
    <w:p>
      <w:pPr>
        <w:pStyle w:val="TextBody"/>
        <w:spacing w:before="0" w:after="200"/>
        <w:ind w:left="1440" w:right="0" w:hanging="0"/>
        <w:jc w:val="both"/>
        <w:rPr/>
      </w:pPr>
      <w:r>
        <w:rPr/>
        <w:t>            </w:t>
      </w:r>
      <w:r>
        <w:rPr>
          <w:sz w:val="17"/>
        </w:rPr>
        <w:t xml:space="preserve">In 2011, we recorded impairment losses totaling $65,000 on two of our cinema properties.  We did not record an impairment charge for our operating assets during 2012 or 2010.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u w:val="single"/>
        </w:rPr>
        <w:t>Note 7 – Investment and Development Property</w:t>
      </w:r>
      <w:r>
        <w:rPr>
          <w:sz w:val="17"/>
        </w:rPr>
        <w:t xml:space="preserve"> </w:t>
      </w:r>
    </w:p>
    <w:p>
      <w:pPr>
        <w:pStyle w:val="TextBody"/>
        <w:spacing w:before="0" w:after="200"/>
        <w:ind w:left="1440" w:right="0" w:firstLine="720"/>
        <w:jc w:val="both"/>
        <w:rPr>
          <w:sz w:val="17"/>
        </w:rPr>
      </w:pPr>
      <w:r>
        <w:rPr>
          <w:sz w:val="17"/>
        </w:rPr>
        <w:t xml:space="preserve">Investment and development property is summarized as follows (dollars in thousands): </w:t>
      </w:r>
    </w:p>
    <w:p>
      <w:pPr>
        <w:pStyle w:val="TextBody"/>
        <w:spacing w:before="0" w:after="0"/>
        <w:ind w:left="1440" w:right="0" w:firstLine="72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tbl>
      <w:tblPr>
        <w:tblW w:w="5350" w:type="dxa"/>
        <w:jc w:val="left"/>
        <w:tblInd w:w="1440" w:type="dxa"/>
        <w:tblCellMar>
          <w:top w:w="0" w:type="dxa"/>
          <w:left w:w="0" w:type="dxa"/>
          <w:bottom w:w="0" w:type="dxa"/>
          <w:right w:w="0" w:type="dxa"/>
        </w:tblCellMar>
      </w:tblPr>
      <w:tblGrid>
        <w:gridCol w:w="3905"/>
        <w:gridCol w:w="110"/>
        <w:gridCol w:w="605"/>
        <w:gridCol w:w="110"/>
        <w:gridCol w:w="620"/>
      </w:tblGrid>
      <w:tr>
        <w:trPr/>
        <w:tc>
          <w:tcPr>
            <w:tcW w:w="39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39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39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33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390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Investment and Development Property</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3905" w:type="dxa"/>
            <w:tcBorders>
              <w:top w:val="single" w:sz="12" w:space="0" w:color="000000"/>
            </w:tcBorders>
            <w:shd w:fill="CCEEFF" w:val="clear"/>
            <w:tcMar>
              <w:top w:w="28" w:type="dxa"/>
            </w:tcMar>
            <w:vAlign w:val="bottom"/>
          </w:tcPr>
          <w:p>
            <w:pPr>
              <w:pStyle w:val="TableContents"/>
              <w:spacing w:before="0" w:after="1"/>
              <w:ind w:left="120" w:right="0" w:hanging="0"/>
              <w:jc w:val="both"/>
              <w:rPr>
                <w:sz w:val="17"/>
              </w:rPr>
            </w:pPr>
            <w:r>
              <w:rPr>
                <w:sz w:val="17"/>
              </w:rPr>
              <w:t>Land</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77,020 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75,384  </w:t>
            </w:r>
          </w:p>
        </w:tc>
      </w:tr>
      <w:tr>
        <w:trPr/>
        <w:tc>
          <w:tcPr>
            <w:tcW w:w="390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7"/>
              </w:rPr>
            </w:pPr>
            <w:r>
              <w:rPr>
                <w:sz w:val="17"/>
              </w:rPr>
              <w:t>Construction-in-progress (including capitalized interest)</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17,902 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15,315  </w:t>
            </w:r>
          </w:p>
        </w:tc>
      </w:tr>
      <w:tr>
        <w:trPr/>
        <w:tc>
          <w:tcPr>
            <w:tcW w:w="39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Investment and development property, net</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94,922 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90,699  </w:t>
            </w:r>
          </w:p>
        </w:tc>
      </w:tr>
    </w:tbl>
    <w:p>
      <w:pPr>
        <w:pStyle w:val="TextBody"/>
        <w:spacing w:before="0" w:after="0"/>
        <w:ind w:left="1440" w:right="0" w:firstLine="720"/>
        <w:jc w:val="both"/>
        <w:rPr/>
      </w:pPr>
      <w:r>
        <w:rPr/>
        <w:t xml:space="preserve">  </w:t>
      </w:r>
    </w:p>
    <w:p>
      <w:pPr>
        <w:pStyle w:val="TextBody"/>
        <w:spacing w:before="0" w:after="200"/>
        <w:ind w:left="1440" w:right="0" w:firstLine="720"/>
        <w:jc w:val="both"/>
        <w:rPr>
          <w:sz w:val="17"/>
        </w:rPr>
      </w:pPr>
      <w:r>
        <w:rPr>
          <w:sz w:val="17"/>
        </w:rPr>
        <w:t xml:space="preserve">During the year-ended December 31, 2009, we decided to curtail our current development progress on certain Australian and New Zealand land development projects.  As a result, we did not capitalize interest on these projects during 2012, 2011, and 2010 and we will not capitalize interest for these projects until development work recommences. </w:t>
      </w:r>
    </w:p>
    <w:p>
      <w:pPr>
        <w:pStyle w:val="TextBody"/>
        <w:spacing w:before="0" w:after="200"/>
        <w:ind w:left="1440" w:right="0" w:hanging="0"/>
        <w:jc w:val="both"/>
        <w:rPr>
          <w:sz w:val="17"/>
        </w:rPr>
      </w:pPr>
      <w:r>
        <w:rPr>
          <w:sz w:val="17"/>
          <w:u w:val="single"/>
        </w:rPr>
        <w:t>Coachella, California Land</w:t>
      </w:r>
      <w:r>
        <w:rPr>
          <w:sz w:val="17"/>
        </w:rPr>
        <w:t xml:space="preserve"> </w:t>
      </w:r>
    </w:p>
    <w:p>
      <w:pPr>
        <w:pStyle w:val="TextBody"/>
        <w:spacing w:before="0" w:after="200"/>
        <w:ind w:left="1440" w:right="0" w:firstLine="720"/>
        <w:jc w:val="both"/>
        <w:rPr>
          <w:sz w:val="17"/>
        </w:rPr>
      </w:pPr>
      <w:r>
        <w:rPr>
          <w:sz w:val="17"/>
        </w:rPr>
        <w:t xml:space="preserve">Based on a December 2012 appraisal of the property, the fair value of the property was $4.0 million resulting in a $1.5 million impairment to the carrying value of the asset.  As noted below, this property is 50% owned by Mr. James J. Cotter who shares in any impairment loss to the extent of his ownership interest. </w:t>
      </w:r>
    </w:p>
    <w:p>
      <w:pPr>
        <w:pStyle w:val="TextBody"/>
        <w:spacing w:before="0" w:after="200"/>
        <w:ind w:left="1440" w:right="0" w:hanging="0"/>
        <w:jc w:val="both"/>
        <w:rPr>
          <w:sz w:val="17"/>
        </w:rPr>
      </w:pPr>
      <w:r>
        <w:rPr>
          <w:b/>
          <w:sz w:val="17"/>
          <w:u w:val="single"/>
        </w:rPr>
        <w:t>Note 8 – Acquisitions, Disposals, and Assets Held for Sale</w:t>
      </w:r>
      <w:r>
        <w:rPr>
          <w:sz w:val="17"/>
        </w:rPr>
        <w:t xml:space="preserve"> </w:t>
      </w:r>
    </w:p>
    <w:p>
      <w:pPr>
        <w:pStyle w:val="TextBody"/>
        <w:spacing w:before="0" w:after="200"/>
        <w:ind w:left="1440" w:right="0" w:hanging="0"/>
        <w:jc w:val="both"/>
        <w:rPr>
          <w:sz w:val="17"/>
        </w:rPr>
      </w:pPr>
      <w:r>
        <w:rPr>
          <w:sz w:val="17"/>
          <w:u w:val="single"/>
        </w:rPr>
        <w:t>2012 Transactions</w:t>
      </w:r>
      <w:r>
        <w:rPr>
          <w:sz w:val="17"/>
        </w:rPr>
        <w:t xml:space="preserve"> </w:t>
      </w:r>
    </w:p>
    <w:p>
      <w:pPr>
        <w:pStyle w:val="TextBody"/>
        <w:spacing w:before="0" w:after="200"/>
        <w:ind w:left="1440" w:right="0" w:hanging="0"/>
        <w:jc w:val="both"/>
        <w:rPr>
          <w:i/>
          <w:sz w:val="17"/>
        </w:rPr>
      </w:pPr>
      <w:r>
        <w:rPr>
          <w:i/>
          <w:sz w:val="17"/>
        </w:rPr>
        <w:t xml:space="preserve">Indooroopilly - Sale </w:t>
      </w:r>
    </w:p>
    <w:p>
      <w:pPr>
        <w:pStyle w:val="TextBody"/>
        <w:spacing w:before="0" w:after="200"/>
        <w:ind w:left="1440" w:right="0" w:firstLine="720"/>
        <w:jc w:val="both"/>
        <w:rPr>
          <w:sz w:val="17"/>
        </w:rPr>
      </w:pPr>
      <w:r>
        <w:rPr>
          <w:sz w:val="17"/>
        </w:rPr>
        <w:t xml:space="preserve">On November 20, 2012, we sold our Indooroopilly property for $12.4 million (AUS$12.0 million).  As its book value at the time of sale was $12.5 million (AUS$12.1 million), we recorded a loss on sale in the form of an impairment expense of $318,000 (AUS$306,000) for the year ended December 31, 2012 which included the cost to sell the property.  The net book value of this property’s assets is included in assets held for sale on our Consolidated Balance Sheets at December 31, 2011 and the operational results are included in income (loss) from discontinued operations on our Condensed Consolidated Statements of Operations for the three years ended December 31, 2012. The condensed statement of operations for Indooroopilly is as follows (dollars in thousands): </w:t>
      </w:r>
    </w:p>
    <w:p>
      <w:pPr>
        <w:pStyle w:val="TextBody"/>
        <w:spacing w:before="0" w:after="0"/>
        <w:ind w:left="1440" w:right="0" w:hanging="0"/>
        <w:jc w:val="both"/>
        <w:rPr/>
      </w:pPr>
      <w:r>
        <w:rPr/>
        <w:t xml:space="preserve">  </w:t>
      </w:r>
    </w:p>
    <w:tbl>
      <w:tblPr>
        <w:tblW w:w="5300" w:type="dxa"/>
        <w:jc w:val="left"/>
        <w:tblInd w:w="1440" w:type="dxa"/>
        <w:tblCellMar>
          <w:top w:w="0" w:type="dxa"/>
          <w:left w:w="0" w:type="dxa"/>
          <w:bottom w:w="0" w:type="dxa"/>
          <w:right w:w="0" w:type="dxa"/>
        </w:tblCellMar>
      </w:tblPr>
      <w:tblGrid>
        <w:gridCol w:w="3815"/>
        <w:gridCol w:w="110"/>
        <w:gridCol w:w="380"/>
        <w:gridCol w:w="110"/>
        <w:gridCol w:w="380"/>
        <w:gridCol w:w="110"/>
        <w:gridCol w:w="395"/>
      </w:tblGrid>
      <w:tr>
        <w:trPr/>
        <w:tc>
          <w:tcPr>
            <w:tcW w:w="38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95" w:type="dxa"/>
            <w:tcBorders/>
            <w:shd w:fill="auto" w:val="clear"/>
            <w:vAlign w:val="bottom"/>
          </w:tcPr>
          <w:p>
            <w:pPr>
              <w:pStyle w:val="TableContents"/>
              <w:spacing w:before="0" w:after="1"/>
              <w:ind w:left="0" w:right="0" w:hanging="0"/>
              <w:jc w:val="both"/>
              <w:rPr/>
            </w:pPr>
            <w:r>
              <w:rPr/>
              <w:t> </w:t>
            </w:r>
          </w:p>
        </w:tc>
      </w:tr>
      <w:tr>
        <w:trPr/>
        <w:tc>
          <w:tcPr>
            <w:tcW w:w="38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395" w:type="dxa"/>
            <w:tcBorders/>
            <w:shd w:fill="auto" w:val="clear"/>
            <w:vAlign w:val="bottom"/>
          </w:tcPr>
          <w:p>
            <w:pPr>
              <w:pStyle w:val="TableContents"/>
              <w:spacing w:before="0" w:after="1"/>
              <w:ind w:left="0" w:right="0" w:hanging="0"/>
              <w:jc w:val="both"/>
              <w:rPr/>
            </w:pPr>
            <w:r>
              <w:rPr/>
              <w:t> </w:t>
            </w:r>
          </w:p>
        </w:tc>
      </w:tr>
      <w:tr>
        <w:trPr/>
        <w:tc>
          <w:tcPr>
            <w:tcW w:w="381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3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38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3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381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3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793 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3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825 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3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809  </w:t>
            </w:r>
          </w:p>
        </w:tc>
      </w:tr>
      <w:tr>
        <w:trPr/>
        <w:tc>
          <w:tcPr>
            <w:tcW w:w="3815" w:type="dxa"/>
            <w:tcBorders/>
            <w:shd w:fill="FFFFFF" w:val="clear"/>
            <w:vAlign w:val="bottom"/>
          </w:tcPr>
          <w:p>
            <w:pPr>
              <w:pStyle w:val="TableContents"/>
              <w:spacing w:before="0" w:after="1"/>
              <w:ind w:left="0" w:right="0" w:hanging="0"/>
              <w:jc w:val="both"/>
              <w:rPr>
                <w:sz w:val="17"/>
              </w:rPr>
            </w:pPr>
            <w:r>
              <w:rPr>
                <w:sz w:val="17"/>
              </w:rPr>
              <w:t>Less: operating expense</w:t>
            </w:r>
          </w:p>
        </w:tc>
        <w:tc>
          <w:tcPr>
            <w:tcW w:w="110" w:type="dxa"/>
            <w:tcBorders/>
            <w:shd w:fill="FFFFFF" w:val="clear"/>
            <w:vAlign w:val="bottom"/>
          </w:tcPr>
          <w:p>
            <w:pPr>
              <w:pStyle w:val="TableContents"/>
              <w:spacing w:before="0" w:after="1"/>
              <w:ind w:left="0" w:right="0" w:hanging="0"/>
              <w:jc w:val="right"/>
              <w:rPr/>
            </w:pPr>
            <w:r>
              <w:rPr/>
              <w:t> </w:t>
            </w:r>
          </w:p>
        </w:tc>
        <w:tc>
          <w:tcPr>
            <w:tcW w:w="380" w:type="dxa"/>
            <w:tcBorders/>
            <w:shd w:fill="FFFFFF" w:val="clear"/>
            <w:vAlign w:val="bottom"/>
          </w:tcPr>
          <w:p>
            <w:pPr>
              <w:pStyle w:val="TableContents"/>
              <w:spacing w:before="0" w:after="283"/>
              <w:jc w:val="right"/>
              <w:rPr>
                <w:sz w:val="17"/>
              </w:rPr>
            </w:pPr>
            <w:r>
              <w:rPr>
                <w:sz w:val="17"/>
              </w:rPr>
              <w:t xml:space="preserve">560  </w:t>
            </w:r>
          </w:p>
        </w:tc>
        <w:tc>
          <w:tcPr>
            <w:tcW w:w="110" w:type="dxa"/>
            <w:tcBorders/>
            <w:shd w:fill="FFFFFF" w:val="clear"/>
            <w:vAlign w:val="bottom"/>
          </w:tcPr>
          <w:p>
            <w:pPr>
              <w:pStyle w:val="TableContents"/>
              <w:spacing w:before="0" w:after="1"/>
              <w:ind w:left="0" w:right="0" w:hanging="0"/>
              <w:jc w:val="right"/>
              <w:rPr/>
            </w:pPr>
            <w:r>
              <w:rPr/>
              <w:t> </w:t>
            </w:r>
          </w:p>
        </w:tc>
        <w:tc>
          <w:tcPr>
            <w:tcW w:w="380" w:type="dxa"/>
            <w:tcBorders/>
            <w:shd w:fill="FFFFFF" w:val="clear"/>
            <w:vAlign w:val="bottom"/>
          </w:tcPr>
          <w:p>
            <w:pPr>
              <w:pStyle w:val="TableContents"/>
              <w:spacing w:before="0" w:after="283"/>
              <w:jc w:val="right"/>
              <w:rPr>
                <w:sz w:val="17"/>
              </w:rPr>
            </w:pPr>
            <w:r>
              <w:rPr>
                <w:sz w:val="17"/>
              </w:rPr>
              <w:t xml:space="preserve">593  </w:t>
            </w:r>
          </w:p>
        </w:tc>
        <w:tc>
          <w:tcPr>
            <w:tcW w:w="110" w:type="dxa"/>
            <w:tcBorders/>
            <w:shd w:fill="FFFFFF" w:val="clear"/>
            <w:vAlign w:val="bottom"/>
          </w:tcPr>
          <w:p>
            <w:pPr>
              <w:pStyle w:val="TableContents"/>
              <w:spacing w:before="0" w:after="1"/>
              <w:ind w:left="0" w:right="0" w:hanging="0"/>
              <w:jc w:val="right"/>
              <w:rPr/>
            </w:pPr>
            <w:r>
              <w:rPr/>
              <w:t> </w:t>
            </w:r>
          </w:p>
        </w:tc>
        <w:tc>
          <w:tcPr>
            <w:tcW w:w="395" w:type="dxa"/>
            <w:tcBorders/>
            <w:shd w:fill="FFFFFF" w:val="clear"/>
            <w:vAlign w:val="bottom"/>
          </w:tcPr>
          <w:p>
            <w:pPr>
              <w:pStyle w:val="TableContents"/>
              <w:spacing w:before="0" w:after="283"/>
              <w:jc w:val="right"/>
              <w:rPr>
                <w:sz w:val="17"/>
              </w:rPr>
            </w:pPr>
            <w:r>
              <w:rPr>
                <w:sz w:val="17"/>
              </w:rPr>
              <w:t xml:space="preserve">712  </w:t>
            </w:r>
          </w:p>
        </w:tc>
      </w:tr>
      <w:tr>
        <w:trPr/>
        <w:tc>
          <w:tcPr>
            <w:tcW w:w="381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Less: impairment expense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3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318 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38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39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r>
      <w:tr>
        <w:trPr/>
        <w:tc>
          <w:tcPr>
            <w:tcW w:w="38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Income (loss) from discontinued operations, net of tax</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3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(85)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3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232 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3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97 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i/>
          <w:sz w:val="17"/>
        </w:rPr>
        <w:t>Taringa - Sale</w:t>
      </w:r>
      <w:r>
        <w:rPr>
          <w:sz w:val="17"/>
        </w:rPr>
        <w:t xml:space="preserve"> </w:t>
      </w:r>
    </w:p>
    <w:p>
      <w:pPr>
        <w:pStyle w:val="TextBody"/>
        <w:spacing w:before="0" w:after="200"/>
        <w:ind w:left="1440" w:right="0" w:firstLine="720"/>
        <w:jc w:val="both"/>
        <w:rPr>
          <w:sz w:val="17"/>
        </w:rPr>
      </w:pPr>
      <w:r>
        <w:rPr>
          <w:sz w:val="17"/>
        </w:rPr>
        <w:t xml:space="preserve">On February 21, 2012, we sold our three properties of approximately 1.1 acres in the Taringa area of Brisbane, Australia for $1.9 million (AUS$1.8 million). Because the net carrying amounts of these properties were greater than the total sale price, we recorded an impairment expense for these properties of $369,000 (AUS$365,000) for the year ended December 31, 2011. </w:t>
      </w:r>
    </w:p>
    <w:p>
      <w:pPr>
        <w:pStyle w:val="TextBody"/>
        <w:spacing w:before="0" w:after="200"/>
        <w:ind w:left="1440" w:right="0" w:hanging="0"/>
        <w:jc w:val="both"/>
        <w:rPr>
          <w:sz w:val="17"/>
        </w:rPr>
      </w:pPr>
      <w:r>
        <w:rPr>
          <w:i/>
          <w:sz w:val="17"/>
        </w:rPr>
        <w:t>Coachella, California Land - Acquisition</w:t>
      </w:r>
      <w:r>
        <w:rPr>
          <w:sz w:val="17"/>
        </w:rPr>
        <w:t xml:space="preserve"> </w:t>
      </w:r>
    </w:p>
    <w:p>
      <w:pPr>
        <w:pStyle w:val="TextBody"/>
        <w:spacing w:before="0" w:after="200"/>
        <w:ind w:left="1440" w:right="0" w:firstLine="720"/>
        <w:jc w:val="both"/>
        <w:rPr>
          <w:sz w:val="17"/>
        </w:rPr>
      </w:pPr>
      <w:r>
        <w:rPr>
          <w:sz w:val="17"/>
        </w:rPr>
        <w:t xml:space="preserve">On January 10, 2012, Shadow View Land and Farming, LLC, a limited liability company owned by our Company, acquired a 202-acre property, zoned for the development of up to 843 single-family residential units, located in the City of Coachella, California.  The property was acquired at a foreclosure auction for $5.5 million.  The property was acquired as a long-term investment in developable land. Half of the funds used to acquire the land were provided by Mr. James J. Cotter, our Chairman, Chief Executive Officer and controlling shareholder.  Upon the approval of our Conflicts Committee, these funds were converted on January 18, 2012 into a 50% interest in Shadow View Land and Farming, LLC.  We are the managing member of this company.  See Note 20 – </w:t>
      </w:r>
      <w:r>
        <w:rPr>
          <w:i/>
          <w:sz w:val="17"/>
        </w:rPr>
        <w:t>Noncontrolling Interests</w:t>
      </w:r>
      <w:r>
        <w:rPr>
          <w:sz w:val="17"/>
        </w:rPr>
        <w:t xml:space="preserve">. </w:t>
      </w:r>
    </w:p>
    <w:p>
      <w:pPr>
        <w:pStyle w:val="TextBody"/>
        <w:spacing w:before="0" w:after="200"/>
        <w:ind w:left="1440" w:right="0" w:hanging="0"/>
        <w:jc w:val="both"/>
        <w:rPr>
          <w:sz w:val="17"/>
        </w:rPr>
      </w:pPr>
      <w:r>
        <w:rPr>
          <w:sz w:val="17"/>
          <w:u w:val="single"/>
        </w:rPr>
        <w:t>2011 Transactions</w:t>
      </w:r>
      <w:r>
        <w:rPr>
          <w:sz w:val="17"/>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i/>
          <w:sz w:val="17"/>
        </w:rPr>
        <w:t>Cal Oaks Cinema - Acquisition</w:t>
      </w:r>
      <w:r>
        <w:rPr>
          <w:sz w:val="17"/>
        </w:rPr>
        <w:t xml:space="preserve"> </w:t>
      </w:r>
    </w:p>
    <w:p>
      <w:pPr>
        <w:pStyle w:val="TextBody"/>
        <w:spacing w:before="0" w:after="200"/>
        <w:ind w:left="1440" w:right="0" w:firstLine="720"/>
        <w:jc w:val="both"/>
        <w:rPr>
          <w:sz w:val="17"/>
        </w:rPr>
      </w:pPr>
      <w:r>
        <w:rPr>
          <w:sz w:val="17"/>
        </w:rPr>
        <w:t xml:space="preserve">On August 25, 2011, we purchased a 17-screen multiplex in Murrieta, California (the “CalOaks Cinema”) for $4.2 million made up of $3.9 million of cash and a $250,000 holdback note for certain offset charges to the purchase price (see Note 12 – </w:t>
      </w:r>
      <w:r>
        <w:rPr>
          <w:i/>
          <w:sz w:val="17"/>
        </w:rPr>
        <w:t>Notes Payable).</w:t>
      </w:r>
      <w:r>
        <w:rPr>
          <w:sz w:val="17"/>
        </w:rPr>
        <w:t xml:space="preserve"> </w:t>
      </w:r>
    </w:p>
    <w:p>
      <w:pPr>
        <w:pStyle w:val="TextBody"/>
        <w:spacing w:before="0" w:after="200"/>
        <w:ind w:left="1440" w:right="0" w:firstLine="720"/>
        <w:jc w:val="both"/>
        <w:rPr>
          <w:sz w:val="17"/>
        </w:rPr>
      </w:pPr>
      <w:r>
        <w:rPr>
          <w:sz w:val="17"/>
        </w:rPr>
        <w:t xml:space="preserve">On May 15, 2011, in conjunction with the contemplated purchase of the CalOaks cinema, we lent $2.3 million to the owner of the CalOaks cinema in exchange for a 90-day note receivable.  The note was secured by three cinemas’ leases and had an annualized interest of 9.9%.  On August 25, 2011, as part of the CalOaks cinema acquisition, this note was repaid. </w:t>
      </w:r>
    </w:p>
    <w:p>
      <w:pPr>
        <w:pStyle w:val="TextBody"/>
        <w:spacing w:before="0" w:after="200"/>
        <w:ind w:left="1440" w:right="0" w:hanging="0"/>
        <w:jc w:val="both"/>
        <w:rPr>
          <w:sz w:val="17"/>
        </w:rPr>
      </w:pPr>
      <w:r>
        <w:rPr>
          <w:i/>
          <w:sz w:val="17"/>
        </w:rPr>
        <w:t>Elsternwick Classic Cinema - Sale</w:t>
      </w:r>
      <w:r>
        <w:rPr>
          <w:sz w:val="17"/>
        </w:rPr>
        <w:t xml:space="preserve"> </w:t>
      </w:r>
    </w:p>
    <w:p>
      <w:pPr>
        <w:pStyle w:val="TextBody"/>
        <w:spacing w:before="0" w:after="200"/>
        <w:ind w:left="1440" w:right="0" w:hanging="0"/>
        <w:jc w:val="both"/>
        <w:rPr/>
      </w:pPr>
      <w:r>
        <w:rPr/>
        <w:t>            </w:t>
      </w:r>
      <w:r>
        <w:rPr>
          <w:sz w:val="17"/>
        </w:rPr>
        <w:t xml:space="preserve">On April 14, 2011, we sold our 66.7% share of the 5-screen Elsternwick Classic cinema located in Melbourne, Australia to our joint venture partner for $1.9 million (AUS$1.8 million) and recognized a gain on sale of a discontinued operation of $1.7 million (AUS$1.6 million). </w:t>
      </w:r>
    </w:p>
    <w:p>
      <w:pPr>
        <w:pStyle w:val="TextBody"/>
        <w:spacing w:before="0" w:after="200"/>
        <w:ind w:left="1440" w:right="0" w:hanging="0"/>
        <w:jc w:val="both"/>
        <w:rPr>
          <w:sz w:val="17"/>
        </w:rPr>
      </w:pPr>
      <w:r>
        <w:rPr>
          <w:sz w:val="17"/>
          <w:u w:val="single"/>
        </w:rPr>
        <w:t>2010 Transactions</w:t>
      </w:r>
      <w:r>
        <w:rPr>
          <w:sz w:val="17"/>
        </w:rPr>
        <w:t xml:space="preserve"> </w:t>
      </w:r>
    </w:p>
    <w:p>
      <w:pPr>
        <w:pStyle w:val="TextBody"/>
        <w:spacing w:before="0" w:after="200"/>
        <w:ind w:left="1440" w:right="0" w:hanging="0"/>
        <w:jc w:val="both"/>
        <w:rPr>
          <w:sz w:val="17"/>
        </w:rPr>
      </w:pPr>
      <w:r>
        <w:rPr>
          <w:i/>
          <w:sz w:val="17"/>
        </w:rPr>
        <w:t>Manukau Land - Acquisition</w:t>
      </w:r>
      <w:r>
        <w:rPr>
          <w:sz w:val="17"/>
        </w:rPr>
        <w:t xml:space="preserve"> </w:t>
      </w:r>
    </w:p>
    <w:p>
      <w:pPr>
        <w:pStyle w:val="TextBody"/>
        <w:spacing w:before="0" w:after="200"/>
        <w:ind w:left="1440" w:right="0" w:hanging="0"/>
        <w:jc w:val="both"/>
        <w:rPr/>
      </w:pPr>
      <w:r>
        <w:rPr/>
        <w:t>            </w:t>
      </w:r>
      <w:r>
        <w:rPr>
          <w:sz w:val="17"/>
        </w:rPr>
        <w:t xml:space="preserve">On April 30, 2009, we entered into an agreement to purchase for $3.6 million (NZ$5.2 million) a property adjacent to our Manukau property.  An initial deposit of $26,000 (NZ$50,000) was paid upon signing of the agreement, a second deposit of $175,000 (NZ$258,000) was paid in the second quarter of 2009 and a third deposit of $531,000 (NZ$773,000) was paid in August 2009.  The fourth and final purchase payment of $2.9 million (NZ$4.1 million) was made on March 31, 2010 completing our acquisition of this land parcel. </w:t>
      </w:r>
    </w:p>
    <w:p>
      <w:pPr>
        <w:pStyle w:val="TextBody"/>
        <w:spacing w:before="0" w:after="200"/>
        <w:ind w:left="1440" w:right="0" w:hanging="0"/>
        <w:jc w:val="both"/>
        <w:rPr>
          <w:sz w:val="17"/>
        </w:rPr>
      </w:pPr>
      <w:r>
        <w:rPr>
          <w:b/>
          <w:sz w:val="17"/>
          <w:u w:val="single"/>
        </w:rPr>
        <w:t>Note 9 – Transfer of Held for Sale Real Estate to Continuing Operations and Related Items</w:t>
      </w:r>
      <w:r>
        <w:rPr>
          <w:sz w:val="17"/>
        </w:rPr>
        <w:t xml:space="preserve"> </w:t>
      </w:r>
    </w:p>
    <w:p>
      <w:pPr>
        <w:pStyle w:val="TextBody"/>
        <w:spacing w:before="0" w:after="200"/>
        <w:ind w:left="1440" w:right="0" w:hanging="0"/>
        <w:jc w:val="both"/>
        <w:rPr>
          <w:sz w:val="17"/>
        </w:rPr>
      </w:pPr>
      <w:r>
        <w:rPr>
          <w:sz w:val="17"/>
          <w:u w:val="single"/>
        </w:rPr>
        <w:t>2011 Transactions</w:t>
      </w:r>
      <w:r>
        <w:rPr>
          <w:sz w:val="17"/>
        </w:rPr>
        <w:t xml:space="preserve"> </w:t>
      </w:r>
    </w:p>
    <w:p>
      <w:pPr>
        <w:pStyle w:val="TextBody"/>
        <w:spacing w:before="0" w:after="200"/>
        <w:ind w:left="1440" w:right="0" w:hanging="0"/>
        <w:jc w:val="both"/>
        <w:rPr>
          <w:sz w:val="17"/>
        </w:rPr>
      </w:pPr>
      <w:r>
        <w:rPr>
          <w:i/>
          <w:sz w:val="17"/>
        </w:rPr>
        <w:t>Lake Taupo Motel</w:t>
      </w:r>
      <w:r>
        <w:rPr>
          <w:sz w:val="17"/>
        </w:rPr>
        <w:t xml:space="preserve"> </w:t>
      </w:r>
    </w:p>
    <w:p>
      <w:pPr>
        <w:pStyle w:val="TextBody"/>
        <w:spacing w:before="0" w:after="200"/>
        <w:ind w:left="1440" w:right="0" w:hanging="0"/>
        <w:jc w:val="both"/>
        <w:rPr/>
      </w:pPr>
      <w:r>
        <w:rPr/>
        <w:t>            </w:t>
      </w:r>
      <w:r>
        <w:rPr>
          <w:sz w:val="17"/>
        </w:rPr>
        <w:t xml:space="preserve">During the fourth quarter of 2010, we listed for sale the residential units of our Lake Taupo property and the adjoining 1.0-acre parcel located in Lake Taupo, New Zealand.  A portion of this property was previously improved with a motel in which we recently renovated the property’s units to be condominiums and have enhanced the property value with residential apartment entitlements for the adjoining vacant land.   At December 31, 2011, we had not yet sold the property.  Pursuant to ASC 360-10-45, as twelve months had passed since this announcement and we did not meet the criteria to classify this property as held for sale, we reclassified $5,000 of income from discontinued operations to the components of income from continuing operations for the year ended December 31, 2010.  As a result of the transfer of the asset from held for sale to continuing operations, we recorded a loss for 2011 of $37,000 (NZ$48,000) to measure the property at the lower of its carrying amount, adjusted for depreciation and amortization expense that would have been recognized had the asset been continuously classified as a continuing operational asset, or its fair value at the date of the decision not to sell.  We continue to discuss with potential buyers and plan to monetize the property in time. </w:t>
      </w:r>
    </w:p>
    <w:p>
      <w:pPr>
        <w:pStyle w:val="TextBody"/>
        <w:spacing w:before="0" w:after="200"/>
        <w:ind w:left="1440" w:right="0" w:hanging="0"/>
        <w:jc w:val="both"/>
        <w:rPr>
          <w:sz w:val="17"/>
        </w:rPr>
      </w:pPr>
      <w:r>
        <w:rPr>
          <w:i/>
          <w:sz w:val="17"/>
        </w:rPr>
        <w:t>Burwood Development Property</w:t>
      </w:r>
      <w:r>
        <w:rPr>
          <w:sz w:val="17"/>
        </w:rPr>
        <w:t xml:space="preserve"> </w:t>
      </w:r>
    </w:p>
    <w:p>
      <w:pPr>
        <w:pStyle w:val="TextBody"/>
        <w:spacing w:before="0" w:after="200"/>
        <w:ind w:left="1440" w:right="0" w:hanging="0"/>
        <w:jc w:val="both"/>
        <w:rPr/>
      </w:pPr>
      <w:r>
        <w:rPr/>
        <w:t>            </w:t>
      </w:r>
      <w:r>
        <w:rPr>
          <w:sz w:val="17"/>
        </w:rPr>
        <w:t xml:space="preserve">In May 2010, we announced our intent to sell and began actively marketing our 50.6-acre Burwood development site in suburban Melbourne.  At June 30, 2011, we had not yet achieved that aim.  Pursuant to ASC 360-10-45, as twelve months had passed since this announcement and we did not meet the criteria to classify this property as held for sale, we reclassified the current carrying value of this property of $53.4 million (AUS$52.1 million) from assets held for sale to investment and development property on our December 31, 2011 consolidated balance sheet.  We continue to evaluate our options concerning this property.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2012 and 2010 Transactions</w:t>
      </w:r>
      <w:r>
        <w:rPr>
          <w:sz w:val="17"/>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pPr>
      <w:r>
        <w:rPr/>
        <w:t>            </w:t>
      </w:r>
      <w:r>
        <w:rPr>
          <w:sz w:val="17"/>
        </w:rPr>
        <w:t xml:space="preserve">There were no transfers of held for sale real estate to continuing operations or related items in 2012 or 2010. </w:t>
      </w:r>
    </w:p>
    <w:p>
      <w:pPr>
        <w:pStyle w:val="TextBody"/>
        <w:spacing w:before="0" w:after="200"/>
        <w:ind w:left="1440" w:right="0" w:hanging="0"/>
        <w:jc w:val="both"/>
        <w:rPr>
          <w:sz w:val="17"/>
        </w:rPr>
      </w:pPr>
      <w:r>
        <w:rPr>
          <w:b/>
          <w:sz w:val="17"/>
          <w:u w:val="single"/>
        </w:rPr>
        <w:t>Note 10 – Goodwill and Intangible Assets</w:t>
      </w:r>
      <w:r>
        <w:rPr>
          <w:sz w:val="17"/>
        </w:rPr>
        <w:t xml:space="preserve"> </w:t>
      </w:r>
    </w:p>
    <w:p>
      <w:pPr>
        <w:pStyle w:val="TextBody"/>
        <w:spacing w:before="0" w:after="200"/>
        <w:ind w:left="1440" w:right="0" w:hanging="0"/>
        <w:jc w:val="both"/>
        <w:rPr/>
      </w:pPr>
      <w:r>
        <w:rPr/>
        <w:t>            </w:t>
      </w:r>
      <w:r>
        <w:rPr>
          <w:sz w:val="17"/>
        </w:rPr>
        <w:t xml:space="preserve">Goodwill associated with our business combinations is tested for impairment at the beginning of the fourth quarter with continued evaluation through the end of the fourth quarter of every year.  The fair value estimates of each of our reporting units is based on the projected profits and cash flows of the related assets using each reporting unit’s weighted average cost of capital as a discount rate.  As a result of this test, whereby the Step 1 Test was passed for all reporting units, it was determined that there is no impairment to our goodwill as of December 31, 2012 or 2011.  </w:t>
      </w:r>
    </w:p>
    <w:p>
      <w:pPr>
        <w:pStyle w:val="TextBody"/>
        <w:spacing w:before="0" w:after="200"/>
        <w:ind w:left="1440" w:right="0" w:firstLine="720"/>
        <w:jc w:val="both"/>
        <w:rPr>
          <w:sz w:val="17"/>
        </w:rPr>
      </w:pPr>
      <w:r>
        <w:rPr>
          <w:sz w:val="17"/>
        </w:rPr>
        <w:t xml:space="preserve">At December 31, 2012 or 2011, our goodwill consisted of the following (dollars in thousands): </w:t>
      </w:r>
    </w:p>
    <w:p>
      <w:pPr>
        <w:pStyle w:val="TextBody"/>
        <w:spacing w:before="0" w:after="0"/>
        <w:ind w:left="1440" w:right="0" w:hanging="0"/>
        <w:jc w:val="both"/>
        <w:rPr/>
      </w:pPr>
      <w:r>
        <w:rPr/>
        <w:t xml:space="preserve">  </w:t>
      </w:r>
    </w:p>
    <w:tbl>
      <w:tblPr>
        <w:tblW w:w="5255" w:type="dxa"/>
        <w:jc w:val="left"/>
        <w:tblInd w:w="1440" w:type="dxa"/>
        <w:tblCellMar>
          <w:top w:w="0" w:type="dxa"/>
          <w:left w:w="0" w:type="dxa"/>
          <w:bottom w:w="0" w:type="dxa"/>
          <w:right w:w="0" w:type="dxa"/>
        </w:tblCellMar>
      </w:tblPr>
      <w:tblGrid>
        <w:gridCol w:w="2795"/>
        <w:gridCol w:w="110"/>
        <w:gridCol w:w="620"/>
        <w:gridCol w:w="110"/>
        <w:gridCol w:w="890"/>
        <w:gridCol w:w="110"/>
        <w:gridCol w:w="620"/>
      </w:tblGrid>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95" w:type="dxa"/>
            <w:tcBorders>
              <w:bottom w:val="single" w:sz="12" w:space="0" w:color="000000"/>
            </w:tcBorders>
            <w:shd w:fill="auto" w:val="clear"/>
            <w:tcMar>
              <w:bottom w:w="28" w:type="dxa"/>
            </w:tcMar>
          </w:tcPr>
          <w:p>
            <w:pPr>
              <w:pStyle w:val="TableContents"/>
              <w:spacing w:before="0" w:after="1"/>
              <w:ind w:left="0" w:right="0" w:hanging="0"/>
              <w:jc w:val="both"/>
              <w:rPr>
                <w:b/>
                <w:sz w:val="17"/>
              </w:rPr>
            </w:pPr>
            <w:r>
              <w:rPr>
                <w:b/>
                <w:sz w:val="17"/>
              </w:rPr>
              <w:t>2012</w:t>
            </w:r>
          </w:p>
        </w:tc>
        <w:tc>
          <w:tcPr>
            <w:tcW w:w="1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620"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 xml:space="preserve">Cinema </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890"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 xml:space="preserve">Real Estate </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Total</w:t>
            </w:r>
          </w:p>
        </w:tc>
      </w:tr>
      <w:tr>
        <w:trPr/>
        <w:tc>
          <w:tcPr>
            <w:tcW w:w="2795"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Balance as of January 1, 2012</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tcPr>
          <w:p>
            <w:pPr>
              <w:pStyle w:val="TableContents"/>
              <w:spacing w:before="0" w:after="283"/>
              <w:jc w:val="right"/>
              <w:rPr>
                <w:sz w:val="17"/>
              </w:rPr>
            </w:pPr>
            <w:r>
              <w:rPr>
                <w:sz w:val="17"/>
              </w:rPr>
              <w:t xml:space="preserve">17,053  </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890" w:type="dxa"/>
            <w:tcBorders>
              <w:top w:val="single" w:sz="12" w:space="0" w:color="000000"/>
            </w:tcBorders>
            <w:shd w:fill="CCEEFF" w:val="clear"/>
            <w:tcMar>
              <w:top w:w="28" w:type="dxa"/>
            </w:tcMar>
          </w:tcPr>
          <w:p>
            <w:pPr>
              <w:pStyle w:val="TableContents"/>
              <w:spacing w:before="0" w:after="283"/>
              <w:jc w:val="right"/>
              <w:rPr>
                <w:sz w:val="17"/>
              </w:rPr>
            </w:pPr>
            <w:r>
              <w:rPr>
                <w:sz w:val="17"/>
              </w:rPr>
              <w:t xml:space="preserve">5,224  </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tcPr>
          <w:p>
            <w:pPr>
              <w:pStyle w:val="TableContents"/>
              <w:spacing w:before="0" w:after="283"/>
              <w:jc w:val="right"/>
              <w:rPr>
                <w:sz w:val="17"/>
              </w:rPr>
            </w:pPr>
            <w:r>
              <w:rPr>
                <w:sz w:val="17"/>
              </w:rPr>
              <w:t xml:space="preserve">22,277  </w:t>
            </w:r>
          </w:p>
        </w:tc>
      </w:tr>
      <w:tr>
        <w:trPr/>
        <w:tc>
          <w:tcPr>
            <w:tcW w:w="2795" w:type="dxa"/>
            <w:tcBorders>
              <w:bottom w:val="single" w:sz="8" w:space="0" w:color="000000"/>
            </w:tcBorders>
            <w:shd w:fill="FFFFFF" w:val="clear"/>
            <w:tcMar>
              <w:bottom w:w="28" w:type="dxa"/>
            </w:tcMar>
          </w:tcPr>
          <w:p>
            <w:pPr>
              <w:pStyle w:val="TableContents"/>
              <w:spacing w:before="0" w:after="1"/>
              <w:ind w:left="0" w:right="0" w:hanging="0"/>
              <w:jc w:val="both"/>
              <w:rPr>
                <w:sz w:val="17"/>
              </w:rPr>
            </w:pPr>
            <w:r>
              <w:rPr>
                <w:sz w:val="17"/>
              </w:rPr>
              <w:t>Foreign currency translation adjustment</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621  </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890" w:type="dxa"/>
            <w:tcBorders>
              <w:bottom w:val="single" w:sz="8" w:space="0" w:color="000000"/>
            </w:tcBorders>
            <w:shd w:fill="FFFFFF" w:val="clear"/>
            <w:tcMar>
              <w:bottom w:w="28" w:type="dxa"/>
            </w:tcMar>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621  </w:t>
            </w:r>
          </w:p>
        </w:tc>
      </w:tr>
      <w:tr>
        <w:trPr/>
        <w:tc>
          <w:tcPr>
            <w:tcW w:w="2795"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both"/>
              <w:rPr>
                <w:sz w:val="17"/>
              </w:rPr>
            </w:pPr>
            <w:r>
              <w:rPr>
                <w:sz w:val="17"/>
              </w:rPr>
              <w:t>Balance at December 31, 2012</w:t>
            </w:r>
          </w:p>
        </w:tc>
        <w:tc>
          <w:tcPr>
            <w:tcW w:w="110"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tcPr>
          <w:p>
            <w:pPr>
              <w:pStyle w:val="TableContents"/>
              <w:spacing w:before="0" w:after="283"/>
              <w:jc w:val="right"/>
              <w:rPr>
                <w:sz w:val="17"/>
              </w:rPr>
            </w:pPr>
            <w:r>
              <w:rPr>
                <w:sz w:val="17"/>
              </w:rPr>
              <w:t xml:space="preserve">17,674  </w:t>
            </w:r>
          </w:p>
        </w:tc>
        <w:tc>
          <w:tcPr>
            <w:tcW w:w="110"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right"/>
              <w:rPr>
                <w:sz w:val="17"/>
              </w:rPr>
            </w:pPr>
            <w:r>
              <w:rPr>
                <w:sz w:val="17"/>
              </w:rPr>
              <w:t>$</w:t>
            </w:r>
          </w:p>
        </w:tc>
        <w:tc>
          <w:tcPr>
            <w:tcW w:w="890" w:type="dxa"/>
            <w:tcBorders>
              <w:top w:val="single" w:sz="8" w:space="0" w:color="000000"/>
              <w:bottom w:val="single" w:sz="12" w:space="0" w:color="000000"/>
            </w:tcBorders>
            <w:shd w:fill="CCEEFF" w:val="clear"/>
            <w:tcMar>
              <w:top w:w="28" w:type="dxa"/>
              <w:bottom w:w="28" w:type="dxa"/>
            </w:tcMar>
          </w:tcPr>
          <w:p>
            <w:pPr>
              <w:pStyle w:val="TableContents"/>
              <w:spacing w:before="0" w:after="283"/>
              <w:jc w:val="right"/>
              <w:rPr>
                <w:sz w:val="17"/>
              </w:rPr>
            </w:pPr>
            <w:r>
              <w:rPr>
                <w:sz w:val="17"/>
              </w:rPr>
              <w:t xml:space="preserve">5,224  </w:t>
            </w:r>
          </w:p>
        </w:tc>
        <w:tc>
          <w:tcPr>
            <w:tcW w:w="110"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tcPr>
          <w:p>
            <w:pPr>
              <w:pStyle w:val="TableContents"/>
              <w:spacing w:before="0" w:after="283"/>
              <w:jc w:val="right"/>
              <w:rPr>
                <w:sz w:val="17"/>
              </w:rPr>
            </w:pPr>
            <w:r>
              <w:rPr>
                <w:sz w:val="17"/>
              </w:rPr>
              <w:t xml:space="preserve">22,898  </w:t>
            </w:r>
          </w:p>
        </w:tc>
      </w:tr>
      <w:tr>
        <w:trPr/>
        <w:tc>
          <w:tcPr>
            <w:tcW w:w="279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2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9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2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r>
      <w:tr>
        <w:trPr/>
        <w:tc>
          <w:tcPr>
            <w:tcW w:w="2795" w:type="dxa"/>
            <w:tcBorders>
              <w:bottom w:val="single" w:sz="12" w:space="0" w:color="000000"/>
            </w:tcBorders>
            <w:shd w:fill="CCEEFF" w:val="clear"/>
            <w:tcMar>
              <w:bottom w:w="28" w:type="dxa"/>
            </w:tcMar>
          </w:tcPr>
          <w:p>
            <w:pPr>
              <w:pStyle w:val="TableContents"/>
              <w:spacing w:before="0" w:after="1"/>
              <w:ind w:left="0" w:right="0" w:hanging="0"/>
              <w:jc w:val="both"/>
              <w:rPr>
                <w:b/>
                <w:sz w:val="17"/>
              </w:rPr>
            </w:pPr>
            <w:r>
              <w:rPr>
                <w:b/>
                <w:sz w:val="17"/>
              </w:rPr>
              <w:t>2011</w:t>
            </w:r>
          </w:p>
        </w:tc>
        <w:tc>
          <w:tcPr>
            <w:tcW w:w="110" w:type="dxa"/>
            <w:tcBorders>
              <w:bottom w:val="single" w:sz="12" w:space="0" w:color="000000"/>
            </w:tcBorders>
            <w:shd w:fill="CCEEFF" w:val="clear"/>
            <w:tcMar>
              <w:bottom w:w="28" w:type="dxa"/>
            </w:tcMar>
          </w:tcPr>
          <w:p>
            <w:pPr>
              <w:pStyle w:val="TableContents"/>
              <w:spacing w:before="0" w:after="1"/>
              <w:ind w:left="0" w:right="0" w:hanging="0"/>
              <w:jc w:val="right"/>
              <w:rPr/>
            </w:pPr>
            <w:r>
              <w:rPr/>
              <w:t> </w:t>
            </w:r>
          </w:p>
        </w:tc>
        <w:tc>
          <w:tcPr>
            <w:tcW w:w="620" w:type="dxa"/>
            <w:tcBorders>
              <w:bottom w:val="single" w:sz="12" w:space="0" w:color="000000"/>
            </w:tcBorders>
            <w:shd w:fill="CCEEFF" w:val="clear"/>
            <w:tcMar>
              <w:bottom w:w="28" w:type="dxa"/>
            </w:tcMar>
          </w:tcPr>
          <w:p>
            <w:pPr>
              <w:pStyle w:val="TableContents"/>
              <w:spacing w:before="0" w:after="1"/>
              <w:ind w:left="0" w:right="0" w:hanging="0"/>
              <w:jc w:val="center"/>
              <w:rPr>
                <w:b/>
                <w:sz w:val="17"/>
              </w:rPr>
            </w:pPr>
            <w:r>
              <w:rPr>
                <w:b/>
                <w:sz w:val="17"/>
              </w:rPr>
              <w:t xml:space="preserve">Cinema </w:t>
            </w:r>
          </w:p>
        </w:tc>
        <w:tc>
          <w:tcPr>
            <w:tcW w:w="110" w:type="dxa"/>
            <w:tcBorders>
              <w:bottom w:val="single" w:sz="12" w:space="0" w:color="000000"/>
            </w:tcBorders>
            <w:shd w:fill="CCEEFF" w:val="clear"/>
            <w:tcMar>
              <w:bottom w:w="28" w:type="dxa"/>
            </w:tcMar>
          </w:tcPr>
          <w:p>
            <w:pPr>
              <w:pStyle w:val="TableContents"/>
              <w:spacing w:before="0" w:after="1"/>
              <w:ind w:left="0" w:right="0" w:hanging="0"/>
              <w:jc w:val="right"/>
              <w:rPr/>
            </w:pPr>
            <w:r>
              <w:rPr/>
              <w:t> </w:t>
            </w:r>
          </w:p>
        </w:tc>
        <w:tc>
          <w:tcPr>
            <w:tcW w:w="890" w:type="dxa"/>
            <w:tcBorders>
              <w:bottom w:val="single" w:sz="12" w:space="0" w:color="000000"/>
            </w:tcBorders>
            <w:shd w:fill="CCEEFF" w:val="clear"/>
            <w:tcMar>
              <w:bottom w:w="28" w:type="dxa"/>
            </w:tcMar>
          </w:tcPr>
          <w:p>
            <w:pPr>
              <w:pStyle w:val="TableContents"/>
              <w:spacing w:before="0" w:after="1"/>
              <w:ind w:left="0" w:right="0" w:hanging="0"/>
              <w:jc w:val="center"/>
              <w:rPr>
                <w:b/>
                <w:sz w:val="17"/>
              </w:rPr>
            </w:pPr>
            <w:r>
              <w:rPr>
                <w:b/>
                <w:sz w:val="17"/>
              </w:rPr>
              <w:t xml:space="preserve">Real Estate </w:t>
            </w:r>
          </w:p>
        </w:tc>
        <w:tc>
          <w:tcPr>
            <w:tcW w:w="110" w:type="dxa"/>
            <w:tcBorders>
              <w:bottom w:val="single" w:sz="12" w:space="0" w:color="000000"/>
            </w:tcBorders>
            <w:shd w:fill="CCEEFF" w:val="clear"/>
            <w:tcMar>
              <w:bottom w:w="28" w:type="dxa"/>
            </w:tcMar>
          </w:tcPr>
          <w:p>
            <w:pPr>
              <w:pStyle w:val="TableContents"/>
              <w:spacing w:before="0" w:after="1"/>
              <w:ind w:left="0" w:right="0" w:hanging="0"/>
              <w:jc w:val="right"/>
              <w:rPr/>
            </w:pPr>
            <w:r>
              <w:rPr/>
              <w:t> </w:t>
            </w:r>
          </w:p>
        </w:tc>
        <w:tc>
          <w:tcPr>
            <w:tcW w:w="620" w:type="dxa"/>
            <w:tcBorders>
              <w:bottom w:val="single" w:sz="12" w:space="0" w:color="000000"/>
            </w:tcBorders>
            <w:shd w:fill="CCEEFF" w:val="clear"/>
            <w:tcMar>
              <w:bottom w:w="28" w:type="dxa"/>
            </w:tcMar>
          </w:tcPr>
          <w:p>
            <w:pPr>
              <w:pStyle w:val="TableContents"/>
              <w:spacing w:before="0" w:after="1"/>
              <w:ind w:left="0" w:right="0" w:hanging="0"/>
              <w:jc w:val="center"/>
              <w:rPr>
                <w:b/>
                <w:sz w:val="17"/>
              </w:rPr>
            </w:pPr>
            <w:r>
              <w:rPr>
                <w:b/>
                <w:sz w:val="17"/>
              </w:rPr>
              <w:t>Total</w:t>
            </w:r>
          </w:p>
        </w:tc>
      </w:tr>
      <w:tr>
        <w:trPr/>
        <w:tc>
          <w:tcPr>
            <w:tcW w:w="2795" w:type="dxa"/>
            <w:tcBorders>
              <w:top w:val="single" w:sz="12" w:space="0" w:color="000000"/>
            </w:tcBorders>
            <w:shd w:fill="FFFFFF" w:val="clear"/>
            <w:tcMar>
              <w:top w:w="28" w:type="dxa"/>
            </w:tcMar>
          </w:tcPr>
          <w:p>
            <w:pPr>
              <w:pStyle w:val="TableContents"/>
              <w:spacing w:before="0" w:after="1"/>
              <w:ind w:left="0" w:right="0" w:hanging="0"/>
              <w:jc w:val="both"/>
              <w:rPr>
                <w:sz w:val="17"/>
              </w:rPr>
            </w:pPr>
            <w:r>
              <w:rPr>
                <w:sz w:val="17"/>
              </w:rPr>
              <w:t>Balance as of January 1, 2011</w:t>
            </w:r>
          </w:p>
        </w:tc>
        <w:tc>
          <w:tcPr>
            <w:tcW w:w="110" w:type="dxa"/>
            <w:tcBorders>
              <w:top w:val="single" w:sz="12" w:space="0" w:color="000000"/>
            </w:tcBorders>
            <w:shd w:fill="FFFFFF" w:val="clear"/>
            <w:tcMar>
              <w:top w:w="28" w:type="dxa"/>
            </w:tcMar>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FFFFFF" w:val="clear"/>
            <w:tcMar>
              <w:top w:w="28" w:type="dxa"/>
            </w:tcMar>
          </w:tcPr>
          <w:p>
            <w:pPr>
              <w:pStyle w:val="TableContents"/>
              <w:spacing w:before="0" w:after="283"/>
              <w:jc w:val="right"/>
              <w:rPr>
                <w:sz w:val="17"/>
              </w:rPr>
            </w:pPr>
            <w:r>
              <w:rPr>
                <w:sz w:val="17"/>
              </w:rPr>
              <w:t xml:space="preserve">16,311  </w:t>
            </w:r>
          </w:p>
        </w:tc>
        <w:tc>
          <w:tcPr>
            <w:tcW w:w="110" w:type="dxa"/>
            <w:tcBorders>
              <w:top w:val="single" w:sz="12" w:space="0" w:color="000000"/>
            </w:tcBorders>
            <w:shd w:fill="FFFFFF" w:val="clear"/>
            <w:tcMar>
              <w:top w:w="28" w:type="dxa"/>
            </w:tcMar>
          </w:tcPr>
          <w:p>
            <w:pPr>
              <w:pStyle w:val="TableContents"/>
              <w:spacing w:before="0" w:after="1"/>
              <w:ind w:left="0" w:right="0" w:hanging="0"/>
              <w:jc w:val="right"/>
              <w:rPr>
                <w:sz w:val="17"/>
              </w:rPr>
            </w:pPr>
            <w:r>
              <w:rPr>
                <w:sz w:val="17"/>
              </w:rPr>
              <w:t>$</w:t>
            </w:r>
          </w:p>
        </w:tc>
        <w:tc>
          <w:tcPr>
            <w:tcW w:w="890" w:type="dxa"/>
            <w:tcBorders>
              <w:top w:val="single" w:sz="12" w:space="0" w:color="000000"/>
            </w:tcBorders>
            <w:shd w:fill="FFFFFF" w:val="clear"/>
            <w:tcMar>
              <w:top w:w="28" w:type="dxa"/>
            </w:tcMar>
          </w:tcPr>
          <w:p>
            <w:pPr>
              <w:pStyle w:val="TableContents"/>
              <w:spacing w:before="0" w:after="283"/>
              <w:jc w:val="right"/>
              <w:rPr>
                <w:sz w:val="17"/>
              </w:rPr>
            </w:pPr>
            <w:r>
              <w:rPr>
                <w:sz w:val="17"/>
              </w:rPr>
              <w:t xml:space="preserve">5,224  </w:t>
            </w:r>
          </w:p>
        </w:tc>
        <w:tc>
          <w:tcPr>
            <w:tcW w:w="110" w:type="dxa"/>
            <w:tcBorders>
              <w:top w:val="single" w:sz="12" w:space="0" w:color="000000"/>
            </w:tcBorders>
            <w:shd w:fill="FFFFFF" w:val="clear"/>
            <w:tcMar>
              <w:top w:w="28" w:type="dxa"/>
            </w:tcMar>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FFFFFF" w:val="clear"/>
            <w:tcMar>
              <w:top w:w="28" w:type="dxa"/>
            </w:tcMar>
          </w:tcPr>
          <w:p>
            <w:pPr>
              <w:pStyle w:val="TableContents"/>
              <w:spacing w:before="0" w:after="283"/>
              <w:jc w:val="right"/>
              <w:rPr>
                <w:sz w:val="17"/>
              </w:rPr>
            </w:pPr>
            <w:r>
              <w:rPr>
                <w:sz w:val="17"/>
              </w:rPr>
              <w:t xml:space="preserve">21,535  </w:t>
            </w:r>
          </w:p>
        </w:tc>
      </w:tr>
      <w:tr>
        <w:trPr/>
        <w:tc>
          <w:tcPr>
            <w:tcW w:w="2795" w:type="dxa"/>
            <w:tcBorders/>
            <w:shd w:fill="CCEEFF" w:val="clear"/>
          </w:tcPr>
          <w:p>
            <w:pPr>
              <w:pStyle w:val="TableContents"/>
              <w:spacing w:before="0" w:after="1"/>
              <w:ind w:left="0" w:right="0" w:hanging="0"/>
              <w:jc w:val="both"/>
              <w:rPr>
                <w:sz w:val="17"/>
              </w:rPr>
            </w:pPr>
            <w:r>
              <w:rPr>
                <w:sz w:val="17"/>
              </w:rPr>
              <w:t>Goodwill acquired during 2011</w:t>
            </w:r>
          </w:p>
        </w:tc>
        <w:tc>
          <w:tcPr>
            <w:tcW w:w="110" w:type="dxa"/>
            <w:tcBorders/>
            <w:shd w:fill="CCEEFF" w:val="clear"/>
          </w:tcPr>
          <w:p>
            <w:pPr>
              <w:pStyle w:val="TableContents"/>
              <w:spacing w:before="0" w:after="1"/>
              <w:ind w:left="0" w:right="0" w:hanging="0"/>
              <w:jc w:val="right"/>
              <w:rPr/>
            </w:pPr>
            <w:r>
              <w:rPr/>
              <w:t> </w:t>
            </w:r>
          </w:p>
        </w:tc>
        <w:tc>
          <w:tcPr>
            <w:tcW w:w="620" w:type="dxa"/>
            <w:tcBorders/>
            <w:shd w:fill="CCEEFF" w:val="clear"/>
          </w:tcPr>
          <w:p>
            <w:pPr>
              <w:pStyle w:val="TableContents"/>
              <w:spacing w:before="0" w:after="283"/>
              <w:jc w:val="right"/>
              <w:rPr>
                <w:sz w:val="17"/>
              </w:rPr>
            </w:pPr>
            <w:r>
              <w:rPr>
                <w:sz w:val="17"/>
              </w:rPr>
              <w:t xml:space="preserve">539  </w:t>
            </w:r>
          </w:p>
        </w:tc>
        <w:tc>
          <w:tcPr>
            <w:tcW w:w="110" w:type="dxa"/>
            <w:tcBorders/>
            <w:shd w:fill="CCEEFF" w:val="clear"/>
          </w:tcPr>
          <w:p>
            <w:pPr>
              <w:pStyle w:val="TableContents"/>
              <w:spacing w:before="0" w:after="1"/>
              <w:ind w:left="0" w:right="0" w:hanging="0"/>
              <w:jc w:val="right"/>
              <w:rPr/>
            </w:pPr>
            <w:r>
              <w:rPr/>
              <w:t> </w:t>
            </w:r>
          </w:p>
        </w:tc>
        <w:tc>
          <w:tcPr>
            <w:tcW w:w="890" w:type="dxa"/>
            <w:tcBorders/>
            <w:shd w:fill="CCEEFF" w:val="clear"/>
          </w:tcPr>
          <w:p>
            <w:pPr>
              <w:pStyle w:val="TableContents"/>
              <w:spacing w:before="0" w:after="1"/>
              <w:ind w:left="0" w:right="65" w:hanging="0"/>
              <w:jc w:val="right"/>
              <w:rPr>
                <w:sz w:val="17"/>
              </w:rPr>
            </w:pPr>
            <w:r>
              <w:rPr>
                <w:sz w:val="17"/>
              </w:rPr>
              <w:t>--</w:t>
            </w:r>
          </w:p>
        </w:tc>
        <w:tc>
          <w:tcPr>
            <w:tcW w:w="110" w:type="dxa"/>
            <w:tcBorders/>
            <w:shd w:fill="CCEEFF" w:val="clear"/>
          </w:tcPr>
          <w:p>
            <w:pPr>
              <w:pStyle w:val="TableContents"/>
              <w:spacing w:before="0" w:after="1"/>
              <w:ind w:left="0" w:right="0" w:hanging="0"/>
              <w:jc w:val="right"/>
              <w:rPr/>
            </w:pPr>
            <w:r>
              <w:rPr/>
              <w:t> </w:t>
            </w:r>
          </w:p>
        </w:tc>
        <w:tc>
          <w:tcPr>
            <w:tcW w:w="620" w:type="dxa"/>
            <w:tcBorders/>
            <w:shd w:fill="CCEEFF" w:val="clear"/>
          </w:tcPr>
          <w:p>
            <w:pPr>
              <w:pStyle w:val="TableContents"/>
              <w:spacing w:before="0" w:after="283"/>
              <w:jc w:val="right"/>
              <w:rPr>
                <w:sz w:val="17"/>
              </w:rPr>
            </w:pPr>
            <w:r>
              <w:rPr>
                <w:sz w:val="17"/>
              </w:rPr>
              <w:t xml:space="preserve">539  </w:t>
            </w:r>
          </w:p>
        </w:tc>
      </w:tr>
      <w:tr>
        <w:trPr/>
        <w:tc>
          <w:tcPr>
            <w:tcW w:w="2795" w:type="dxa"/>
            <w:tcBorders>
              <w:bottom w:val="single" w:sz="8" w:space="0" w:color="000000"/>
            </w:tcBorders>
            <w:shd w:fill="FFFFFF" w:val="clear"/>
            <w:tcMar>
              <w:bottom w:w="28" w:type="dxa"/>
            </w:tcMar>
          </w:tcPr>
          <w:p>
            <w:pPr>
              <w:pStyle w:val="TableContents"/>
              <w:spacing w:before="0" w:after="1"/>
              <w:ind w:left="0" w:right="0" w:hanging="0"/>
              <w:jc w:val="both"/>
              <w:rPr>
                <w:sz w:val="17"/>
              </w:rPr>
            </w:pPr>
            <w:r>
              <w:rPr>
                <w:sz w:val="17"/>
              </w:rPr>
              <w:t>Foreign currency translation adjustment</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203  </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890" w:type="dxa"/>
            <w:tcBorders>
              <w:bottom w:val="single" w:sz="8" w:space="0" w:color="000000"/>
            </w:tcBorders>
            <w:shd w:fill="FFFFFF" w:val="clear"/>
            <w:tcMar>
              <w:bottom w:w="28" w:type="dxa"/>
            </w:tcMar>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203  </w:t>
            </w:r>
          </w:p>
        </w:tc>
      </w:tr>
      <w:tr>
        <w:trPr/>
        <w:tc>
          <w:tcPr>
            <w:tcW w:w="2795"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both"/>
              <w:rPr>
                <w:sz w:val="17"/>
              </w:rPr>
            </w:pPr>
            <w:r>
              <w:rPr>
                <w:sz w:val="17"/>
              </w:rPr>
              <w:t>Balance at December 31, 2011</w:t>
            </w:r>
          </w:p>
        </w:tc>
        <w:tc>
          <w:tcPr>
            <w:tcW w:w="110"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tcPr>
          <w:p>
            <w:pPr>
              <w:pStyle w:val="TableContents"/>
              <w:spacing w:before="0" w:after="283"/>
              <w:jc w:val="right"/>
              <w:rPr>
                <w:sz w:val="17"/>
              </w:rPr>
            </w:pPr>
            <w:r>
              <w:rPr>
                <w:sz w:val="17"/>
              </w:rPr>
              <w:t xml:space="preserve">17,053  </w:t>
            </w:r>
          </w:p>
        </w:tc>
        <w:tc>
          <w:tcPr>
            <w:tcW w:w="110"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right"/>
              <w:rPr>
                <w:sz w:val="17"/>
              </w:rPr>
            </w:pPr>
            <w:r>
              <w:rPr>
                <w:sz w:val="17"/>
              </w:rPr>
              <w:t>$</w:t>
            </w:r>
          </w:p>
        </w:tc>
        <w:tc>
          <w:tcPr>
            <w:tcW w:w="890" w:type="dxa"/>
            <w:tcBorders>
              <w:top w:val="single" w:sz="8" w:space="0" w:color="000000"/>
              <w:bottom w:val="single" w:sz="12" w:space="0" w:color="000000"/>
            </w:tcBorders>
            <w:shd w:fill="CCEEFF" w:val="clear"/>
            <w:tcMar>
              <w:top w:w="28" w:type="dxa"/>
              <w:bottom w:w="28" w:type="dxa"/>
            </w:tcMar>
          </w:tcPr>
          <w:p>
            <w:pPr>
              <w:pStyle w:val="TableContents"/>
              <w:spacing w:before="0" w:after="283"/>
              <w:jc w:val="right"/>
              <w:rPr>
                <w:sz w:val="17"/>
              </w:rPr>
            </w:pPr>
            <w:r>
              <w:rPr>
                <w:sz w:val="17"/>
              </w:rPr>
              <w:t xml:space="preserve">5,224  </w:t>
            </w:r>
          </w:p>
        </w:tc>
        <w:tc>
          <w:tcPr>
            <w:tcW w:w="110" w:type="dxa"/>
            <w:tcBorders>
              <w:top w:val="single" w:sz="8" w:space="0" w:color="000000"/>
              <w:bottom w:val="single" w:sz="12" w:space="0" w:color="000000"/>
            </w:tcBorders>
            <w:shd w:fill="CCEEFF" w:val="clear"/>
            <w:tcMar>
              <w:top w:w="28" w:type="dxa"/>
              <w:bottom w:w="28" w:type="dxa"/>
            </w:tcMar>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tcPr>
          <w:p>
            <w:pPr>
              <w:pStyle w:val="TableContents"/>
              <w:spacing w:before="0" w:after="283"/>
              <w:jc w:val="right"/>
              <w:rPr>
                <w:sz w:val="17"/>
              </w:rPr>
            </w:pPr>
            <w:r>
              <w:rPr>
                <w:sz w:val="17"/>
              </w:rPr>
              <w:t xml:space="preserve">22,277  </w:t>
            </w:r>
          </w:p>
        </w:tc>
      </w:tr>
    </w:tbl>
    <w:p>
      <w:pPr>
        <w:pStyle w:val="TextBody"/>
        <w:spacing w:before="0" w:after="200"/>
        <w:ind w:left="1440" w:right="0" w:firstLine="720"/>
        <w:jc w:val="both"/>
        <w:rPr>
          <w:sz w:val="17"/>
        </w:rPr>
      </w:pPr>
      <w:r>
        <w:rPr>
          <w:sz w:val="17"/>
        </w:rPr>
        <w:t xml:space="preserve">We have intangible assets other than goodwill that are subject to amortization which are being amortized over various periods (dollars in thousands): </w:t>
      </w:r>
    </w:p>
    <w:tbl>
      <w:tblPr>
        <w:tblW w:w="7155" w:type="dxa"/>
        <w:jc w:val="left"/>
        <w:tblInd w:w="1440" w:type="dxa"/>
        <w:tblCellMar>
          <w:top w:w="0" w:type="dxa"/>
          <w:left w:w="0" w:type="dxa"/>
          <w:bottom w:w="0" w:type="dxa"/>
          <w:right w:w="0" w:type="dxa"/>
        </w:tblCellMar>
      </w:tblPr>
      <w:tblGrid>
        <w:gridCol w:w="2255"/>
        <w:gridCol w:w="110"/>
        <w:gridCol w:w="1235"/>
        <w:gridCol w:w="110"/>
        <w:gridCol w:w="890"/>
        <w:gridCol w:w="110"/>
        <w:gridCol w:w="1715"/>
        <w:gridCol w:w="110"/>
        <w:gridCol w:w="620"/>
      </w:tblGrid>
      <w:tr>
        <w:trPr/>
        <w:tc>
          <w:tcPr>
            <w:tcW w:w="22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2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7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2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2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7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25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As of December 31, 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2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Beneficial Leases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Trade name</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7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Other Intangible Assets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25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Gross carrying amount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23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24,284 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89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7,254 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7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458 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31,996  </w:t>
            </w:r>
          </w:p>
        </w:tc>
      </w:tr>
      <w:tr>
        <w:trPr/>
        <w:tc>
          <w:tcPr>
            <w:tcW w:w="225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Less: Accumulated amortization</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23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12,873 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89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3,059 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71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403 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16,335  </w:t>
            </w:r>
          </w:p>
        </w:tc>
      </w:tr>
      <w:tr>
        <w:trPr/>
        <w:tc>
          <w:tcPr>
            <w:tcW w:w="22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120" w:right="0" w:hanging="0"/>
              <w:jc w:val="both"/>
              <w:rPr>
                <w:sz w:val="17"/>
              </w:rPr>
            </w:pPr>
            <w:r>
              <w:rPr>
                <w:sz w:val="17"/>
              </w:rPr>
              <w:t>Total, net</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23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11,411 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9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4,195 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7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55 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15,661  </w:t>
            </w:r>
          </w:p>
        </w:tc>
      </w:tr>
      <w:tr>
        <w:trPr/>
        <w:tc>
          <w:tcPr>
            <w:tcW w:w="2255" w:type="dxa"/>
            <w:tcBorders>
              <w:top w:val="single" w:sz="12"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23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9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71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62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r>
      <w:tr>
        <w:trPr/>
        <w:tc>
          <w:tcPr>
            <w:tcW w:w="2255" w:type="dxa"/>
            <w:tcBorders>
              <w:bottom w:val="single" w:sz="12" w:space="0" w:color="000000"/>
            </w:tcBorders>
            <w:shd w:fill="CCEEFF" w:val="clear"/>
            <w:tcMar>
              <w:bottom w:w="28" w:type="dxa"/>
            </w:tcMar>
            <w:vAlign w:val="bottom"/>
          </w:tcPr>
          <w:p>
            <w:pPr>
              <w:pStyle w:val="TableContents"/>
              <w:spacing w:before="0" w:after="1"/>
              <w:ind w:left="0" w:right="0" w:hanging="0"/>
              <w:jc w:val="both"/>
              <w:rPr>
                <w:b/>
                <w:sz w:val="17"/>
              </w:rPr>
            </w:pPr>
            <w:r>
              <w:rPr>
                <w:b/>
                <w:sz w:val="17"/>
              </w:rPr>
              <w:t>As of December 31, 2011</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1235"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Beneficial Leases</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89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Trade name</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1715"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Other Intangible Assets</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255" w:type="dxa"/>
            <w:tcBorders>
              <w:top w:val="single" w:sz="12" w:space="0" w:color="000000"/>
            </w:tcBorders>
            <w:shd w:fill="FFFFFF" w:val="clear"/>
            <w:tcMar>
              <w:top w:w="28" w:type="dxa"/>
            </w:tcMar>
            <w:vAlign w:val="bottom"/>
          </w:tcPr>
          <w:p>
            <w:pPr>
              <w:pStyle w:val="TableContents"/>
              <w:spacing w:before="0" w:after="1"/>
              <w:ind w:left="0" w:right="0" w:hanging="0"/>
              <w:jc w:val="both"/>
              <w:rPr>
                <w:sz w:val="17"/>
              </w:rPr>
            </w:pPr>
            <w:r>
              <w:rPr>
                <w:sz w:val="17"/>
              </w:rPr>
              <w:t>Gross carrying amount</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1235"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24,471 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890"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7,220 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1715"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456 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32,147  </w:t>
            </w:r>
          </w:p>
        </w:tc>
      </w:tr>
      <w:tr>
        <w:trPr/>
        <w:tc>
          <w:tcPr>
            <w:tcW w:w="225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Less: Accumulated amortization</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23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11,238 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9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2,553 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71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357 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14,148  </w:t>
            </w:r>
          </w:p>
        </w:tc>
      </w:tr>
      <w:tr>
        <w:trPr/>
        <w:tc>
          <w:tcPr>
            <w:tcW w:w="225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120" w:right="0" w:hanging="0"/>
              <w:jc w:val="both"/>
              <w:rPr>
                <w:sz w:val="17"/>
              </w:rPr>
            </w:pPr>
            <w:r>
              <w:rPr>
                <w:sz w:val="17"/>
              </w:rPr>
              <w:t>Total, net</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23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13,233 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9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4,667 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7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99 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17,999 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We amortize our beneficial leases over the lease period, the longest of which is approximately 30 years; our trade name using an accelerated amortization method over its estimated useful life of 45 years; and our option fee and other intangible assets over 10 years.  For the years ended December 31, 2012, 2011, and 2010, our amortization expense was $2.2 million, $2.4 million, and $2.6 million, respectively.  The estimated amortization expense in the five succeeding years and thereafter is as follows (dollars in thousands):  </w:t>
      </w:r>
    </w:p>
    <w:p>
      <w:pPr>
        <w:pStyle w:val="TextBody"/>
        <w:spacing w:before="0" w:after="0"/>
        <w:ind w:left="1440" w:right="0" w:hanging="0"/>
        <w:jc w:val="both"/>
        <w:rPr/>
      </w:pPr>
      <w:r>
        <w:rPr/>
        <w:t xml:space="preserve">  </w:t>
      </w:r>
    </w:p>
    <w:tbl>
      <w:tblPr>
        <w:tblW w:w="3225" w:type="dxa"/>
        <w:jc w:val="left"/>
        <w:tblInd w:w="1440" w:type="dxa"/>
        <w:tblCellMar>
          <w:top w:w="0" w:type="dxa"/>
          <w:left w:w="0" w:type="dxa"/>
          <w:bottom w:w="0" w:type="dxa"/>
          <w:right w:w="0" w:type="dxa"/>
        </w:tblCellMar>
      </w:tblPr>
      <w:tblGrid>
        <w:gridCol w:w="75"/>
        <w:gridCol w:w="2360"/>
        <w:gridCol w:w="110"/>
        <w:gridCol w:w="605"/>
        <w:gridCol w:w="75"/>
      </w:tblGrid>
      <w:tr>
        <w:trPr/>
        <w:tc>
          <w:tcPr>
            <w:tcW w:w="75" w:type="dxa"/>
            <w:tcBorders/>
            <w:shd w:fill="auto" w:val="clear"/>
            <w:vAlign w:val="bottom"/>
          </w:tcPr>
          <w:p>
            <w:pPr>
              <w:pStyle w:val="TableContents"/>
              <w:spacing w:before="0" w:after="1"/>
              <w:ind w:left="0" w:right="0" w:hanging="0"/>
              <w:jc w:val="both"/>
              <w:rPr/>
            </w:pPr>
            <w:r>
              <w:rPr/>
              <w:t> </w:t>
            </w:r>
          </w:p>
        </w:tc>
        <w:tc>
          <w:tcPr>
            <w:tcW w:w="23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23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23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r>
              <w:rPr>
                <w:b/>
                <w:sz w:val="17"/>
              </w:rPr>
              <w:t>Year Ending December 31,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360"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2013</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2,222 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2360" w:type="dxa"/>
            <w:tcBorders/>
            <w:shd w:fill="FFFFFF" w:val="clear"/>
            <w:vAlign w:val="bottom"/>
          </w:tcPr>
          <w:p>
            <w:pPr>
              <w:pStyle w:val="TableContents"/>
              <w:spacing w:before="0" w:after="1"/>
              <w:ind w:left="0" w:right="0" w:hanging="0"/>
              <w:jc w:val="both"/>
              <w:rPr>
                <w:sz w:val="17"/>
              </w:rPr>
            </w:pPr>
            <w:r>
              <w:rPr>
                <w:sz w:val="17"/>
              </w:rPr>
              <w:t>2014</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1,960 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360" w:type="dxa"/>
            <w:tcBorders/>
            <w:shd w:fill="CCEEFF" w:val="clear"/>
            <w:vAlign w:val="bottom"/>
          </w:tcPr>
          <w:p>
            <w:pPr>
              <w:pStyle w:val="TableContents"/>
              <w:spacing w:before="0" w:after="1"/>
              <w:ind w:left="0" w:right="0" w:hanging="0"/>
              <w:jc w:val="both"/>
              <w:rPr>
                <w:sz w:val="17"/>
              </w:rPr>
            </w:pPr>
            <w:r>
              <w:rPr>
                <w:sz w:val="17"/>
              </w:rPr>
              <w:t>2015</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1,845 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2360" w:type="dxa"/>
            <w:tcBorders/>
            <w:shd w:fill="FFFFFF" w:val="clear"/>
            <w:vAlign w:val="bottom"/>
          </w:tcPr>
          <w:p>
            <w:pPr>
              <w:pStyle w:val="TableContents"/>
              <w:spacing w:before="0" w:after="1"/>
              <w:ind w:left="0" w:right="0" w:hanging="0"/>
              <w:jc w:val="both"/>
              <w:rPr>
                <w:sz w:val="17"/>
              </w:rPr>
            </w:pPr>
            <w:r>
              <w:rPr>
                <w:sz w:val="17"/>
              </w:rPr>
              <w:t>2016</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1,595 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360" w:type="dxa"/>
            <w:tcBorders/>
            <w:shd w:fill="CCEEFF" w:val="clear"/>
            <w:vAlign w:val="bottom"/>
          </w:tcPr>
          <w:p>
            <w:pPr>
              <w:pStyle w:val="TableContents"/>
              <w:spacing w:before="0" w:after="1"/>
              <w:ind w:left="0" w:right="0" w:hanging="0"/>
              <w:jc w:val="both"/>
              <w:rPr>
                <w:sz w:val="17"/>
              </w:rPr>
            </w:pPr>
            <w:r>
              <w:rPr>
                <w:sz w:val="17"/>
              </w:rPr>
              <w:t>2017</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1,165 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236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Thereafter</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6,874 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3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future amortization expense</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15,661  </w:t>
            </w:r>
          </w:p>
        </w:tc>
        <w:tc>
          <w:tcPr>
            <w:tcW w:w="75" w:type="dxa"/>
            <w:tcBorders/>
            <w:shd w:fill="CCEEFF" w:val="clear"/>
            <w:vAlign w:val="bottom"/>
          </w:tcPr>
          <w:p>
            <w:pPr>
              <w:pStyle w:val="TableContents"/>
              <w:spacing w:before="0" w:after="1"/>
              <w:ind w:left="0" w:right="0" w:hanging="0"/>
              <w:jc w:val="both"/>
              <w:rPr/>
            </w:pPr>
            <w:r>
              <w:rPr/>
              <w:t>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240" w:after="200"/>
        <w:ind w:left="1440" w:right="0" w:hanging="0"/>
        <w:jc w:val="both"/>
        <w:rPr>
          <w:sz w:val="17"/>
        </w:rPr>
      </w:pPr>
      <w:r>
        <w:rPr>
          <w:b/>
          <w:sz w:val="17"/>
          <w:u w:val="single"/>
        </w:rPr>
        <w:t>Note 11 – Investments in and Advances to Unconsolidated Joint Ventures and Entities</w:t>
      </w:r>
      <w:r>
        <w:rPr>
          <w:sz w:val="17"/>
        </w:rPr>
        <w:t xml:space="preserve"> </w:t>
      </w:r>
    </w:p>
    <w:p>
      <w:pPr>
        <w:pStyle w:val="TextBody"/>
        <w:spacing w:before="0" w:after="200"/>
        <w:ind w:left="1440" w:right="0" w:firstLine="720"/>
        <w:jc w:val="both"/>
        <w:rPr>
          <w:sz w:val="17"/>
        </w:rPr>
      </w:pPr>
      <w:r>
        <w:rPr>
          <w:sz w:val="17"/>
        </w:rPr>
        <w:t xml:space="preserve">Investments in and advances to unconsolidated joint ventures and entities are accounted for under the equity method of accounting except for Rialto Distribution as described below.  As of December 31, 2012 and 2011, these investments in and advances to unconsolidated joint ventures and entities include the following (dollars in thousands): </w:t>
      </w:r>
    </w:p>
    <w:p>
      <w:pPr>
        <w:pStyle w:val="TextBody"/>
        <w:spacing w:before="0" w:after="0"/>
        <w:ind w:left="1440" w:right="0" w:hanging="0"/>
        <w:jc w:val="both"/>
        <w:rPr/>
      </w:pPr>
      <w:r>
        <w:rPr/>
        <w:t xml:space="preserve">  </w:t>
      </w:r>
    </w:p>
    <w:tbl>
      <w:tblPr>
        <w:tblW w:w="4755" w:type="dxa"/>
        <w:jc w:val="left"/>
        <w:tblInd w:w="1440" w:type="dxa"/>
        <w:tblCellMar>
          <w:top w:w="0" w:type="dxa"/>
          <w:left w:w="0" w:type="dxa"/>
          <w:bottom w:w="0" w:type="dxa"/>
          <w:right w:w="0" w:type="dxa"/>
        </w:tblCellMar>
      </w:tblPr>
      <w:tblGrid>
        <w:gridCol w:w="2915"/>
        <w:gridCol w:w="575"/>
        <w:gridCol w:w="110"/>
        <w:gridCol w:w="515"/>
        <w:gridCol w:w="110"/>
        <w:gridCol w:w="530"/>
      </w:tblGrid>
      <w:tr>
        <w:trPr/>
        <w:tc>
          <w:tcPr>
            <w:tcW w:w="291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291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291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5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291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Interest</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291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Rialto Distribution</w:t>
            </w:r>
          </w:p>
        </w:tc>
        <w:tc>
          <w:tcPr>
            <w:tcW w:w="575"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33.3%</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30" w:type="dxa"/>
            <w:tcBorders>
              <w:top w:val="single" w:sz="12" w:space="0" w:color="000000"/>
            </w:tcBorders>
            <w:shd w:fill="CCEEFF" w:val="clear"/>
            <w:tcMar>
              <w:top w:w="28" w:type="dxa"/>
            </w:tcMar>
            <w:vAlign w:val="bottom"/>
          </w:tcPr>
          <w:p>
            <w:pPr>
              <w:pStyle w:val="TableContents"/>
              <w:spacing w:before="0" w:after="1"/>
              <w:ind w:left="0" w:right="65" w:hanging="0"/>
              <w:jc w:val="right"/>
              <w:rPr>
                <w:sz w:val="17"/>
              </w:rPr>
            </w:pPr>
            <w:r>
              <w:rPr>
                <w:sz w:val="17"/>
              </w:rPr>
              <w:t>--</w:t>
            </w:r>
          </w:p>
        </w:tc>
      </w:tr>
      <w:tr>
        <w:trPr/>
        <w:tc>
          <w:tcPr>
            <w:tcW w:w="2915" w:type="dxa"/>
            <w:tcBorders/>
            <w:shd w:fill="FFFFFF" w:val="clear"/>
            <w:vAlign w:val="bottom"/>
          </w:tcPr>
          <w:p>
            <w:pPr>
              <w:pStyle w:val="TableContents"/>
              <w:spacing w:before="0" w:after="1"/>
              <w:ind w:left="0" w:right="0" w:hanging="0"/>
              <w:jc w:val="both"/>
              <w:rPr>
                <w:sz w:val="17"/>
              </w:rPr>
            </w:pPr>
            <w:r>
              <w:rPr>
                <w:sz w:val="17"/>
              </w:rPr>
              <w:t>Rialto Cinemas</w:t>
            </w:r>
          </w:p>
        </w:tc>
        <w:tc>
          <w:tcPr>
            <w:tcW w:w="575" w:type="dxa"/>
            <w:tcBorders/>
            <w:shd w:fill="FFFFFF" w:val="clear"/>
            <w:vAlign w:val="bottom"/>
          </w:tcPr>
          <w:p>
            <w:pPr>
              <w:pStyle w:val="TableContents"/>
              <w:spacing w:before="0" w:after="1"/>
              <w:ind w:left="0" w:right="0" w:hanging="0"/>
              <w:jc w:val="center"/>
              <w:rPr>
                <w:sz w:val="17"/>
              </w:rPr>
            </w:pPr>
            <w:r>
              <w:rPr>
                <w:sz w:val="17"/>
              </w:rPr>
              <w:t>50.0%</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1,561 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1,586  </w:t>
            </w:r>
          </w:p>
        </w:tc>
      </w:tr>
      <w:tr>
        <w:trPr/>
        <w:tc>
          <w:tcPr>
            <w:tcW w:w="2915" w:type="dxa"/>
            <w:tcBorders/>
            <w:shd w:fill="CCEEFF" w:val="clear"/>
            <w:vAlign w:val="bottom"/>
          </w:tcPr>
          <w:p>
            <w:pPr>
              <w:pStyle w:val="TableContents"/>
              <w:spacing w:before="0" w:after="1"/>
              <w:ind w:left="0" w:right="0" w:hanging="0"/>
              <w:jc w:val="both"/>
              <w:rPr>
                <w:sz w:val="17"/>
              </w:rPr>
            </w:pPr>
            <w:r>
              <w:rPr>
                <w:sz w:val="17"/>
              </w:rPr>
              <w:t>205-209 East 57th Street Associates, LLC</w:t>
            </w:r>
          </w:p>
        </w:tc>
        <w:tc>
          <w:tcPr>
            <w:tcW w:w="575" w:type="dxa"/>
            <w:tcBorders/>
            <w:shd w:fill="CCEEFF" w:val="clear"/>
            <w:vAlign w:val="bottom"/>
          </w:tcPr>
          <w:p>
            <w:pPr>
              <w:pStyle w:val="TableContents"/>
              <w:spacing w:before="0" w:after="1"/>
              <w:ind w:left="0" w:right="0" w:hanging="0"/>
              <w:jc w:val="center"/>
              <w:rPr>
                <w:sz w:val="17"/>
              </w:rPr>
            </w:pPr>
            <w:r>
              <w:rPr>
                <w:sz w:val="17"/>
              </w:rPr>
              <w:t>25.0%</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60 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33  </w:t>
            </w:r>
          </w:p>
        </w:tc>
      </w:tr>
      <w:tr>
        <w:trPr/>
        <w:tc>
          <w:tcPr>
            <w:tcW w:w="291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Mt. Gravatt</w:t>
            </w:r>
          </w:p>
        </w:tc>
        <w:tc>
          <w:tcPr>
            <w:tcW w:w="575" w:type="dxa"/>
            <w:tcBorders>
              <w:bottom w:val="single" w:sz="8" w:space="0" w:color="000000"/>
            </w:tcBorders>
            <w:shd w:fill="FFFFFF" w:val="clear"/>
            <w:tcMar>
              <w:bottom w:w="28" w:type="dxa"/>
            </w:tcMar>
            <w:vAlign w:val="bottom"/>
          </w:tcPr>
          <w:p>
            <w:pPr>
              <w:pStyle w:val="TableContents"/>
              <w:spacing w:before="0" w:after="1"/>
              <w:ind w:left="0" w:right="0" w:hanging="0"/>
              <w:jc w:val="center"/>
              <w:rPr>
                <w:sz w:val="17"/>
              </w:rPr>
            </w:pPr>
            <w:r>
              <w:rPr>
                <w:sz w:val="17"/>
              </w:rPr>
              <w:t>33.3%</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6,094 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3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6,220  </w:t>
            </w:r>
          </w:p>
        </w:tc>
      </w:tr>
      <w:tr>
        <w:trPr/>
        <w:tc>
          <w:tcPr>
            <w:tcW w:w="29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investments</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7,715 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7,839  </w:t>
            </w:r>
          </w:p>
        </w:tc>
      </w:tr>
    </w:tbl>
    <w:p>
      <w:pPr>
        <w:pStyle w:val="TextBody"/>
        <w:spacing w:before="0" w:after="0"/>
        <w:ind w:left="1440" w:right="0" w:firstLine="720"/>
        <w:jc w:val="both"/>
        <w:rPr/>
      </w:pPr>
      <w:r>
        <w:rPr/>
        <w:t xml:space="preserve">  </w:t>
      </w:r>
    </w:p>
    <w:p>
      <w:pPr>
        <w:pStyle w:val="TextBody"/>
        <w:spacing w:before="0" w:after="200"/>
        <w:ind w:left="1440" w:right="0" w:firstLine="720"/>
        <w:jc w:val="both"/>
        <w:rPr>
          <w:sz w:val="17"/>
        </w:rPr>
      </w:pPr>
      <w:r>
        <w:rPr>
          <w:sz w:val="17"/>
        </w:rPr>
        <w:t xml:space="preserve">For the years ended December 31, 2012, 2011, and 2010, we recorded our earnings (loss) from our unconsolidated joint ventures and entities as follows (dollars in thousands): </w:t>
      </w:r>
    </w:p>
    <w:p>
      <w:pPr>
        <w:pStyle w:val="TextBody"/>
        <w:spacing w:before="0" w:after="0"/>
        <w:ind w:left="1440" w:right="0" w:firstLine="720"/>
        <w:jc w:val="both"/>
        <w:rPr/>
      </w:pPr>
      <w:r>
        <w:rPr/>
        <w:t xml:space="preserve">  </w:t>
      </w:r>
    </w:p>
    <w:tbl>
      <w:tblPr>
        <w:tblW w:w="5744" w:type="dxa"/>
        <w:jc w:val="left"/>
        <w:tblInd w:w="1440" w:type="dxa"/>
        <w:tblCellMar>
          <w:top w:w="0" w:type="dxa"/>
          <w:left w:w="0" w:type="dxa"/>
          <w:bottom w:w="0" w:type="dxa"/>
          <w:right w:w="0" w:type="dxa"/>
        </w:tblCellMar>
      </w:tblPr>
      <w:tblGrid>
        <w:gridCol w:w="3710"/>
        <w:gridCol w:w="110"/>
        <w:gridCol w:w="534"/>
        <w:gridCol w:w="114"/>
        <w:gridCol w:w="612"/>
        <w:gridCol w:w="114"/>
        <w:gridCol w:w="550"/>
      </w:tblGrid>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4" w:type="dxa"/>
            <w:tcBorders/>
            <w:shd w:fill="auto" w:val="clear"/>
            <w:vAlign w:val="bottom"/>
          </w:tcPr>
          <w:p>
            <w:pPr>
              <w:pStyle w:val="TableContents"/>
              <w:spacing w:before="0" w:after="1"/>
              <w:ind w:left="0" w:right="0" w:hanging="0"/>
              <w:jc w:val="both"/>
              <w:rPr/>
            </w:pPr>
            <w:r>
              <w:rPr/>
              <w:t> </w:t>
            </w:r>
          </w:p>
        </w:tc>
        <w:tc>
          <w:tcPr>
            <w:tcW w:w="114" w:type="dxa"/>
            <w:tcBorders/>
            <w:shd w:fill="auto" w:val="clear"/>
            <w:vAlign w:val="bottom"/>
          </w:tcPr>
          <w:p>
            <w:pPr>
              <w:pStyle w:val="TableContents"/>
              <w:spacing w:before="0" w:after="1"/>
              <w:ind w:left="0" w:right="0" w:hanging="0"/>
              <w:jc w:val="both"/>
              <w:rPr/>
            </w:pPr>
            <w:r>
              <w:rPr/>
              <w:t> </w:t>
            </w:r>
          </w:p>
        </w:tc>
        <w:tc>
          <w:tcPr>
            <w:tcW w:w="612" w:type="dxa"/>
            <w:tcBorders/>
            <w:shd w:fill="auto" w:val="clear"/>
            <w:vAlign w:val="bottom"/>
          </w:tcPr>
          <w:p>
            <w:pPr>
              <w:pStyle w:val="TableContents"/>
              <w:spacing w:before="0" w:after="1"/>
              <w:ind w:left="0" w:right="0" w:hanging="0"/>
              <w:jc w:val="both"/>
              <w:rPr/>
            </w:pPr>
            <w:r>
              <w:rPr/>
              <w:t> </w:t>
            </w:r>
          </w:p>
        </w:tc>
        <w:tc>
          <w:tcPr>
            <w:tcW w:w="114" w:type="dxa"/>
            <w:tcBorders/>
            <w:shd w:fill="auto" w:val="clear"/>
            <w:vAlign w:val="bottom"/>
          </w:tcPr>
          <w:p>
            <w:pPr>
              <w:pStyle w:val="TableContents"/>
              <w:spacing w:before="0" w:after="1"/>
              <w:ind w:left="0" w:right="0" w:hanging="0"/>
              <w:jc w:val="both"/>
              <w:rPr/>
            </w:pPr>
            <w:r>
              <w:rPr/>
              <w:t> </w:t>
            </w:r>
          </w:p>
        </w:tc>
        <w:tc>
          <w:tcPr>
            <w:tcW w:w="550" w:type="dxa"/>
            <w:tcBorders/>
            <w:shd w:fill="auto" w:val="clear"/>
            <w:vAlign w:val="bottom"/>
          </w:tcPr>
          <w:p>
            <w:pPr>
              <w:pStyle w:val="TableContents"/>
              <w:spacing w:before="0" w:after="1"/>
              <w:ind w:left="0" w:right="0" w:hanging="0"/>
              <w:jc w:val="both"/>
              <w:rPr/>
            </w:pPr>
            <w:r>
              <w:rPr/>
              <w:t> </w:t>
            </w:r>
          </w:p>
        </w:tc>
      </w:tr>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4" w:type="dxa"/>
            <w:tcBorders/>
            <w:shd w:fill="auto" w:val="clear"/>
            <w:vAlign w:val="bottom"/>
          </w:tcPr>
          <w:p>
            <w:pPr>
              <w:pStyle w:val="TableContents"/>
              <w:spacing w:before="0" w:after="1"/>
              <w:ind w:left="0" w:right="0" w:hanging="0"/>
              <w:jc w:val="both"/>
              <w:rPr/>
            </w:pPr>
            <w:r>
              <w:rPr/>
              <w:t> </w:t>
            </w:r>
          </w:p>
        </w:tc>
        <w:tc>
          <w:tcPr>
            <w:tcW w:w="114" w:type="dxa"/>
            <w:tcBorders/>
            <w:shd w:fill="auto" w:val="clear"/>
            <w:vAlign w:val="bottom"/>
          </w:tcPr>
          <w:p>
            <w:pPr>
              <w:pStyle w:val="TableContents"/>
              <w:spacing w:before="0" w:after="1"/>
              <w:ind w:left="0" w:right="0" w:hanging="0"/>
              <w:jc w:val="both"/>
              <w:rPr/>
            </w:pPr>
            <w:r>
              <w:rPr/>
              <w:t> </w:t>
            </w:r>
          </w:p>
        </w:tc>
        <w:tc>
          <w:tcPr>
            <w:tcW w:w="612" w:type="dxa"/>
            <w:tcBorders/>
            <w:shd w:fill="auto" w:val="clear"/>
            <w:vAlign w:val="bottom"/>
          </w:tcPr>
          <w:p>
            <w:pPr>
              <w:pStyle w:val="TableContents"/>
              <w:spacing w:before="0" w:after="1"/>
              <w:ind w:left="0" w:right="0" w:hanging="0"/>
              <w:jc w:val="both"/>
              <w:rPr/>
            </w:pPr>
            <w:r>
              <w:rPr/>
              <w:t> </w:t>
            </w:r>
          </w:p>
        </w:tc>
        <w:tc>
          <w:tcPr>
            <w:tcW w:w="114" w:type="dxa"/>
            <w:tcBorders/>
            <w:shd w:fill="auto" w:val="clear"/>
            <w:vAlign w:val="bottom"/>
          </w:tcPr>
          <w:p>
            <w:pPr>
              <w:pStyle w:val="TableContents"/>
              <w:spacing w:before="0" w:after="1"/>
              <w:ind w:left="0" w:right="0" w:hanging="0"/>
              <w:jc w:val="both"/>
              <w:rPr/>
            </w:pPr>
            <w:r>
              <w:rPr/>
              <w:t> </w:t>
            </w:r>
          </w:p>
        </w:tc>
        <w:tc>
          <w:tcPr>
            <w:tcW w:w="550" w:type="dxa"/>
            <w:tcBorders/>
            <w:shd w:fill="auto" w:val="clear"/>
            <w:vAlign w:val="bottom"/>
          </w:tcPr>
          <w:p>
            <w:pPr>
              <w:pStyle w:val="TableContents"/>
              <w:spacing w:before="0" w:after="1"/>
              <w:ind w:left="0" w:right="0" w:hanging="0"/>
              <w:jc w:val="both"/>
              <w:rPr/>
            </w:pPr>
            <w:r>
              <w:rPr/>
              <w:t> </w:t>
            </w:r>
          </w:p>
        </w:tc>
      </w:tr>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924" w:type="dxa"/>
            <w:gridSpan w:val="5"/>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Year Ended December 31,</w:t>
            </w:r>
          </w:p>
        </w:tc>
      </w:tr>
      <w:tr>
        <w:trPr/>
        <w:tc>
          <w:tcPr>
            <w:tcW w:w="37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34"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4"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12"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4"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55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2010</w:t>
            </w:r>
          </w:p>
        </w:tc>
      </w:tr>
      <w:tr>
        <w:trPr/>
        <w:tc>
          <w:tcPr>
            <w:tcW w:w="371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Rialto Distribution</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34"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199  </w:t>
            </w:r>
          </w:p>
        </w:tc>
        <w:tc>
          <w:tcPr>
            <w:tcW w:w="114"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12"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383  </w:t>
            </w:r>
          </w:p>
        </w:tc>
        <w:tc>
          <w:tcPr>
            <w:tcW w:w="114"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5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286  </w:t>
            </w:r>
          </w:p>
        </w:tc>
      </w:tr>
      <w:tr>
        <w:trPr/>
        <w:tc>
          <w:tcPr>
            <w:tcW w:w="3710" w:type="dxa"/>
            <w:tcBorders/>
            <w:shd w:fill="FFFFFF" w:val="clear"/>
            <w:vAlign w:val="bottom"/>
          </w:tcPr>
          <w:p>
            <w:pPr>
              <w:pStyle w:val="TableContents"/>
              <w:spacing w:before="0" w:after="1"/>
              <w:ind w:left="0" w:right="0" w:hanging="0"/>
              <w:jc w:val="both"/>
              <w:rPr>
                <w:sz w:val="17"/>
              </w:rPr>
            </w:pPr>
            <w:r>
              <w:rPr>
                <w:sz w:val="17"/>
              </w:rPr>
              <w:t>Rialto Cinemas</w:t>
            </w:r>
          </w:p>
        </w:tc>
        <w:tc>
          <w:tcPr>
            <w:tcW w:w="110" w:type="dxa"/>
            <w:tcBorders/>
            <w:shd w:fill="FFFFFF" w:val="clear"/>
            <w:vAlign w:val="bottom"/>
          </w:tcPr>
          <w:p>
            <w:pPr>
              <w:pStyle w:val="TableContents"/>
              <w:spacing w:before="0" w:after="1"/>
              <w:ind w:left="0" w:right="0" w:hanging="0"/>
              <w:jc w:val="right"/>
              <w:rPr/>
            </w:pPr>
            <w:r>
              <w:rPr/>
              <w:t> </w:t>
            </w:r>
          </w:p>
        </w:tc>
        <w:tc>
          <w:tcPr>
            <w:tcW w:w="534" w:type="dxa"/>
            <w:tcBorders/>
            <w:shd w:fill="FFFFFF" w:val="clear"/>
            <w:vAlign w:val="bottom"/>
          </w:tcPr>
          <w:p>
            <w:pPr>
              <w:pStyle w:val="TableContents"/>
              <w:spacing w:before="0" w:after="283"/>
              <w:jc w:val="right"/>
              <w:rPr>
                <w:sz w:val="17"/>
              </w:rPr>
            </w:pPr>
            <w:r>
              <w:rPr>
                <w:sz w:val="17"/>
              </w:rPr>
              <w:t xml:space="preserve">209  </w:t>
            </w:r>
          </w:p>
        </w:tc>
        <w:tc>
          <w:tcPr>
            <w:tcW w:w="114" w:type="dxa"/>
            <w:tcBorders/>
            <w:shd w:fill="FFFFFF" w:val="clear"/>
            <w:vAlign w:val="bottom"/>
          </w:tcPr>
          <w:p>
            <w:pPr>
              <w:pStyle w:val="TableContents"/>
              <w:spacing w:before="0" w:after="1"/>
              <w:ind w:left="0" w:right="0" w:hanging="0"/>
              <w:jc w:val="right"/>
              <w:rPr/>
            </w:pPr>
            <w:r>
              <w:rPr/>
              <w:t> </w:t>
            </w:r>
          </w:p>
        </w:tc>
        <w:tc>
          <w:tcPr>
            <w:tcW w:w="612" w:type="dxa"/>
            <w:tcBorders/>
            <w:shd w:fill="FFFFFF" w:val="clear"/>
            <w:vAlign w:val="bottom"/>
          </w:tcPr>
          <w:p>
            <w:pPr>
              <w:pStyle w:val="TableContents"/>
              <w:spacing w:before="0" w:after="283"/>
              <w:jc w:val="right"/>
              <w:rPr>
                <w:sz w:val="17"/>
              </w:rPr>
            </w:pPr>
            <w:r>
              <w:rPr>
                <w:sz w:val="17"/>
              </w:rPr>
              <w:t xml:space="preserve">(72) </w:t>
            </w:r>
          </w:p>
        </w:tc>
        <w:tc>
          <w:tcPr>
            <w:tcW w:w="114" w:type="dxa"/>
            <w:tcBorders/>
            <w:shd w:fill="FFFFFF" w:val="clear"/>
            <w:vAlign w:val="bottom"/>
          </w:tcPr>
          <w:p>
            <w:pPr>
              <w:pStyle w:val="TableContents"/>
              <w:spacing w:before="0" w:after="1"/>
              <w:ind w:left="0" w:right="0" w:hanging="0"/>
              <w:jc w:val="right"/>
              <w:rPr/>
            </w:pPr>
            <w:r>
              <w:rPr/>
              <w:t> </w:t>
            </w:r>
          </w:p>
        </w:tc>
        <w:tc>
          <w:tcPr>
            <w:tcW w:w="550" w:type="dxa"/>
            <w:tcBorders/>
            <w:shd w:fill="FFFFFF" w:val="clear"/>
            <w:vAlign w:val="bottom"/>
          </w:tcPr>
          <w:p>
            <w:pPr>
              <w:pStyle w:val="TableContents"/>
              <w:spacing w:before="0" w:after="283"/>
              <w:jc w:val="right"/>
              <w:rPr>
                <w:sz w:val="17"/>
              </w:rPr>
            </w:pPr>
            <w:r>
              <w:rPr>
                <w:sz w:val="17"/>
              </w:rPr>
              <w:t xml:space="preserve">64  </w:t>
            </w:r>
          </w:p>
        </w:tc>
      </w:tr>
      <w:tr>
        <w:trPr/>
        <w:tc>
          <w:tcPr>
            <w:tcW w:w="3710" w:type="dxa"/>
            <w:tcBorders/>
            <w:shd w:fill="CCEEFF" w:val="clear"/>
            <w:vAlign w:val="bottom"/>
          </w:tcPr>
          <w:p>
            <w:pPr>
              <w:pStyle w:val="TableContents"/>
              <w:spacing w:before="0" w:after="1"/>
              <w:ind w:left="0" w:right="0" w:hanging="0"/>
              <w:jc w:val="both"/>
              <w:rPr>
                <w:sz w:val="17"/>
              </w:rPr>
            </w:pPr>
            <w:r>
              <w:rPr>
                <w:sz w:val="17"/>
              </w:rPr>
              <w:t>205-209 East 57th Street Associates, LLC</w:t>
            </w:r>
          </w:p>
        </w:tc>
        <w:tc>
          <w:tcPr>
            <w:tcW w:w="110" w:type="dxa"/>
            <w:tcBorders/>
            <w:shd w:fill="CCEEFF" w:val="clear"/>
            <w:vAlign w:val="bottom"/>
          </w:tcPr>
          <w:p>
            <w:pPr>
              <w:pStyle w:val="TableContents"/>
              <w:spacing w:before="0" w:after="1"/>
              <w:ind w:left="0" w:right="0" w:hanging="0"/>
              <w:jc w:val="right"/>
              <w:rPr/>
            </w:pPr>
            <w:r>
              <w:rPr/>
              <w:t> </w:t>
            </w:r>
          </w:p>
        </w:tc>
        <w:tc>
          <w:tcPr>
            <w:tcW w:w="534" w:type="dxa"/>
            <w:tcBorders/>
            <w:shd w:fill="CCEEFF" w:val="clear"/>
            <w:vAlign w:val="bottom"/>
          </w:tcPr>
          <w:p>
            <w:pPr>
              <w:pStyle w:val="TableContents"/>
              <w:spacing w:before="0" w:after="283"/>
              <w:jc w:val="right"/>
              <w:rPr>
                <w:sz w:val="17"/>
              </w:rPr>
            </w:pPr>
            <w:r>
              <w:rPr>
                <w:sz w:val="17"/>
              </w:rPr>
              <w:t xml:space="preserve">27  </w:t>
            </w:r>
          </w:p>
        </w:tc>
        <w:tc>
          <w:tcPr>
            <w:tcW w:w="114" w:type="dxa"/>
            <w:tcBorders/>
            <w:shd w:fill="CCEEFF" w:val="clear"/>
            <w:vAlign w:val="bottom"/>
          </w:tcPr>
          <w:p>
            <w:pPr>
              <w:pStyle w:val="TableContents"/>
              <w:spacing w:before="0" w:after="1"/>
              <w:ind w:left="0" w:right="0" w:hanging="0"/>
              <w:jc w:val="right"/>
              <w:rPr/>
            </w:pPr>
            <w:r>
              <w:rPr/>
              <w:t> </w:t>
            </w:r>
          </w:p>
        </w:tc>
        <w:tc>
          <w:tcPr>
            <w:tcW w:w="612" w:type="dxa"/>
            <w:tcBorders/>
            <w:shd w:fill="CCEEFF" w:val="clear"/>
            <w:vAlign w:val="bottom"/>
          </w:tcPr>
          <w:p>
            <w:pPr>
              <w:pStyle w:val="TableContents"/>
              <w:spacing w:before="0" w:after="283"/>
              <w:jc w:val="right"/>
              <w:rPr>
                <w:sz w:val="17"/>
              </w:rPr>
            </w:pPr>
            <w:r>
              <w:rPr>
                <w:sz w:val="17"/>
              </w:rPr>
              <w:t xml:space="preserve">33  </w:t>
            </w:r>
          </w:p>
        </w:tc>
        <w:tc>
          <w:tcPr>
            <w:tcW w:w="114" w:type="dxa"/>
            <w:tcBorders/>
            <w:shd w:fill="CCEEFF" w:val="clear"/>
            <w:vAlign w:val="bottom"/>
          </w:tcPr>
          <w:p>
            <w:pPr>
              <w:pStyle w:val="TableContents"/>
              <w:spacing w:before="0" w:after="1"/>
              <w:ind w:left="0" w:right="0" w:hanging="0"/>
              <w:jc w:val="right"/>
              <w:rPr/>
            </w:pPr>
            <w:r>
              <w:rPr/>
              <w:t> </w:t>
            </w:r>
          </w:p>
        </w:tc>
        <w:tc>
          <w:tcPr>
            <w:tcW w:w="550" w:type="dxa"/>
            <w:tcBorders/>
            <w:shd w:fill="CCEEFF" w:val="clear"/>
            <w:vAlign w:val="bottom"/>
          </w:tcPr>
          <w:p>
            <w:pPr>
              <w:pStyle w:val="TableContents"/>
              <w:spacing w:before="0" w:after="283"/>
              <w:jc w:val="right"/>
              <w:rPr>
                <w:sz w:val="17"/>
              </w:rPr>
            </w:pPr>
            <w:r>
              <w:rPr>
                <w:sz w:val="17"/>
              </w:rPr>
              <w:t xml:space="preserve">89  </w:t>
            </w:r>
          </w:p>
        </w:tc>
      </w:tr>
      <w:tr>
        <w:trPr/>
        <w:tc>
          <w:tcPr>
            <w:tcW w:w="371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Mt. Gravatt</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34"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1,186  </w:t>
            </w:r>
          </w:p>
        </w:tc>
        <w:tc>
          <w:tcPr>
            <w:tcW w:w="114"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12"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1,038  </w:t>
            </w:r>
          </w:p>
        </w:tc>
        <w:tc>
          <w:tcPr>
            <w:tcW w:w="114"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5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906  </w:t>
            </w:r>
          </w:p>
        </w:tc>
      </w:tr>
      <w:tr>
        <w:trPr/>
        <w:tc>
          <w:tcPr>
            <w:tcW w:w="3710"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Total investor share of earnings</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34"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1,621  </w:t>
            </w:r>
          </w:p>
        </w:tc>
        <w:tc>
          <w:tcPr>
            <w:tcW w:w="114"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612"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1,382  </w:t>
            </w:r>
          </w:p>
        </w:tc>
        <w:tc>
          <w:tcPr>
            <w:tcW w:w="114"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5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1,345  </w:t>
            </w:r>
          </w:p>
        </w:tc>
      </w:tr>
      <w:tr>
        <w:trPr/>
        <w:tc>
          <w:tcPr>
            <w:tcW w:w="371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Rialto Cinemas impairment recorded at investor level</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34" w:type="dxa"/>
            <w:tcBorders>
              <w:bottom w:val="single" w:sz="8" w:space="0" w:color="000000"/>
            </w:tcBorders>
            <w:shd w:fill="FFFFFF" w:val="clear"/>
            <w:tcMar>
              <w:bottom w:w="28" w:type="dxa"/>
            </w:tcMar>
            <w:vAlign w:val="bottom"/>
          </w:tcPr>
          <w:p>
            <w:pPr>
              <w:pStyle w:val="TableContents"/>
              <w:spacing w:before="0" w:after="1"/>
              <w:ind w:left="0" w:right="65" w:hanging="0"/>
              <w:jc w:val="right"/>
              <w:rPr>
                <w:sz w:val="17"/>
              </w:rPr>
            </w:pPr>
            <w:r>
              <w:rPr>
                <w:sz w:val="17"/>
              </w:rPr>
              <w:t>--</w:t>
            </w:r>
          </w:p>
        </w:tc>
        <w:tc>
          <w:tcPr>
            <w:tcW w:w="114"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12"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(2,934) </w:t>
            </w:r>
          </w:p>
        </w:tc>
        <w:tc>
          <w:tcPr>
            <w:tcW w:w="114"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50" w:type="dxa"/>
            <w:tcBorders>
              <w:bottom w:val="single" w:sz="8" w:space="0" w:color="000000"/>
            </w:tcBorders>
            <w:shd w:fill="FFFFFF" w:val="clear"/>
            <w:tcMar>
              <w:bottom w:w="28" w:type="dxa"/>
            </w:tcMar>
            <w:vAlign w:val="bottom"/>
          </w:tcPr>
          <w:p>
            <w:pPr>
              <w:pStyle w:val="TableContents"/>
              <w:spacing w:before="0" w:after="1"/>
              <w:ind w:left="0" w:right="65" w:hanging="0"/>
              <w:jc w:val="right"/>
              <w:rPr>
                <w:sz w:val="17"/>
              </w:rPr>
            </w:pPr>
            <w:r>
              <w:rPr>
                <w:sz w:val="17"/>
              </w:rPr>
              <w:t>--</w:t>
            </w:r>
          </w:p>
        </w:tc>
      </w:tr>
      <w:tr>
        <w:trPr/>
        <w:tc>
          <w:tcPr>
            <w:tcW w:w="37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equity earnings</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34"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1,621  </w:t>
            </w:r>
          </w:p>
        </w:tc>
        <w:tc>
          <w:tcPr>
            <w:tcW w:w="114"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1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(1,552) </w:t>
            </w:r>
          </w:p>
        </w:tc>
        <w:tc>
          <w:tcPr>
            <w:tcW w:w="114"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1,345 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Rialto Distribution</w:t>
      </w:r>
      <w:r>
        <w:rPr>
          <w:sz w:val="17"/>
        </w:rPr>
        <w:t xml:space="preserve"> </w:t>
      </w:r>
    </w:p>
    <w:p>
      <w:pPr>
        <w:pStyle w:val="TextBody"/>
        <w:spacing w:before="0" w:after="200"/>
        <w:ind w:left="1440" w:right="0" w:firstLine="720"/>
        <w:jc w:val="both"/>
        <w:rPr>
          <w:sz w:val="17"/>
        </w:rPr>
      </w:pPr>
      <w:r>
        <w:rPr>
          <w:sz w:val="17"/>
        </w:rPr>
        <w:t xml:space="preserve">Effective October 1, 2005, we purchased for $694,000 (NZ$1.0 million) a 33.3% interest in Rialto Distribution.  Rialto Distribution, an unconsolidated joint venture, is engaged in the business of distributing art film in New Zealand and Australia.  We own an undivided 33.3% interest in the assets and liabilities of the joint venture.  Prior to January 1, 2010, we treated our interest as an equity method interest in an unconsolidated joint venture.  However, during 2009, the reporting company of Rialto Distribution reported a net loss of $2.2 million (NZ$3.2 million).  Our share of this loss was $734,000 (NZ$1.1 million).  Due to this significant loss, we determined that the goodwill associated with Rialto Distribution’s investment in the film distribution business was fully impaired.  Therefore, we recorded our share of the impairment loss of $331,000 (NZ$434,000) as a part of our equity losses resulting in a net zero balance at December 31, 2009.  As of January 1, 2010, we treat our interest as a cost method interest in an unconsolidated joint venture.  For the years ended December 31, 2012 2011, and 2010 we received $199,000 (NZ$245,000), $383,000 (NZ$500,000), and $286,000 (NZ$400,000), respectively, in distributions from our interest in Rialto Distribution which we recorded as earnings at the time of receipt. </w:t>
      </w:r>
    </w:p>
    <w:p>
      <w:pPr>
        <w:pStyle w:val="TextBody"/>
        <w:spacing w:before="0" w:after="200"/>
        <w:ind w:left="1440" w:right="0" w:hanging="0"/>
        <w:jc w:val="both"/>
        <w:rPr>
          <w:sz w:val="17"/>
        </w:rPr>
      </w:pPr>
      <w:r>
        <w:rPr>
          <w:sz w:val="17"/>
          <w:u w:val="single"/>
        </w:rPr>
        <w:t>Rialto Cinemas</w:t>
      </w:r>
      <w:r>
        <w:rPr>
          <w:sz w:val="17"/>
        </w:rPr>
        <w:t xml:space="preserve"> </w:t>
      </w:r>
    </w:p>
    <w:p>
      <w:pPr>
        <w:pStyle w:val="TextBody"/>
        <w:spacing w:before="0" w:after="200"/>
        <w:ind w:left="1440" w:right="0" w:firstLine="720"/>
        <w:jc w:val="both"/>
        <w:rPr>
          <w:sz w:val="17"/>
        </w:rPr>
      </w:pPr>
      <w:r>
        <w:rPr>
          <w:sz w:val="17"/>
        </w:rPr>
        <w:t xml:space="preserve">Effective October 1, 2005, we purchased, indirectly, a beneficial ownership of 100% of the stock of Rialto Entertainment for $4.8 million (NZ$6.9 million).  Rialto Entertainment was at the time of purchase a 50% joint venture partner with Village and Sky in Rialto Cinemas, the largest art cinema circuit in New Zealand.  The Village and Sky ownership interest have subsequently been sold to Greater Union, an Australian based cinema chain operator.  We own an undivided 50% interest in the assets and liabilities of the joint venture and treat our interest as an equity method interest in an unconsolidated joint venture. Subsequent to the February 22, 2011 earthquake in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Christchurch, the joint venture obtained a termination agreement with the landlord associated with the Christchurch cinema lease (see Note 26 – </w:t>
      </w:r>
      <w:r>
        <w:rPr>
          <w:i/>
          <w:sz w:val="17"/>
        </w:rPr>
        <w:t>Casualty Loss</w:t>
      </w:r>
      <w:r>
        <w:rPr>
          <w:sz w:val="17"/>
        </w:rPr>
        <w:t xml:space="preserve">).  As of December 31, 2012, following the closure of three cinemas with 15 screens, the joint venture owned two cinemas with 13 screens in the New Zealand cities of Auckland and Dunedin.  As part of our investment impairment analysis for 2011, we determined that the value of our investment was impaired.  For this reason, we recorded an impairment charge to our investment in Rialto Cinemas of $2.9 million (NZ$3.8 million) during December 31, 2011 and included it in our equity loss from unconsolidated joint ventures and entities for the year ended December 31, 2011. </w:t>
      </w:r>
    </w:p>
    <w:p>
      <w:pPr>
        <w:pStyle w:val="TextBody"/>
        <w:spacing w:before="0" w:after="200"/>
        <w:ind w:left="1440" w:right="0" w:hanging="0"/>
        <w:jc w:val="both"/>
        <w:rPr>
          <w:sz w:val="17"/>
        </w:rPr>
      </w:pPr>
      <w:r>
        <w:rPr>
          <w:sz w:val="17"/>
          <w:u w:val="single"/>
        </w:rPr>
        <w:t>205-209 East 57th Street Associates, LLC</w:t>
      </w:r>
      <w:r>
        <w:rPr>
          <w:sz w:val="17"/>
        </w:rPr>
        <w:t xml:space="preserve"> </w:t>
      </w:r>
    </w:p>
    <w:p>
      <w:pPr>
        <w:pStyle w:val="TextBody"/>
        <w:spacing w:before="0" w:after="200"/>
        <w:ind w:left="1440" w:right="0" w:firstLine="720"/>
        <w:jc w:val="both"/>
        <w:rPr>
          <w:sz w:val="17"/>
        </w:rPr>
      </w:pPr>
      <w:r>
        <w:rPr>
          <w:sz w:val="17"/>
        </w:rPr>
        <w:t xml:space="preserve">We own a non-managing 25% membership interest in 205-209 East 57th Street Associates, LLC a limited liability company formed to redevelop our former cinema site at 205 East 57th Street in Manhattan.  </w:t>
      </w:r>
    </w:p>
    <w:p>
      <w:pPr>
        <w:pStyle w:val="TextBody"/>
        <w:spacing w:before="0" w:after="200"/>
        <w:ind w:left="1440" w:right="0" w:firstLine="720"/>
        <w:jc w:val="both"/>
        <w:rPr>
          <w:sz w:val="17"/>
        </w:rPr>
      </w:pPr>
      <w:r>
        <w:rPr>
          <w:sz w:val="17"/>
        </w:rPr>
        <w:t xml:space="preserve">During the fourth quarter of 2010, the last residential condominium was sold for $900,000 from which we recorded earnings of $64,000 and received distributions totaling $293,000.  During 2012, as a consequence of a purchaser’s dispute, a condominium which was previously sold was repurchased, renovated, and resold for a small gain resulting in additional earnings to us of $27,000. </w:t>
      </w:r>
    </w:p>
    <w:p>
      <w:pPr>
        <w:pStyle w:val="TextBody"/>
        <w:spacing w:before="0" w:after="200"/>
        <w:ind w:left="1440" w:right="0" w:hanging="0"/>
        <w:jc w:val="both"/>
        <w:rPr>
          <w:sz w:val="17"/>
        </w:rPr>
      </w:pPr>
      <w:r>
        <w:rPr>
          <w:sz w:val="17"/>
          <w:u w:val="single"/>
        </w:rPr>
        <w:t>Mt. Gravatt</w:t>
      </w:r>
      <w:r>
        <w:rPr>
          <w:sz w:val="17"/>
        </w:rPr>
        <w:t xml:space="preserve"> </w:t>
      </w:r>
    </w:p>
    <w:p>
      <w:pPr>
        <w:pStyle w:val="TextBody"/>
        <w:spacing w:before="0" w:after="200"/>
        <w:ind w:left="1440" w:right="0" w:firstLine="720"/>
        <w:jc w:val="both"/>
        <w:rPr>
          <w:sz w:val="17"/>
        </w:rPr>
      </w:pPr>
      <w:r>
        <w:rPr>
          <w:sz w:val="17"/>
        </w:rPr>
        <w:t xml:space="preserve">We own an undivided 33.3% interest in Mt. Gravatt, an unincorporated joint venture that owns and operates a 16-screen multiplex cinema in Australia.  The condensed balance sheets and statements of operations of Mt. Gravatt are as follows (dollars in thousands): </w:t>
      </w:r>
    </w:p>
    <w:p>
      <w:pPr>
        <w:pStyle w:val="TextBody"/>
        <w:spacing w:before="0" w:after="200"/>
        <w:ind w:left="1440" w:right="0" w:hanging="0"/>
        <w:jc w:val="both"/>
        <w:rPr>
          <w:sz w:val="17"/>
        </w:rPr>
      </w:pPr>
      <w:r>
        <w:rPr>
          <w:b/>
          <w:sz w:val="17"/>
        </w:rPr>
        <w:t>Mt. Gravatt Condensed Balance Sheet Information</w:t>
      </w:r>
      <w:r>
        <w:rPr>
          <w:sz w:val="17"/>
        </w:rPr>
        <w:t xml:space="preserve"> </w:t>
      </w:r>
    </w:p>
    <w:p>
      <w:pPr>
        <w:pStyle w:val="TextBody"/>
        <w:spacing w:before="0" w:after="0"/>
        <w:ind w:left="1440" w:right="0" w:hanging="0"/>
        <w:jc w:val="both"/>
        <w:rPr/>
      </w:pPr>
      <w:r>
        <w:rPr/>
        <w:t xml:space="preserve">  </w:t>
      </w:r>
    </w:p>
    <w:tbl>
      <w:tblPr>
        <w:tblW w:w="2875" w:type="dxa"/>
        <w:jc w:val="left"/>
        <w:tblInd w:w="1440" w:type="dxa"/>
        <w:tblCellMar>
          <w:top w:w="0" w:type="dxa"/>
          <w:left w:w="0" w:type="dxa"/>
          <w:bottom w:w="0" w:type="dxa"/>
          <w:right w:w="0" w:type="dxa"/>
        </w:tblCellMar>
      </w:tblPr>
      <w:tblGrid>
        <w:gridCol w:w="1490"/>
        <w:gridCol w:w="60"/>
        <w:gridCol w:w="60"/>
        <w:gridCol w:w="110"/>
        <w:gridCol w:w="515"/>
        <w:gridCol w:w="110"/>
        <w:gridCol w:w="530"/>
      </w:tblGrid>
      <w:tr>
        <w:trPr/>
        <w:tc>
          <w:tcPr>
            <w:tcW w:w="149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149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1490" w:type="dxa"/>
            <w:tcBorders/>
            <w:shd w:fill="auto" w:val="clear"/>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115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149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1490"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Current assets</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1,318 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1,935  </w:t>
            </w:r>
          </w:p>
        </w:tc>
      </w:tr>
      <w:tr>
        <w:trPr/>
        <w:tc>
          <w:tcPr>
            <w:tcW w:w="1490" w:type="dxa"/>
            <w:tcBorders/>
            <w:shd w:fill="FFFFFF" w:val="clear"/>
          </w:tcPr>
          <w:p>
            <w:pPr>
              <w:pStyle w:val="TableContents"/>
              <w:spacing w:before="0" w:after="1"/>
              <w:ind w:left="0" w:right="0" w:hanging="0"/>
              <w:jc w:val="both"/>
              <w:rPr>
                <w:sz w:val="17"/>
              </w:rPr>
            </w:pPr>
            <w:r>
              <w:rPr>
                <w:sz w:val="17"/>
              </w:rPr>
              <w:t>Noncurrent assets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4,078 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3,832  </w:t>
            </w:r>
          </w:p>
        </w:tc>
      </w:tr>
      <w:tr>
        <w:trPr/>
        <w:tc>
          <w:tcPr>
            <w:tcW w:w="1490" w:type="dxa"/>
            <w:tcBorders/>
            <w:shd w:fill="CCEEFF" w:val="clear"/>
          </w:tcPr>
          <w:p>
            <w:pPr>
              <w:pStyle w:val="TableContents"/>
              <w:spacing w:before="0" w:after="1"/>
              <w:ind w:left="0" w:right="0" w:hanging="0"/>
              <w:jc w:val="both"/>
              <w:rPr>
                <w:sz w:val="17"/>
              </w:rPr>
            </w:pPr>
            <w:r>
              <w:rPr>
                <w:sz w:val="17"/>
              </w:rPr>
              <w:t>Current liabilities</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1,111 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846  </w:t>
            </w:r>
          </w:p>
        </w:tc>
      </w:tr>
      <w:tr>
        <w:trPr/>
        <w:tc>
          <w:tcPr>
            <w:tcW w:w="1490" w:type="dxa"/>
            <w:tcBorders/>
            <w:shd w:fill="FFFFFF" w:val="clear"/>
          </w:tcPr>
          <w:p>
            <w:pPr>
              <w:pStyle w:val="TableContents"/>
              <w:spacing w:before="0" w:after="1"/>
              <w:ind w:left="0" w:right="0" w:hanging="0"/>
              <w:jc w:val="both"/>
              <w:rPr>
                <w:sz w:val="17"/>
              </w:rPr>
            </w:pPr>
            <w:r>
              <w:rPr>
                <w:sz w:val="17"/>
              </w:rPr>
              <w:t>Noncurrent liabilities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43 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60  </w:t>
            </w:r>
          </w:p>
        </w:tc>
      </w:tr>
      <w:tr>
        <w:trPr/>
        <w:tc>
          <w:tcPr>
            <w:tcW w:w="1490" w:type="dxa"/>
            <w:tcBorders/>
            <w:shd w:fill="CCEEFF" w:val="clear"/>
          </w:tcPr>
          <w:p>
            <w:pPr>
              <w:pStyle w:val="TableContents"/>
              <w:spacing w:before="0" w:after="1"/>
              <w:ind w:left="0" w:right="0" w:hanging="0"/>
              <w:jc w:val="both"/>
              <w:rPr>
                <w:sz w:val="17"/>
              </w:rPr>
            </w:pPr>
            <w:r>
              <w:rPr>
                <w:sz w:val="17"/>
              </w:rPr>
              <w:t>Members’ equity</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4,242 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4,861 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Mt. Gravatt Condensed Statements of Operations Information</w:t>
      </w:r>
      <w:r>
        <w:rPr>
          <w:sz w:val="17"/>
        </w:rPr>
        <w:t xml:space="preserve"> </w:t>
      </w:r>
    </w:p>
    <w:p>
      <w:pPr>
        <w:pStyle w:val="TextBody"/>
        <w:spacing w:before="0" w:after="0"/>
        <w:ind w:left="1440" w:right="0" w:hanging="0"/>
        <w:jc w:val="both"/>
        <w:rPr/>
      </w:pPr>
      <w:r>
        <w:rPr/>
        <w:t xml:space="preserve">  </w:t>
      </w:r>
    </w:p>
    <w:tbl>
      <w:tblPr>
        <w:tblW w:w="3155" w:type="dxa"/>
        <w:jc w:val="left"/>
        <w:tblInd w:w="1440" w:type="dxa"/>
        <w:tblCellMar>
          <w:top w:w="0" w:type="dxa"/>
          <w:left w:w="0" w:type="dxa"/>
          <w:bottom w:w="0" w:type="dxa"/>
          <w:right w:w="0" w:type="dxa"/>
        </w:tblCellMar>
      </w:tblPr>
      <w:tblGrid>
        <w:gridCol w:w="995"/>
        <w:gridCol w:w="110"/>
        <w:gridCol w:w="605"/>
        <w:gridCol w:w="110"/>
        <w:gridCol w:w="605"/>
        <w:gridCol w:w="110"/>
        <w:gridCol w:w="620"/>
      </w:tblGrid>
      <w:tr>
        <w:trPr/>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605" w:type="dxa"/>
            <w:tcBorders/>
            <w:shd w:fill="auto" w:val="clear"/>
            <w:vAlign w:val="bottom"/>
          </w:tcPr>
          <w:p>
            <w:pPr>
              <w:pStyle w:val="TableContents"/>
              <w:spacing w:before="0" w:after="1"/>
              <w:ind w:left="0" w:right="0" w:hanging="0"/>
              <w:jc w:val="right"/>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605" w:type="dxa"/>
            <w:tcBorders/>
            <w:shd w:fill="auto" w:val="clear"/>
            <w:vAlign w:val="bottom"/>
          </w:tcPr>
          <w:p>
            <w:pPr>
              <w:pStyle w:val="TableContents"/>
              <w:spacing w:before="0" w:after="1"/>
              <w:ind w:left="0" w:right="0" w:hanging="0"/>
              <w:jc w:val="right"/>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620" w:type="dxa"/>
            <w:tcBorders/>
            <w:shd w:fill="auto" w:val="clear"/>
            <w:vAlign w:val="bottom"/>
          </w:tcPr>
          <w:p>
            <w:pPr>
              <w:pStyle w:val="TableContents"/>
              <w:spacing w:before="0" w:after="1"/>
              <w:ind w:left="0" w:right="0" w:hanging="0"/>
              <w:jc w:val="right"/>
              <w:rPr/>
            </w:pPr>
            <w:r>
              <w:rPr/>
              <w:t> </w:t>
            </w:r>
          </w:p>
        </w:tc>
      </w:tr>
      <w:tr>
        <w:trPr/>
        <w:tc>
          <w:tcPr>
            <w:tcW w:w="995" w:type="dxa"/>
            <w:tcBorders/>
            <w:shd w:fill="auto" w:val="clear"/>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2050" w:type="dxa"/>
            <w:gridSpan w:val="5"/>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9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2010</w:t>
            </w:r>
          </w:p>
        </w:tc>
      </w:tr>
      <w:tr>
        <w:trPr/>
        <w:tc>
          <w:tcPr>
            <w:tcW w:w="995"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Total 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15,236 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14,097 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12,909  </w:t>
            </w:r>
          </w:p>
        </w:tc>
      </w:tr>
      <w:tr>
        <w:trPr/>
        <w:tc>
          <w:tcPr>
            <w:tcW w:w="995" w:type="dxa"/>
            <w:tcBorders/>
            <w:shd w:fill="FFFFFF" w:val="clear"/>
          </w:tcPr>
          <w:p>
            <w:pPr>
              <w:pStyle w:val="TableContents"/>
              <w:spacing w:before="0" w:after="1"/>
              <w:ind w:left="0" w:right="0" w:hanging="0"/>
              <w:jc w:val="both"/>
              <w:rPr>
                <w:sz w:val="17"/>
              </w:rPr>
            </w:pPr>
            <w:r>
              <w:rPr>
                <w:sz w:val="17"/>
              </w:rPr>
              <w:t>Net income</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3,513  </w:t>
            </w:r>
          </w:p>
        </w:tc>
        <w:tc>
          <w:tcPr>
            <w:tcW w:w="110" w:type="dxa"/>
            <w:tcBorders/>
            <w:shd w:fill="FFFFFF" w:val="clear"/>
            <w:vAlign w:val="bottom"/>
          </w:tcPr>
          <w:p>
            <w:pPr>
              <w:pStyle w:val="TableContents"/>
              <w:spacing w:before="0" w:after="1"/>
              <w:ind w:left="0" w:right="0" w:hanging="0"/>
              <w:jc w:val="both"/>
              <w:rPr/>
            </w:pPr>
            <w:r>
              <w:rPr/>
              <w:t> </w:t>
            </w:r>
          </w:p>
        </w:tc>
        <w:tc>
          <w:tcPr>
            <w:tcW w:w="605" w:type="dxa"/>
            <w:tcBorders/>
            <w:shd w:fill="FFFFFF" w:val="clear"/>
            <w:vAlign w:val="bottom"/>
          </w:tcPr>
          <w:p>
            <w:pPr>
              <w:pStyle w:val="TableContents"/>
              <w:spacing w:before="0" w:after="283"/>
              <w:jc w:val="right"/>
              <w:rPr>
                <w:sz w:val="17"/>
              </w:rPr>
            </w:pPr>
            <w:r>
              <w:rPr>
                <w:sz w:val="17"/>
              </w:rPr>
              <w:t xml:space="preserve">3,045 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2,711 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Malulani Investments, Limited</w:t>
      </w:r>
      <w:r>
        <w:rPr>
          <w:sz w:val="17"/>
        </w:rPr>
        <w:t xml:space="preserve"> </w:t>
      </w:r>
    </w:p>
    <w:p>
      <w:pPr>
        <w:pStyle w:val="TextBody"/>
        <w:spacing w:before="0" w:after="200"/>
        <w:ind w:left="1440" w:right="0" w:firstLine="720"/>
        <w:jc w:val="both"/>
        <w:rPr>
          <w:sz w:val="17"/>
        </w:rPr>
      </w:pPr>
      <w:r>
        <w:rPr>
          <w:sz w:val="17"/>
        </w:rPr>
        <w:t xml:space="preserve">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$6.8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  During 2011 and 2010, we received $191,000 and $635,000 in interest on the promissory note and, on June 14, 2011, we received $6.8 million with respect to the principal and interest owed on this note.  We believe that further amounts are owed under the note and we have begun litigation to collect such amounts.  Any further collections will be recognized when received.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u w:val="single"/>
        </w:rPr>
      </w:pPr>
      <w:r>
        <w:rPr>
          <w:sz w:val="17"/>
          <w:u w:val="single"/>
        </w:rPr>
        <w:t xml:space="preserve">Berkeley Cinemas – Botany </w:t>
      </w:r>
    </w:p>
    <w:p>
      <w:pPr>
        <w:pStyle w:val="TextBody"/>
        <w:spacing w:before="0" w:after="200"/>
        <w:ind w:left="1440" w:right="0" w:hanging="0"/>
        <w:jc w:val="both"/>
        <w:rPr/>
      </w:pPr>
      <w:r>
        <w:rPr/>
        <w:t>            </w:t>
      </w:r>
      <w:r>
        <w:rPr>
          <w:sz w:val="17"/>
        </w:rPr>
        <w:t xml:space="preserve">We previously had investments in three joint ventures with Everard Entertainment Ltd in New Zealand.  On June 6, 2008, we sold our last investment in these joint ventures of the Botany Downs Cinema to our joint venture partner.  During 2010, we finalized our claims regarding the sale of this cinema resulting in an additional gain on sale of $384,000 (NZ$554,000) for the year ended 2010 included in other income (expense) on our Consolidated Statement of Operations. </w:t>
      </w:r>
    </w:p>
    <w:p>
      <w:pPr>
        <w:pStyle w:val="TextBody"/>
        <w:spacing w:before="0" w:after="200"/>
        <w:ind w:left="1440" w:right="0" w:hanging="0"/>
        <w:jc w:val="both"/>
        <w:rPr>
          <w:sz w:val="17"/>
        </w:rPr>
      </w:pPr>
      <w:r>
        <w:rPr>
          <w:sz w:val="17"/>
          <w:u w:val="single"/>
        </w:rPr>
        <w:t>Combined Condensed Financial Information</w:t>
      </w:r>
      <w:r>
        <w:rPr>
          <w:sz w:val="17"/>
        </w:rPr>
        <w:t xml:space="preserve"> </w:t>
      </w:r>
    </w:p>
    <w:p>
      <w:pPr>
        <w:pStyle w:val="TextBody"/>
        <w:spacing w:before="0" w:after="200"/>
        <w:ind w:left="1440" w:right="0" w:firstLine="720"/>
        <w:jc w:val="both"/>
        <w:rPr>
          <w:sz w:val="17"/>
        </w:rPr>
      </w:pPr>
      <w:r>
        <w:rPr>
          <w:sz w:val="17"/>
        </w:rPr>
        <w:t xml:space="preserve">The combined condensed financial information for all of the above unconsolidated joint ventures and entities accounted for under the equity method is as follows; therefore, these financials only exclude Rialto Distribution (dollars in thousands): </w:t>
      </w:r>
    </w:p>
    <w:p>
      <w:pPr>
        <w:pStyle w:val="TextBody"/>
        <w:spacing w:before="0" w:after="200"/>
        <w:ind w:left="1440" w:right="0" w:hanging="0"/>
        <w:jc w:val="both"/>
        <w:rPr>
          <w:sz w:val="17"/>
        </w:rPr>
      </w:pPr>
      <w:r>
        <w:rPr>
          <w:b/>
          <w:sz w:val="17"/>
        </w:rPr>
        <w:t>Condensed Balance Sheet Information</w:t>
      </w:r>
      <w:r>
        <w:rPr>
          <w:sz w:val="17"/>
        </w:rPr>
        <w:t xml:space="preserve"> </w:t>
      </w:r>
    </w:p>
    <w:p>
      <w:pPr>
        <w:pStyle w:val="TextBody"/>
        <w:spacing w:before="0" w:after="0"/>
        <w:ind w:left="1440" w:right="0" w:firstLine="720"/>
        <w:jc w:val="both"/>
        <w:rPr/>
      </w:pPr>
      <w:r>
        <w:rPr/>
        <w:t xml:space="preserve">  </w:t>
      </w:r>
    </w:p>
    <w:tbl>
      <w:tblPr>
        <w:tblW w:w="2875" w:type="dxa"/>
        <w:jc w:val="left"/>
        <w:tblInd w:w="1440" w:type="dxa"/>
        <w:tblCellMar>
          <w:top w:w="0" w:type="dxa"/>
          <w:left w:w="0" w:type="dxa"/>
          <w:bottom w:w="0" w:type="dxa"/>
          <w:right w:w="0" w:type="dxa"/>
        </w:tblCellMar>
      </w:tblPr>
      <w:tblGrid>
        <w:gridCol w:w="1490"/>
        <w:gridCol w:w="60"/>
        <w:gridCol w:w="60"/>
        <w:gridCol w:w="110"/>
        <w:gridCol w:w="515"/>
        <w:gridCol w:w="110"/>
        <w:gridCol w:w="530"/>
      </w:tblGrid>
      <w:tr>
        <w:trPr/>
        <w:tc>
          <w:tcPr>
            <w:tcW w:w="149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149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right"/>
              <w:rPr/>
            </w:pPr>
            <w:r>
              <w:rPr/>
              <w:t> </w:t>
            </w:r>
          </w:p>
        </w:tc>
        <w:tc>
          <w:tcPr>
            <w:tcW w:w="60" w:type="dxa"/>
            <w:tcBorders/>
            <w:shd w:fill="auto" w:val="clear"/>
            <w:vAlign w:val="bottom"/>
          </w:tcPr>
          <w:p>
            <w:pPr>
              <w:pStyle w:val="TableContents"/>
              <w:spacing w:before="0" w:after="1"/>
              <w:ind w:left="0" w:right="0" w:hanging="0"/>
              <w:jc w:val="right"/>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515" w:type="dxa"/>
            <w:tcBorders/>
            <w:shd w:fill="auto" w:val="clear"/>
            <w:vAlign w:val="bottom"/>
          </w:tcPr>
          <w:p>
            <w:pPr>
              <w:pStyle w:val="TableContents"/>
              <w:spacing w:before="0" w:after="1"/>
              <w:ind w:left="0" w:right="0" w:hanging="0"/>
              <w:jc w:val="right"/>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530" w:type="dxa"/>
            <w:tcBorders/>
            <w:shd w:fill="auto" w:val="clear"/>
            <w:vAlign w:val="bottom"/>
          </w:tcPr>
          <w:p>
            <w:pPr>
              <w:pStyle w:val="TableContents"/>
              <w:spacing w:before="0" w:after="1"/>
              <w:ind w:left="0" w:right="0" w:hanging="0"/>
              <w:jc w:val="right"/>
              <w:rPr/>
            </w:pPr>
            <w:r>
              <w:rPr/>
              <w:t> </w:t>
            </w:r>
          </w:p>
        </w:tc>
      </w:tr>
      <w:tr>
        <w:trPr/>
        <w:tc>
          <w:tcPr>
            <w:tcW w:w="1490" w:type="dxa"/>
            <w:tcBorders/>
            <w:shd w:fill="auto" w:val="clear"/>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115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149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1490"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Current assets</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3,488 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5,245  </w:t>
            </w:r>
          </w:p>
        </w:tc>
      </w:tr>
      <w:tr>
        <w:trPr/>
        <w:tc>
          <w:tcPr>
            <w:tcW w:w="1490" w:type="dxa"/>
            <w:tcBorders/>
            <w:shd w:fill="FFFFFF" w:val="clear"/>
          </w:tcPr>
          <w:p>
            <w:pPr>
              <w:pStyle w:val="TableContents"/>
              <w:spacing w:before="0" w:after="1"/>
              <w:ind w:left="0" w:right="0" w:hanging="0"/>
              <w:jc w:val="both"/>
              <w:rPr>
                <w:sz w:val="17"/>
              </w:rPr>
            </w:pPr>
            <w:r>
              <w:rPr>
                <w:sz w:val="17"/>
              </w:rPr>
              <w:t>Noncurrent assets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6,621 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6,611  </w:t>
            </w:r>
          </w:p>
        </w:tc>
      </w:tr>
      <w:tr>
        <w:trPr/>
        <w:tc>
          <w:tcPr>
            <w:tcW w:w="1490" w:type="dxa"/>
            <w:tcBorders/>
            <w:shd w:fill="CCEEFF" w:val="clear"/>
          </w:tcPr>
          <w:p>
            <w:pPr>
              <w:pStyle w:val="TableContents"/>
              <w:spacing w:before="0" w:after="1"/>
              <w:ind w:left="0" w:right="0" w:hanging="0"/>
              <w:jc w:val="both"/>
              <w:rPr>
                <w:sz w:val="17"/>
              </w:rPr>
            </w:pPr>
            <w:r>
              <w:rPr>
                <w:sz w:val="17"/>
              </w:rPr>
              <w:t>Current liabilities</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2,197 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3,031  </w:t>
            </w:r>
          </w:p>
        </w:tc>
      </w:tr>
      <w:tr>
        <w:trPr/>
        <w:tc>
          <w:tcPr>
            <w:tcW w:w="1490" w:type="dxa"/>
            <w:tcBorders/>
            <w:shd w:fill="FFFFFF" w:val="clear"/>
          </w:tcPr>
          <w:p>
            <w:pPr>
              <w:pStyle w:val="TableContents"/>
              <w:spacing w:before="0" w:after="1"/>
              <w:ind w:left="0" w:right="0" w:hanging="0"/>
              <w:jc w:val="both"/>
              <w:rPr>
                <w:sz w:val="17"/>
              </w:rPr>
            </w:pPr>
            <w:r>
              <w:rPr>
                <w:sz w:val="17"/>
              </w:rPr>
              <w:t>Noncurrent liabilities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751 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723  </w:t>
            </w:r>
          </w:p>
        </w:tc>
      </w:tr>
      <w:tr>
        <w:trPr/>
        <w:tc>
          <w:tcPr>
            <w:tcW w:w="1490" w:type="dxa"/>
            <w:tcBorders/>
            <w:shd w:fill="CCEEFF" w:val="clear"/>
          </w:tcPr>
          <w:p>
            <w:pPr>
              <w:pStyle w:val="TableContents"/>
              <w:spacing w:before="0" w:after="1"/>
              <w:ind w:left="0" w:right="0" w:hanging="0"/>
              <w:jc w:val="both"/>
              <w:rPr>
                <w:sz w:val="17"/>
              </w:rPr>
            </w:pPr>
            <w:r>
              <w:rPr>
                <w:sz w:val="17"/>
              </w:rPr>
              <w:t>Members’ equity</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7,161  </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283"/>
              <w:jc w:val="right"/>
              <w:rPr>
                <w:sz w:val="17"/>
              </w:rPr>
            </w:pPr>
            <w:r>
              <w:rPr>
                <w:sz w:val="17"/>
              </w:rPr>
              <w:t xml:space="preserve">8,102  </w:t>
            </w:r>
          </w:p>
        </w:tc>
      </w:tr>
    </w:tbl>
    <w:p>
      <w:pPr>
        <w:pStyle w:val="TextBody"/>
        <w:pBdr/>
        <w:spacing w:before="100" w:after="100"/>
        <w:ind w:left="1440" w:right="0" w:hanging="0"/>
        <w:jc w:val="both"/>
        <w:rPr>
          <w:rFonts w:ascii="Courier New" w:hAnsi="Courier New"/>
          <w:sz w:val="17"/>
        </w:rPr>
      </w:pPr>
      <w:r>
        <w:rPr>
          <w:rFonts w:ascii="Times New Roman" w:hAnsi="Times New Roman"/>
          <w:b/>
          <w:sz w:val="17"/>
        </w:rPr>
        <w:t>Condensed Statements of Operations Information</w:t>
      </w:r>
      <w:r>
        <w:rPr>
          <w:rFonts w:ascii="Courier New" w:hAnsi="Courier New"/>
          <w:sz w:val="17"/>
        </w:rPr>
        <w:t xml:space="preserve"> </w:t>
      </w:r>
    </w:p>
    <w:p>
      <w:pPr>
        <w:pStyle w:val="TextBody"/>
        <w:pBdr/>
        <w:spacing w:before="0" w:after="0"/>
        <w:ind w:left="1440" w:right="0" w:firstLine="720"/>
        <w:jc w:val="both"/>
        <w:rPr/>
      </w:pPr>
      <w:r>
        <w:rPr/>
        <w:t xml:space="preserve">  </w:t>
      </w:r>
    </w:p>
    <w:tbl>
      <w:tblPr>
        <w:tblW w:w="3155" w:type="dxa"/>
        <w:jc w:val="left"/>
        <w:tblInd w:w="1440" w:type="dxa"/>
        <w:tblCellMar>
          <w:top w:w="0" w:type="dxa"/>
          <w:left w:w="0" w:type="dxa"/>
          <w:bottom w:w="0" w:type="dxa"/>
          <w:right w:w="0" w:type="dxa"/>
        </w:tblCellMar>
      </w:tblPr>
      <w:tblGrid>
        <w:gridCol w:w="995"/>
        <w:gridCol w:w="110"/>
        <w:gridCol w:w="605"/>
        <w:gridCol w:w="110"/>
        <w:gridCol w:w="605"/>
        <w:gridCol w:w="110"/>
        <w:gridCol w:w="620"/>
      </w:tblGrid>
      <w:tr>
        <w:trPr/>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605" w:type="dxa"/>
            <w:tcBorders/>
            <w:shd w:fill="auto" w:val="clear"/>
            <w:vAlign w:val="bottom"/>
          </w:tcPr>
          <w:p>
            <w:pPr>
              <w:pStyle w:val="TableContents"/>
              <w:spacing w:before="0" w:after="1"/>
              <w:ind w:left="0" w:right="0" w:hanging="0"/>
              <w:jc w:val="right"/>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605" w:type="dxa"/>
            <w:tcBorders/>
            <w:shd w:fill="auto" w:val="clear"/>
            <w:vAlign w:val="bottom"/>
          </w:tcPr>
          <w:p>
            <w:pPr>
              <w:pStyle w:val="TableContents"/>
              <w:spacing w:before="0" w:after="1"/>
              <w:ind w:left="0" w:right="0" w:hanging="0"/>
              <w:jc w:val="right"/>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620" w:type="dxa"/>
            <w:tcBorders/>
            <w:shd w:fill="auto" w:val="clear"/>
            <w:vAlign w:val="bottom"/>
          </w:tcPr>
          <w:p>
            <w:pPr>
              <w:pStyle w:val="TableContents"/>
              <w:spacing w:before="0" w:after="1"/>
              <w:ind w:left="0" w:right="0" w:hanging="0"/>
              <w:jc w:val="right"/>
              <w:rPr/>
            </w:pPr>
            <w:r>
              <w:rPr/>
              <w:t> </w:t>
            </w:r>
          </w:p>
        </w:tc>
      </w:tr>
      <w:tr>
        <w:trPr/>
        <w:tc>
          <w:tcPr>
            <w:tcW w:w="995" w:type="dxa"/>
            <w:tcBorders/>
            <w:shd w:fill="auto" w:val="clear"/>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2050" w:type="dxa"/>
            <w:gridSpan w:val="5"/>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9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2010</w:t>
            </w:r>
          </w:p>
        </w:tc>
      </w:tr>
      <w:tr>
        <w:trPr/>
        <w:tc>
          <w:tcPr>
            <w:tcW w:w="995"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Total 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26,138 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28,017 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24,944  </w:t>
            </w:r>
          </w:p>
        </w:tc>
      </w:tr>
      <w:tr>
        <w:trPr/>
        <w:tc>
          <w:tcPr>
            <w:tcW w:w="995" w:type="dxa"/>
            <w:tcBorders/>
            <w:shd w:fill="FFFFFF" w:val="clear"/>
          </w:tcPr>
          <w:p>
            <w:pPr>
              <w:pStyle w:val="TableContents"/>
              <w:spacing w:before="0" w:after="1"/>
              <w:ind w:left="0" w:right="0" w:hanging="0"/>
              <w:jc w:val="both"/>
              <w:rPr>
                <w:sz w:val="17"/>
              </w:rPr>
            </w:pPr>
            <w:r>
              <w:rPr>
                <w:sz w:val="17"/>
              </w:rPr>
              <w:t>Net income</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4,590  </w:t>
            </w:r>
          </w:p>
        </w:tc>
        <w:tc>
          <w:tcPr>
            <w:tcW w:w="110" w:type="dxa"/>
            <w:tcBorders/>
            <w:shd w:fill="FFFFFF" w:val="clear"/>
            <w:vAlign w:val="bottom"/>
          </w:tcPr>
          <w:p>
            <w:pPr>
              <w:pStyle w:val="TableContents"/>
              <w:spacing w:before="0" w:after="1"/>
              <w:ind w:left="0" w:right="0" w:hanging="0"/>
              <w:jc w:val="both"/>
              <w:rPr/>
            </w:pPr>
            <w:r>
              <w:rPr/>
              <w:t> </w:t>
            </w:r>
          </w:p>
        </w:tc>
        <w:tc>
          <w:tcPr>
            <w:tcW w:w="605" w:type="dxa"/>
            <w:tcBorders/>
            <w:shd w:fill="FFFFFF" w:val="clear"/>
            <w:vAlign w:val="bottom"/>
          </w:tcPr>
          <w:p>
            <w:pPr>
              <w:pStyle w:val="TableContents"/>
              <w:spacing w:before="0" w:after="283"/>
              <w:jc w:val="right"/>
              <w:rPr>
                <w:sz w:val="17"/>
              </w:rPr>
            </w:pPr>
            <w:r>
              <w:rPr>
                <w:sz w:val="17"/>
              </w:rPr>
              <w:t xml:space="preserve">4,021 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4,779 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79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b/>
          <w:sz w:val="17"/>
          <w:u w:val="single"/>
        </w:rPr>
        <w:t>Note 12 - Notes Payable</w:t>
      </w:r>
      <w:r>
        <w:rPr>
          <w:sz w:val="17"/>
        </w:rPr>
        <w:t xml:space="preserve"> </w:t>
      </w:r>
    </w:p>
    <w:p>
      <w:pPr>
        <w:pStyle w:val="TextBody"/>
        <w:spacing w:before="0" w:after="200"/>
        <w:ind w:left="1440" w:right="0" w:firstLine="720"/>
        <w:jc w:val="both"/>
        <w:rPr>
          <w:sz w:val="17"/>
        </w:rPr>
      </w:pPr>
      <w:r>
        <w:rPr>
          <w:sz w:val="17"/>
        </w:rPr>
        <w:t xml:space="preserve">Notes payable are summarized as follows (dollars in thousands): </w:t>
      </w:r>
    </w:p>
    <w:p>
      <w:pPr>
        <w:pStyle w:val="TextBody"/>
        <w:spacing w:before="0" w:after="0"/>
        <w:ind w:left="1440" w:right="0" w:hanging="0"/>
        <w:jc w:val="both"/>
        <w:rPr/>
      </w:pPr>
      <w:r>
        <w:rPr/>
        <w:t xml:space="preserve">  </w:t>
      </w:r>
    </w:p>
    <w:tbl>
      <w:tblPr>
        <w:tblW w:w="8365" w:type="dxa"/>
        <w:jc w:val="left"/>
        <w:tblInd w:w="1440" w:type="dxa"/>
        <w:tblCellMar>
          <w:top w:w="0" w:type="dxa"/>
          <w:left w:w="0" w:type="dxa"/>
          <w:bottom w:w="0" w:type="dxa"/>
          <w:right w:w="0" w:type="dxa"/>
        </w:tblCellMar>
      </w:tblPr>
      <w:tblGrid>
        <w:gridCol w:w="2525"/>
        <w:gridCol w:w="1130"/>
        <w:gridCol w:w="1130"/>
        <w:gridCol w:w="1115"/>
        <w:gridCol w:w="95"/>
        <w:gridCol w:w="1130"/>
        <w:gridCol w:w="95"/>
        <w:gridCol w:w="1145"/>
      </w:tblGrid>
      <w:tr>
        <w:trPr/>
        <w:tc>
          <w:tcPr>
            <w:tcW w:w="2525" w:type="dxa"/>
            <w:tcBorders/>
            <w:shd w:fill="auto" w:val="clear"/>
            <w:vAlign w:val="bottom"/>
          </w:tcPr>
          <w:p>
            <w:pPr>
              <w:pStyle w:val="TableContents"/>
              <w:spacing w:before="0" w:after="1"/>
              <w:ind w:left="0" w:right="0" w:hanging="0"/>
              <w:jc w:val="both"/>
              <w:rPr/>
            </w:pPr>
            <w:r>
              <w:rPr/>
              <w:t> </w:t>
            </w:r>
          </w:p>
        </w:tc>
        <w:tc>
          <w:tcPr>
            <w:tcW w:w="1130" w:type="dxa"/>
            <w:tcBorders/>
            <w:shd w:fill="auto" w:val="clear"/>
            <w:vAlign w:val="bottom"/>
          </w:tcPr>
          <w:p>
            <w:pPr>
              <w:pStyle w:val="TableContents"/>
              <w:spacing w:before="0" w:after="1"/>
              <w:ind w:left="0" w:right="0" w:hanging="0"/>
              <w:jc w:val="both"/>
              <w:rPr/>
            </w:pPr>
            <w:r>
              <w:rPr/>
              <w:t> </w:t>
            </w:r>
          </w:p>
        </w:tc>
        <w:tc>
          <w:tcPr>
            <w:tcW w:w="113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13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145" w:type="dxa"/>
            <w:tcBorders/>
            <w:shd w:fill="auto" w:val="clear"/>
            <w:vAlign w:val="bottom"/>
          </w:tcPr>
          <w:p>
            <w:pPr>
              <w:pStyle w:val="TableContents"/>
              <w:spacing w:before="0" w:after="1"/>
              <w:ind w:left="0" w:right="0" w:hanging="0"/>
              <w:jc w:val="both"/>
              <w:rPr/>
            </w:pPr>
            <w:r>
              <w:rPr/>
              <w:t> </w:t>
            </w:r>
          </w:p>
        </w:tc>
      </w:tr>
      <w:tr>
        <w:trPr/>
        <w:tc>
          <w:tcPr>
            <w:tcW w:w="2525" w:type="dxa"/>
            <w:tcBorders/>
            <w:shd w:fill="auto" w:val="clear"/>
            <w:vAlign w:val="bottom"/>
          </w:tcPr>
          <w:p>
            <w:pPr>
              <w:pStyle w:val="TableContents"/>
              <w:spacing w:before="0" w:after="1"/>
              <w:ind w:left="0" w:right="0" w:hanging="0"/>
              <w:jc w:val="center"/>
              <w:rPr/>
            </w:pPr>
            <w:r>
              <w:rPr/>
              <w:t> </w:t>
            </w:r>
          </w:p>
        </w:tc>
        <w:tc>
          <w:tcPr>
            <w:tcW w:w="1130" w:type="dxa"/>
            <w:tcBorders/>
            <w:shd w:fill="auto" w:val="clear"/>
            <w:vAlign w:val="bottom"/>
          </w:tcPr>
          <w:p>
            <w:pPr>
              <w:pStyle w:val="TableContents"/>
              <w:spacing w:before="0" w:after="1"/>
              <w:ind w:left="0" w:right="0" w:hanging="0"/>
              <w:jc w:val="center"/>
              <w:rPr/>
            </w:pPr>
            <w:r>
              <w:rPr/>
              <w:t> </w:t>
            </w:r>
          </w:p>
        </w:tc>
        <w:tc>
          <w:tcPr>
            <w:tcW w:w="1130" w:type="dxa"/>
            <w:tcBorders/>
            <w:shd w:fill="auto" w:val="clear"/>
            <w:vAlign w:val="bottom"/>
          </w:tcPr>
          <w:p>
            <w:pPr>
              <w:pStyle w:val="TableContents"/>
              <w:spacing w:before="0" w:after="1"/>
              <w:ind w:left="0" w:right="0" w:hanging="0"/>
              <w:jc w:val="center"/>
              <w:rPr/>
            </w:pPr>
            <w:r>
              <w:rPr/>
              <w:t> </w:t>
            </w:r>
          </w:p>
        </w:tc>
        <w:tc>
          <w:tcPr>
            <w:tcW w:w="1115" w:type="dxa"/>
            <w:tcBorders/>
            <w:shd w:fill="auto" w:val="clear"/>
            <w:vAlign w:val="bottom"/>
          </w:tcPr>
          <w:p>
            <w:pPr>
              <w:pStyle w:val="TableContents"/>
              <w:spacing w:before="0" w:after="1"/>
              <w:ind w:left="0" w:right="0" w:hanging="0"/>
              <w:jc w:val="center"/>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130" w:type="dxa"/>
            <w:tcBorders/>
            <w:shd w:fill="auto" w:val="clear"/>
            <w:vAlign w:val="bottom"/>
          </w:tcPr>
          <w:p>
            <w:pPr>
              <w:pStyle w:val="TableContents"/>
              <w:spacing w:before="0" w:after="1"/>
              <w:ind w:left="0" w:right="0" w:hanging="0"/>
              <w:jc w:val="center"/>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145" w:type="dxa"/>
            <w:tcBorders/>
            <w:shd w:fill="auto" w:val="clear"/>
            <w:vAlign w:val="bottom"/>
          </w:tcPr>
          <w:p>
            <w:pPr>
              <w:pStyle w:val="TableContents"/>
              <w:spacing w:before="0" w:after="1"/>
              <w:ind w:left="0" w:right="0" w:hanging="0"/>
              <w:jc w:val="center"/>
              <w:rPr/>
            </w:pPr>
            <w:r>
              <w:rPr/>
              <w:t> </w:t>
            </w:r>
          </w:p>
        </w:tc>
      </w:tr>
      <w:tr>
        <w:trPr/>
        <w:tc>
          <w:tcPr>
            <w:tcW w:w="252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Name of Note Payable or Security</w:t>
            </w:r>
          </w:p>
        </w:tc>
        <w:tc>
          <w:tcPr>
            <w:tcW w:w="11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December 31, 2012</w:t>
            </w:r>
          </w:p>
        </w:tc>
        <w:tc>
          <w:tcPr>
            <w:tcW w:w="11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December 31, 2011</w:t>
            </w:r>
          </w:p>
        </w:tc>
        <w:tc>
          <w:tcPr>
            <w:tcW w:w="11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Maturity Date</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December 31, 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4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3"/>
              </w:rPr>
            </w:pPr>
            <w:r>
              <w:rPr>
                <w:b/>
                <w:sz w:val="13"/>
              </w:rPr>
              <w:t>December 31, 2011</w:t>
            </w:r>
          </w:p>
        </w:tc>
      </w:tr>
      <w:tr>
        <w:trPr/>
        <w:tc>
          <w:tcPr>
            <w:tcW w:w="2525" w:type="dxa"/>
            <w:tcBorders>
              <w:top w:val="single" w:sz="12" w:space="0" w:color="000000"/>
            </w:tcBorders>
            <w:shd w:fill="CCEEFF" w:val="clear"/>
            <w:tcMar>
              <w:top w:w="28" w:type="dxa"/>
            </w:tcMar>
            <w:vAlign w:val="bottom"/>
          </w:tcPr>
          <w:p>
            <w:pPr>
              <w:pStyle w:val="TableContents"/>
              <w:spacing w:before="0" w:after="1"/>
              <w:ind w:left="0" w:right="0" w:hanging="0"/>
              <w:jc w:val="both"/>
              <w:rPr>
                <w:sz w:val="13"/>
              </w:rPr>
            </w:pPr>
            <w:r>
              <w:rPr>
                <w:sz w:val="13"/>
              </w:rPr>
              <w:t>Trust Preferred Securities</w:t>
            </w:r>
          </w:p>
        </w:tc>
        <w:tc>
          <w:tcPr>
            <w:tcW w:w="1130" w:type="dxa"/>
            <w:tcBorders>
              <w:top w:val="single" w:sz="12" w:space="0" w:color="000000"/>
            </w:tcBorders>
            <w:shd w:fill="CCEEFF" w:val="clear"/>
            <w:tcMar>
              <w:top w:w="28" w:type="dxa"/>
            </w:tcMar>
            <w:vAlign w:val="bottom"/>
          </w:tcPr>
          <w:p>
            <w:pPr>
              <w:pStyle w:val="TableContents"/>
              <w:spacing w:before="0" w:after="1"/>
              <w:ind w:left="0" w:right="0" w:hanging="0"/>
              <w:jc w:val="center"/>
              <w:rPr>
                <w:sz w:val="13"/>
              </w:rPr>
            </w:pPr>
            <w:r>
              <w:rPr>
                <w:sz w:val="13"/>
              </w:rPr>
              <w:t>4.31%</w:t>
            </w:r>
          </w:p>
        </w:tc>
        <w:tc>
          <w:tcPr>
            <w:tcW w:w="1130" w:type="dxa"/>
            <w:tcBorders>
              <w:top w:val="single" w:sz="12" w:space="0" w:color="000000"/>
            </w:tcBorders>
            <w:shd w:fill="CCEEFF" w:val="clear"/>
            <w:tcMar>
              <w:top w:w="28" w:type="dxa"/>
            </w:tcMar>
            <w:vAlign w:val="bottom"/>
          </w:tcPr>
          <w:p>
            <w:pPr>
              <w:pStyle w:val="TableContents"/>
              <w:spacing w:before="0" w:after="1"/>
              <w:ind w:left="0" w:right="0" w:hanging="0"/>
              <w:jc w:val="center"/>
              <w:rPr>
                <w:sz w:val="13"/>
              </w:rPr>
            </w:pPr>
            <w:r>
              <w:rPr>
                <w:sz w:val="13"/>
              </w:rPr>
              <w:t>9.22%</w:t>
            </w:r>
          </w:p>
        </w:tc>
        <w:tc>
          <w:tcPr>
            <w:tcW w:w="1115" w:type="dxa"/>
            <w:tcBorders>
              <w:top w:val="single" w:sz="12" w:space="0" w:color="000000"/>
            </w:tcBorders>
            <w:shd w:fill="CCEEFF" w:val="clear"/>
            <w:tcMar>
              <w:top w:w="28" w:type="dxa"/>
            </w:tcMar>
            <w:vAlign w:val="bottom"/>
          </w:tcPr>
          <w:p>
            <w:pPr>
              <w:pStyle w:val="TableContents"/>
              <w:spacing w:before="0" w:after="1"/>
              <w:ind w:left="0" w:right="0" w:hanging="0"/>
              <w:jc w:val="center"/>
              <w:rPr>
                <w:sz w:val="13"/>
              </w:rPr>
            </w:pPr>
            <w:r>
              <w:rPr>
                <w:sz w:val="13"/>
              </w:rPr>
              <w:t>April 30, 2027</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3"/>
              </w:rPr>
            </w:pPr>
            <w:r>
              <w:rPr>
                <w:sz w:val="13"/>
              </w:rPr>
              <w:t>$</w:t>
            </w:r>
          </w:p>
        </w:tc>
        <w:tc>
          <w:tcPr>
            <w:tcW w:w="1130" w:type="dxa"/>
            <w:tcBorders>
              <w:top w:val="single" w:sz="12" w:space="0" w:color="000000"/>
            </w:tcBorders>
            <w:shd w:fill="CCEEFF" w:val="clear"/>
            <w:tcMar>
              <w:top w:w="28" w:type="dxa"/>
            </w:tcMar>
            <w:vAlign w:val="bottom"/>
          </w:tcPr>
          <w:p>
            <w:pPr>
              <w:pStyle w:val="TableContents"/>
              <w:spacing w:before="0" w:after="283"/>
              <w:jc w:val="right"/>
              <w:rPr>
                <w:sz w:val="13"/>
              </w:rPr>
            </w:pPr>
            <w:r>
              <w:rPr>
                <w:sz w:val="13"/>
              </w:rPr>
              <w:t xml:space="preserve">27,913 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3"/>
              </w:rPr>
            </w:pPr>
            <w:r>
              <w:rPr>
                <w:sz w:val="13"/>
              </w:rPr>
              <w:t>$</w:t>
            </w:r>
          </w:p>
        </w:tc>
        <w:tc>
          <w:tcPr>
            <w:tcW w:w="1145" w:type="dxa"/>
            <w:tcBorders>
              <w:top w:val="single" w:sz="12" w:space="0" w:color="000000"/>
            </w:tcBorders>
            <w:shd w:fill="CCEEFF" w:val="clear"/>
            <w:tcMar>
              <w:top w:w="28" w:type="dxa"/>
            </w:tcMar>
            <w:vAlign w:val="bottom"/>
          </w:tcPr>
          <w:p>
            <w:pPr>
              <w:pStyle w:val="TableContents"/>
              <w:spacing w:before="0" w:after="283"/>
              <w:jc w:val="right"/>
              <w:rPr>
                <w:sz w:val="13"/>
              </w:rPr>
            </w:pPr>
            <w:r>
              <w:rPr>
                <w:sz w:val="13"/>
              </w:rPr>
              <w:t xml:space="preserve">27,913  </w:t>
            </w:r>
          </w:p>
        </w:tc>
      </w:tr>
      <w:tr>
        <w:trPr/>
        <w:tc>
          <w:tcPr>
            <w:tcW w:w="2525" w:type="dxa"/>
            <w:tcBorders/>
            <w:shd w:fill="FFFFFF" w:val="clear"/>
            <w:vAlign w:val="bottom"/>
          </w:tcPr>
          <w:p>
            <w:pPr>
              <w:pStyle w:val="TableContents"/>
              <w:spacing w:before="0" w:after="1"/>
              <w:ind w:left="0" w:right="0" w:hanging="0"/>
              <w:jc w:val="both"/>
              <w:rPr>
                <w:sz w:val="13"/>
              </w:rPr>
            </w:pPr>
            <w:r>
              <w:rPr>
                <w:sz w:val="13"/>
              </w:rPr>
              <w:t>Australian NAB Corporate Term Loan</w:t>
            </w:r>
          </w:p>
        </w:tc>
        <w:tc>
          <w:tcPr>
            <w:tcW w:w="1130" w:type="dxa"/>
            <w:tcBorders/>
            <w:shd w:fill="FFFFFF" w:val="clear"/>
            <w:vAlign w:val="bottom"/>
          </w:tcPr>
          <w:p>
            <w:pPr>
              <w:pStyle w:val="TableContents"/>
              <w:spacing w:before="0" w:after="1"/>
              <w:ind w:left="0" w:right="0" w:hanging="0"/>
              <w:jc w:val="center"/>
              <w:rPr>
                <w:sz w:val="13"/>
              </w:rPr>
            </w:pPr>
            <w:r>
              <w:rPr>
                <w:sz w:val="13"/>
              </w:rPr>
              <w:t>5.82%</w:t>
            </w:r>
          </w:p>
        </w:tc>
        <w:tc>
          <w:tcPr>
            <w:tcW w:w="1130" w:type="dxa"/>
            <w:tcBorders/>
            <w:shd w:fill="FFFFFF" w:val="clear"/>
            <w:vAlign w:val="bottom"/>
          </w:tcPr>
          <w:p>
            <w:pPr>
              <w:pStyle w:val="TableContents"/>
              <w:spacing w:before="0" w:after="1"/>
              <w:ind w:left="0" w:right="0" w:hanging="0"/>
              <w:jc w:val="center"/>
              <w:rPr>
                <w:sz w:val="13"/>
              </w:rPr>
            </w:pPr>
            <w:r>
              <w:rPr>
                <w:sz w:val="13"/>
              </w:rPr>
              <w:t>7.20%</w:t>
            </w:r>
          </w:p>
        </w:tc>
        <w:tc>
          <w:tcPr>
            <w:tcW w:w="1115" w:type="dxa"/>
            <w:tcBorders/>
            <w:shd w:fill="FFFFFF" w:val="clear"/>
            <w:vAlign w:val="bottom"/>
          </w:tcPr>
          <w:p>
            <w:pPr>
              <w:pStyle w:val="TableContents"/>
              <w:spacing w:before="0" w:after="1"/>
              <w:ind w:left="0" w:right="0" w:hanging="0"/>
              <w:jc w:val="center"/>
              <w:rPr>
                <w:sz w:val="13"/>
              </w:rPr>
            </w:pPr>
            <w:r>
              <w:rPr>
                <w:sz w:val="13"/>
              </w:rPr>
              <w:t>June 30, 2014</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283"/>
              <w:jc w:val="right"/>
              <w:rPr>
                <w:sz w:val="13"/>
              </w:rPr>
            </w:pPr>
            <w:r>
              <w:rPr>
                <w:sz w:val="13"/>
              </w:rPr>
              <w:t xml:space="preserve">75,349  </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283"/>
              <w:jc w:val="right"/>
              <w:rPr>
                <w:sz w:val="13"/>
              </w:rPr>
            </w:pPr>
            <w:r>
              <w:rPr>
                <w:sz w:val="13"/>
              </w:rPr>
              <w:t xml:space="preserve">88,671  </w:t>
            </w:r>
          </w:p>
        </w:tc>
      </w:tr>
      <w:tr>
        <w:trPr/>
        <w:tc>
          <w:tcPr>
            <w:tcW w:w="2525" w:type="dxa"/>
            <w:tcBorders/>
            <w:shd w:fill="CCEEFF" w:val="clear"/>
            <w:vAlign w:val="bottom"/>
          </w:tcPr>
          <w:p>
            <w:pPr>
              <w:pStyle w:val="TableContents"/>
              <w:spacing w:before="0" w:after="1"/>
              <w:ind w:left="0" w:right="0" w:hanging="0"/>
              <w:jc w:val="both"/>
              <w:rPr>
                <w:sz w:val="13"/>
              </w:rPr>
            </w:pPr>
            <w:r>
              <w:rPr>
                <w:sz w:val="13"/>
              </w:rPr>
              <w:t xml:space="preserve">Australian NAB Corporate Revolver </w:t>
            </w:r>
          </w:p>
        </w:tc>
        <w:tc>
          <w:tcPr>
            <w:tcW w:w="1130" w:type="dxa"/>
            <w:tcBorders/>
            <w:shd w:fill="CCEEFF" w:val="clear"/>
            <w:vAlign w:val="bottom"/>
          </w:tcPr>
          <w:p>
            <w:pPr>
              <w:pStyle w:val="TableContents"/>
              <w:spacing w:before="0" w:after="1"/>
              <w:ind w:left="0" w:right="0" w:hanging="0"/>
              <w:jc w:val="center"/>
              <w:rPr>
                <w:sz w:val="13"/>
              </w:rPr>
            </w:pPr>
            <w:r>
              <w:rPr>
                <w:sz w:val="13"/>
              </w:rPr>
              <w:t>5.82%</w:t>
            </w:r>
          </w:p>
        </w:tc>
        <w:tc>
          <w:tcPr>
            <w:tcW w:w="1130" w:type="dxa"/>
            <w:tcBorders/>
            <w:shd w:fill="CCEEFF" w:val="clear"/>
            <w:vAlign w:val="bottom"/>
          </w:tcPr>
          <w:p>
            <w:pPr>
              <w:pStyle w:val="TableContents"/>
              <w:spacing w:before="0" w:after="1"/>
              <w:ind w:left="0" w:right="0" w:hanging="0"/>
              <w:jc w:val="center"/>
              <w:rPr>
                <w:sz w:val="13"/>
              </w:rPr>
            </w:pPr>
            <w:r>
              <w:rPr>
                <w:sz w:val="13"/>
              </w:rPr>
              <w:t>7.20%</w:t>
            </w:r>
          </w:p>
        </w:tc>
        <w:tc>
          <w:tcPr>
            <w:tcW w:w="1115" w:type="dxa"/>
            <w:tcBorders/>
            <w:shd w:fill="CCEEFF" w:val="clear"/>
            <w:vAlign w:val="bottom"/>
          </w:tcPr>
          <w:p>
            <w:pPr>
              <w:pStyle w:val="TableContents"/>
              <w:spacing w:before="0" w:after="1"/>
              <w:ind w:left="0" w:right="0" w:hanging="0"/>
              <w:jc w:val="center"/>
              <w:rPr>
                <w:sz w:val="13"/>
              </w:rPr>
            </w:pPr>
            <w:r>
              <w:rPr>
                <w:sz w:val="13"/>
              </w:rPr>
              <w:t>June 30, 2014</w:t>
            </w:r>
          </w:p>
        </w:tc>
        <w:tc>
          <w:tcPr>
            <w:tcW w:w="95" w:type="dxa"/>
            <w:tcBorders/>
            <w:shd w:fill="CCEEFF" w:val="clear"/>
            <w:vAlign w:val="bottom"/>
          </w:tcPr>
          <w:p>
            <w:pPr>
              <w:pStyle w:val="TableContents"/>
              <w:spacing w:before="0" w:after="1"/>
              <w:ind w:left="0" w:right="0" w:hanging="0"/>
              <w:jc w:val="right"/>
              <w:rPr/>
            </w:pPr>
            <w:r>
              <w:rPr/>
              <w:t> </w:t>
            </w:r>
          </w:p>
        </w:tc>
        <w:tc>
          <w:tcPr>
            <w:tcW w:w="1130" w:type="dxa"/>
            <w:tcBorders/>
            <w:shd w:fill="CCEEFF" w:val="clear"/>
            <w:vAlign w:val="bottom"/>
          </w:tcPr>
          <w:p>
            <w:pPr>
              <w:pStyle w:val="TableContents"/>
              <w:spacing w:before="0" w:after="1"/>
              <w:ind w:left="0" w:right="0" w:hanging="0"/>
              <w:jc w:val="right"/>
              <w:rPr>
                <w:sz w:val="13"/>
              </w:rPr>
            </w:pPr>
            <w:r>
              <w:rPr>
                <w:sz w:val="13"/>
              </w:rPr>
              <w:t>--</w:t>
            </w:r>
          </w:p>
        </w:tc>
        <w:tc>
          <w:tcPr>
            <w:tcW w:w="95" w:type="dxa"/>
            <w:tcBorders/>
            <w:shd w:fill="CCEEFF" w:val="clear"/>
            <w:vAlign w:val="bottom"/>
          </w:tcPr>
          <w:p>
            <w:pPr>
              <w:pStyle w:val="TableContents"/>
              <w:spacing w:before="0" w:after="1"/>
              <w:ind w:left="0" w:right="0" w:hanging="0"/>
              <w:jc w:val="right"/>
              <w:rPr/>
            </w:pPr>
            <w:r>
              <w:rPr/>
              <w:t> </w:t>
            </w:r>
          </w:p>
        </w:tc>
        <w:tc>
          <w:tcPr>
            <w:tcW w:w="1145" w:type="dxa"/>
            <w:tcBorders/>
            <w:shd w:fill="CCEEFF" w:val="clear"/>
            <w:vAlign w:val="bottom"/>
          </w:tcPr>
          <w:p>
            <w:pPr>
              <w:pStyle w:val="TableContents"/>
              <w:spacing w:before="0" w:after="1"/>
              <w:ind w:left="0" w:right="0" w:hanging="0"/>
              <w:jc w:val="right"/>
              <w:rPr>
                <w:sz w:val="13"/>
              </w:rPr>
            </w:pPr>
            <w:r>
              <w:rPr>
                <w:sz w:val="13"/>
              </w:rPr>
              <w:t>--</w:t>
            </w:r>
          </w:p>
        </w:tc>
      </w:tr>
      <w:tr>
        <w:trPr/>
        <w:tc>
          <w:tcPr>
            <w:tcW w:w="2525" w:type="dxa"/>
            <w:tcBorders/>
            <w:shd w:fill="FFFFFF" w:val="clear"/>
            <w:vAlign w:val="bottom"/>
          </w:tcPr>
          <w:p>
            <w:pPr>
              <w:pStyle w:val="TableContents"/>
              <w:spacing w:before="0" w:after="1"/>
              <w:ind w:left="0" w:right="0" w:hanging="0"/>
              <w:jc w:val="both"/>
              <w:rPr>
                <w:sz w:val="13"/>
              </w:rPr>
            </w:pPr>
            <w:r>
              <w:rPr>
                <w:sz w:val="13"/>
              </w:rPr>
              <w:t>Australian Shopping Center Loans</w:t>
            </w:r>
          </w:p>
        </w:tc>
        <w:tc>
          <w:tcPr>
            <w:tcW w:w="1130" w:type="dxa"/>
            <w:tcBorders/>
            <w:shd w:fill="FFFFFF" w:val="clear"/>
            <w:vAlign w:val="bottom"/>
          </w:tcPr>
          <w:p>
            <w:pPr>
              <w:pStyle w:val="TableContents"/>
              <w:spacing w:before="0" w:after="1"/>
              <w:ind w:left="0" w:right="0" w:hanging="0"/>
              <w:jc w:val="center"/>
              <w:rPr>
                <w:sz w:val="13"/>
              </w:rPr>
            </w:pPr>
            <w:r>
              <w:rPr>
                <w:sz w:val="13"/>
              </w:rPr>
              <w:t>-</w:t>
            </w:r>
          </w:p>
        </w:tc>
        <w:tc>
          <w:tcPr>
            <w:tcW w:w="1130" w:type="dxa"/>
            <w:tcBorders/>
            <w:shd w:fill="FFFFFF" w:val="clear"/>
            <w:vAlign w:val="bottom"/>
          </w:tcPr>
          <w:p>
            <w:pPr>
              <w:pStyle w:val="TableContents"/>
              <w:spacing w:before="0" w:after="1"/>
              <w:ind w:left="0" w:right="0" w:hanging="0"/>
              <w:jc w:val="center"/>
              <w:rPr>
                <w:sz w:val="13"/>
              </w:rPr>
            </w:pPr>
            <w:r>
              <w:rPr>
                <w:sz w:val="13"/>
              </w:rPr>
              <w:t>-</w:t>
            </w:r>
          </w:p>
        </w:tc>
        <w:tc>
          <w:tcPr>
            <w:tcW w:w="1115" w:type="dxa"/>
            <w:tcBorders/>
            <w:shd w:fill="FFFFFF" w:val="clear"/>
            <w:vAlign w:val="bottom"/>
          </w:tcPr>
          <w:p>
            <w:pPr>
              <w:pStyle w:val="TableContents"/>
              <w:spacing w:before="0" w:after="1"/>
              <w:ind w:left="0" w:right="0" w:hanging="0"/>
              <w:jc w:val="center"/>
              <w:rPr>
                <w:sz w:val="13"/>
              </w:rPr>
            </w:pPr>
            <w:r>
              <w:rPr>
                <w:sz w:val="13"/>
              </w:rPr>
              <w:t>2012-2014</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283"/>
              <w:jc w:val="right"/>
              <w:rPr>
                <w:sz w:val="13"/>
              </w:rPr>
            </w:pPr>
            <w:r>
              <w:rPr>
                <w:sz w:val="13"/>
              </w:rPr>
              <w:t xml:space="preserve">208  </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283"/>
              <w:jc w:val="right"/>
              <w:rPr>
                <w:sz w:val="13"/>
              </w:rPr>
            </w:pPr>
            <w:r>
              <w:rPr>
                <w:sz w:val="13"/>
              </w:rPr>
              <w:t xml:space="preserve">384  </w:t>
            </w:r>
          </w:p>
        </w:tc>
      </w:tr>
      <w:tr>
        <w:trPr/>
        <w:tc>
          <w:tcPr>
            <w:tcW w:w="2525" w:type="dxa"/>
            <w:tcBorders/>
            <w:shd w:fill="CCEEFF" w:val="clear"/>
            <w:vAlign w:val="bottom"/>
          </w:tcPr>
          <w:p>
            <w:pPr>
              <w:pStyle w:val="TableContents"/>
              <w:spacing w:before="0" w:after="1"/>
              <w:ind w:left="0" w:right="0" w:hanging="0"/>
              <w:jc w:val="both"/>
              <w:rPr>
                <w:sz w:val="13"/>
              </w:rPr>
            </w:pPr>
            <w:r>
              <w:rPr>
                <w:sz w:val="13"/>
              </w:rPr>
              <w:t>New Zealand Corporate Credit Facility</w:t>
            </w:r>
          </w:p>
        </w:tc>
        <w:tc>
          <w:tcPr>
            <w:tcW w:w="1130" w:type="dxa"/>
            <w:tcBorders/>
            <w:shd w:fill="CCEEFF" w:val="clear"/>
            <w:vAlign w:val="bottom"/>
          </w:tcPr>
          <w:p>
            <w:pPr>
              <w:pStyle w:val="TableContents"/>
              <w:spacing w:before="0" w:after="1"/>
              <w:ind w:left="0" w:right="0" w:hanging="0"/>
              <w:jc w:val="center"/>
              <w:rPr>
                <w:sz w:val="13"/>
              </w:rPr>
            </w:pPr>
            <w:r>
              <w:rPr>
                <w:sz w:val="13"/>
              </w:rPr>
              <w:t>4.70%</w:t>
            </w:r>
          </w:p>
        </w:tc>
        <w:tc>
          <w:tcPr>
            <w:tcW w:w="1130" w:type="dxa"/>
            <w:tcBorders/>
            <w:shd w:fill="CCEEFF" w:val="clear"/>
            <w:vAlign w:val="bottom"/>
          </w:tcPr>
          <w:p>
            <w:pPr>
              <w:pStyle w:val="TableContents"/>
              <w:spacing w:before="0" w:after="1"/>
              <w:ind w:left="0" w:right="0" w:hanging="0"/>
              <w:jc w:val="center"/>
              <w:rPr>
                <w:sz w:val="13"/>
              </w:rPr>
            </w:pPr>
            <w:r>
              <w:rPr>
                <w:sz w:val="13"/>
              </w:rPr>
              <w:t>4.15%</w:t>
            </w:r>
          </w:p>
        </w:tc>
        <w:tc>
          <w:tcPr>
            <w:tcW w:w="1115" w:type="dxa"/>
            <w:tcBorders/>
            <w:shd w:fill="CCEEFF" w:val="clear"/>
            <w:vAlign w:val="bottom"/>
          </w:tcPr>
          <w:p>
            <w:pPr>
              <w:pStyle w:val="TableContents"/>
              <w:spacing w:before="0" w:after="1"/>
              <w:ind w:left="0" w:right="0" w:hanging="0"/>
              <w:jc w:val="center"/>
              <w:rPr>
                <w:sz w:val="13"/>
              </w:rPr>
            </w:pPr>
            <w:r>
              <w:rPr>
                <w:sz w:val="13"/>
              </w:rPr>
              <w:t>March 31, 2015</w:t>
            </w:r>
          </w:p>
        </w:tc>
        <w:tc>
          <w:tcPr>
            <w:tcW w:w="95" w:type="dxa"/>
            <w:tcBorders/>
            <w:shd w:fill="CCEEFF" w:val="clear"/>
            <w:vAlign w:val="bottom"/>
          </w:tcPr>
          <w:p>
            <w:pPr>
              <w:pStyle w:val="TableContents"/>
              <w:spacing w:before="0" w:after="1"/>
              <w:ind w:left="0" w:right="0" w:hanging="0"/>
              <w:jc w:val="right"/>
              <w:rPr/>
            </w:pPr>
            <w:r>
              <w:rPr/>
              <w:t> </w:t>
            </w:r>
          </w:p>
        </w:tc>
        <w:tc>
          <w:tcPr>
            <w:tcW w:w="1130" w:type="dxa"/>
            <w:tcBorders/>
            <w:shd w:fill="CCEEFF" w:val="clear"/>
            <w:vAlign w:val="bottom"/>
          </w:tcPr>
          <w:p>
            <w:pPr>
              <w:pStyle w:val="TableContents"/>
              <w:spacing w:before="0" w:after="283"/>
              <w:jc w:val="right"/>
              <w:rPr>
                <w:sz w:val="13"/>
              </w:rPr>
            </w:pPr>
            <w:r>
              <w:rPr>
                <w:sz w:val="13"/>
              </w:rPr>
              <w:t xml:space="preserve">23,148  </w:t>
            </w:r>
          </w:p>
        </w:tc>
        <w:tc>
          <w:tcPr>
            <w:tcW w:w="95" w:type="dxa"/>
            <w:tcBorders/>
            <w:shd w:fill="CCEEFF" w:val="clear"/>
            <w:vAlign w:val="bottom"/>
          </w:tcPr>
          <w:p>
            <w:pPr>
              <w:pStyle w:val="TableContents"/>
              <w:spacing w:before="0" w:after="1"/>
              <w:ind w:left="0" w:right="0" w:hanging="0"/>
              <w:jc w:val="right"/>
              <w:rPr/>
            </w:pPr>
            <w:r>
              <w:rPr/>
              <w:t> </w:t>
            </w:r>
          </w:p>
        </w:tc>
        <w:tc>
          <w:tcPr>
            <w:tcW w:w="1145" w:type="dxa"/>
            <w:tcBorders/>
            <w:shd w:fill="CCEEFF" w:val="clear"/>
            <w:vAlign w:val="bottom"/>
          </w:tcPr>
          <w:p>
            <w:pPr>
              <w:pStyle w:val="TableContents"/>
              <w:spacing w:before="0" w:after="283"/>
              <w:jc w:val="right"/>
              <w:rPr>
                <w:sz w:val="13"/>
              </w:rPr>
            </w:pPr>
            <w:r>
              <w:rPr>
                <w:sz w:val="13"/>
              </w:rPr>
              <w:t xml:space="preserve">21,854  </w:t>
            </w:r>
          </w:p>
        </w:tc>
      </w:tr>
      <w:tr>
        <w:trPr/>
        <w:tc>
          <w:tcPr>
            <w:tcW w:w="2525" w:type="dxa"/>
            <w:tcBorders/>
            <w:shd w:fill="FFFFFF" w:val="clear"/>
            <w:vAlign w:val="bottom"/>
          </w:tcPr>
          <w:p>
            <w:pPr>
              <w:pStyle w:val="TableContents"/>
              <w:spacing w:before="0" w:after="1"/>
              <w:ind w:left="0" w:right="0" w:hanging="0"/>
              <w:jc w:val="both"/>
              <w:rPr>
                <w:sz w:val="13"/>
              </w:rPr>
            </w:pPr>
            <w:r>
              <w:rPr>
                <w:sz w:val="13"/>
              </w:rPr>
              <w:t>US Bank of America Revolver</w:t>
            </w:r>
          </w:p>
        </w:tc>
        <w:tc>
          <w:tcPr>
            <w:tcW w:w="1130" w:type="dxa"/>
            <w:tcBorders/>
            <w:shd w:fill="FFFFFF" w:val="clear"/>
            <w:vAlign w:val="bottom"/>
          </w:tcPr>
          <w:p>
            <w:pPr>
              <w:pStyle w:val="TableContents"/>
              <w:spacing w:before="0" w:after="1"/>
              <w:ind w:left="0" w:right="0" w:hanging="0"/>
              <w:jc w:val="center"/>
              <w:rPr>
                <w:sz w:val="13"/>
              </w:rPr>
            </w:pPr>
            <w:r>
              <w:rPr>
                <w:sz w:val="13"/>
              </w:rPr>
              <w:t>3.26%</w:t>
            </w:r>
          </w:p>
        </w:tc>
        <w:tc>
          <w:tcPr>
            <w:tcW w:w="1130" w:type="dxa"/>
            <w:tcBorders/>
            <w:shd w:fill="FFFFFF" w:val="clear"/>
            <w:vAlign w:val="bottom"/>
          </w:tcPr>
          <w:p>
            <w:pPr>
              <w:pStyle w:val="TableContents"/>
              <w:spacing w:before="0" w:after="1"/>
              <w:ind w:left="0" w:right="0" w:hanging="0"/>
              <w:jc w:val="center"/>
              <w:rPr>
                <w:sz w:val="13"/>
              </w:rPr>
            </w:pPr>
            <w:r>
              <w:rPr>
                <w:sz w:val="13"/>
              </w:rPr>
              <w:t>-</w:t>
            </w:r>
          </w:p>
        </w:tc>
        <w:tc>
          <w:tcPr>
            <w:tcW w:w="1115" w:type="dxa"/>
            <w:tcBorders/>
            <w:shd w:fill="FFFFFF" w:val="clear"/>
            <w:vAlign w:val="bottom"/>
          </w:tcPr>
          <w:p>
            <w:pPr>
              <w:pStyle w:val="TableContents"/>
              <w:spacing w:before="0" w:after="1"/>
              <w:ind w:left="0" w:right="0" w:hanging="0"/>
              <w:jc w:val="center"/>
              <w:rPr>
                <w:sz w:val="13"/>
              </w:rPr>
            </w:pPr>
            <w:r>
              <w:rPr>
                <w:sz w:val="13"/>
              </w:rPr>
              <w:t>October 31, 2017</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283"/>
              <w:jc w:val="right"/>
              <w:rPr>
                <w:sz w:val="13"/>
              </w:rPr>
            </w:pPr>
            <w:r>
              <w:rPr>
                <w:sz w:val="13"/>
              </w:rPr>
              <w:t xml:space="preserve">30,000  </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1"/>
              <w:ind w:left="0" w:right="0" w:hanging="0"/>
              <w:jc w:val="right"/>
              <w:rPr>
                <w:sz w:val="13"/>
              </w:rPr>
            </w:pPr>
            <w:r>
              <w:rPr>
                <w:sz w:val="13"/>
              </w:rPr>
              <w:t>--</w:t>
            </w:r>
          </w:p>
        </w:tc>
      </w:tr>
      <w:tr>
        <w:trPr/>
        <w:tc>
          <w:tcPr>
            <w:tcW w:w="2525" w:type="dxa"/>
            <w:tcBorders/>
            <w:shd w:fill="CCEEFF" w:val="clear"/>
            <w:vAlign w:val="bottom"/>
          </w:tcPr>
          <w:p>
            <w:pPr>
              <w:pStyle w:val="TableContents"/>
              <w:spacing w:before="0" w:after="1"/>
              <w:ind w:left="0" w:right="0" w:hanging="0"/>
              <w:jc w:val="both"/>
              <w:rPr>
                <w:sz w:val="13"/>
              </w:rPr>
            </w:pPr>
            <w:r>
              <w:rPr>
                <w:sz w:val="13"/>
              </w:rPr>
              <w:t>US Bank of America Line of Credit</w:t>
            </w:r>
          </w:p>
        </w:tc>
        <w:tc>
          <w:tcPr>
            <w:tcW w:w="1130" w:type="dxa"/>
            <w:tcBorders/>
            <w:shd w:fill="CCEEFF" w:val="clear"/>
            <w:vAlign w:val="bottom"/>
          </w:tcPr>
          <w:p>
            <w:pPr>
              <w:pStyle w:val="TableContents"/>
              <w:spacing w:before="0" w:after="1"/>
              <w:ind w:left="0" w:right="0" w:hanging="0"/>
              <w:jc w:val="center"/>
              <w:rPr>
                <w:sz w:val="13"/>
              </w:rPr>
            </w:pPr>
            <w:r>
              <w:rPr>
                <w:sz w:val="13"/>
              </w:rPr>
              <w:t>3.21%</w:t>
            </w:r>
          </w:p>
        </w:tc>
        <w:tc>
          <w:tcPr>
            <w:tcW w:w="1130" w:type="dxa"/>
            <w:tcBorders/>
            <w:shd w:fill="CCEEFF" w:val="clear"/>
            <w:vAlign w:val="bottom"/>
          </w:tcPr>
          <w:p>
            <w:pPr>
              <w:pStyle w:val="TableContents"/>
              <w:spacing w:before="0" w:after="1"/>
              <w:ind w:left="0" w:right="0" w:hanging="0"/>
              <w:jc w:val="center"/>
              <w:rPr>
                <w:sz w:val="13"/>
              </w:rPr>
            </w:pPr>
            <w:r>
              <w:rPr>
                <w:sz w:val="13"/>
              </w:rPr>
              <w:t>-</w:t>
            </w:r>
          </w:p>
        </w:tc>
        <w:tc>
          <w:tcPr>
            <w:tcW w:w="1115" w:type="dxa"/>
            <w:tcBorders/>
            <w:shd w:fill="CCEEFF" w:val="clear"/>
            <w:vAlign w:val="bottom"/>
          </w:tcPr>
          <w:p>
            <w:pPr>
              <w:pStyle w:val="TableContents"/>
              <w:spacing w:before="0" w:after="1"/>
              <w:ind w:left="0" w:right="0" w:hanging="0"/>
              <w:jc w:val="center"/>
              <w:rPr>
                <w:sz w:val="13"/>
              </w:rPr>
            </w:pPr>
            <w:r>
              <w:rPr>
                <w:sz w:val="13"/>
              </w:rPr>
              <w:t>October 31, 2017</w:t>
            </w:r>
          </w:p>
        </w:tc>
        <w:tc>
          <w:tcPr>
            <w:tcW w:w="95" w:type="dxa"/>
            <w:tcBorders/>
            <w:shd w:fill="CCEEFF" w:val="clear"/>
            <w:vAlign w:val="bottom"/>
          </w:tcPr>
          <w:p>
            <w:pPr>
              <w:pStyle w:val="TableContents"/>
              <w:spacing w:before="0" w:after="1"/>
              <w:ind w:left="0" w:right="0" w:hanging="0"/>
              <w:jc w:val="right"/>
              <w:rPr/>
            </w:pPr>
            <w:r>
              <w:rPr/>
              <w:t> </w:t>
            </w:r>
          </w:p>
        </w:tc>
        <w:tc>
          <w:tcPr>
            <w:tcW w:w="1130" w:type="dxa"/>
            <w:tcBorders/>
            <w:shd w:fill="CCEEFF" w:val="clear"/>
            <w:vAlign w:val="bottom"/>
          </w:tcPr>
          <w:p>
            <w:pPr>
              <w:pStyle w:val="TableContents"/>
              <w:spacing w:before="0" w:after="283"/>
              <w:jc w:val="right"/>
              <w:rPr>
                <w:sz w:val="13"/>
              </w:rPr>
            </w:pPr>
            <w:r>
              <w:rPr>
                <w:sz w:val="13"/>
              </w:rPr>
              <w:t xml:space="preserve">2,007  </w:t>
            </w:r>
          </w:p>
        </w:tc>
        <w:tc>
          <w:tcPr>
            <w:tcW w:w="95" w:type="dxa"/>
            <w:tcBorders/>
            <w:shd w:fill="CCEEFF" w:val="clear"/>
            <w:vAlign w:val="bottom"/>
          </w:tcPr>
          <w:p>
            <w:pPr>
              <w:pStyle w:val="TableContents"/>
              <w:spacing w:before="0" w:after="1"/>
              <w:ind w:left="0" w:right="0" w:hanging="0"/>
              <w:jc w:val="right"/>
              <w:rPr/>
            </w:pPr>
            <w:r>
              <w:rPr/>
              <w:t> </w:t>
            </w:r>
          </w:p>
        </w:tc>
        <w:tc>
          <w:tcPr>
            <w:tcW w:w="1145" w:type="dxa"/>
            <w:tcBorders/>
            <w:shd w:fill="CCEEFF" w:val="clear"/>
            <w:vAlign w:val="bottom"/>
          </w:tcPr>
          <w:p>
            <w:pPr>
              <w:pStyle w:val="TableContents"/>
              <w:spacing w:before="0" w:after="1"/>
              <w:ind w:left="0" w:right="0" w:hanging="0"/>
              <w:jc w:val="right"/>
              <w:rPr>
                <w:sz w:val="13"/>
              </w:rPr>
            </w:pPr>
            <w:r>
              <w:rPr>
                <w:sz w:val="13"/>
              </w:rPr>
              <w:t>--</w:t>
            </w:r>
          </w:p>
        </w:tc>
      </w:tr>
      <w:tr>
        <w:trPr/>
        <w:tc>
          <w:tcPr>
            <w:tcW w:w="2525" w:type="dxa"/>
            <w:tcBorders/>
            <w:shd w:fill="FFFFFF" w:val="clear"/>
            <w:vAlign w:val="bottom"/>
          </w:tcPr>
          <w:p>
            <w:pPr>
              <w:pStyle w:val="TableContents"/>
              <w:spacing w:before="0" w:after="1"/>
              <w:ind w:left="0" w:right="0" w:hanging="0"/>
              <w:jc w:val="both"/>
              <w:rPr>
                <w:sz w:val="13"/>
              </w:rPr>
            </w:pPr>
            <w:r>
              <w:rPr>
                <w:sz w:val="13"/>
              </w:rPr>
              <w:t>US Cinema 1, 2, 3 Term Loan</w:t>
            </w:r>
          </w:p>
        </w:tc>
        <w:tc>
          <w:tcPr>
            <w:tcW w:w="1130" w:type="dxa"/>
            <w:tcBorders/>
            <w:shd w:fill="FFFFFF" w:val="clear"/>
            <w:vAlign w:val="bottom"/>
          </w:tcPr>
          <w:p>
            <w:pPr>
              <w:pStyle w:val="TableContents"/>
              <w:spacing w:before="0" w:after="1"/>
              <w:ind w:left="0" w:right="0" w:hanging="0"/>
              <w:jc w:val="center"/>
              <w:rPr>
                <w:sz w:val="13"/>
              </w:rPr>
            </w:pPr>
            <w:r>
              <w:rPr>
                <w:sz w:val="13"/>
              </w:rPr>
              <w:t>-</w:t>
            </w:r>
          </w:p>
        </w:tc>
        <w:tc>
          <w:tcPr>
            <w:tcW w:w="1130" w:type="dxa"/>
            <w:tcBorders/>
            <w:shd w:fill="FFFFFF" w:val="clear"/>
            <w:vAlign w:val="bottom"/>
          </w:tcPr>
          <w:p>
            <w:pPr>
              <w:pStyle w:val="TableContents"/>
              <w:spacing w:before="0" w:after="1"/>
              <w:ind w:left="0" w:right="0" w:hanging="0"/>
              <w:jc w:val="center"/>
              <w:rPr>
                <w:sz w:val="13"/>
              </w:rPr>
            </w:pPr>
            <w:r>
              <w:rPr>
                <w:sz w:val="13"/>
              </w:rPr>
              <w:t>6.73%</w:t>
            </w:r>
          </w:p>
        </w:tc>
        <w:tc>
          <w:tcPr>
            <w:tcW w:w="1115" w:type="dxa"/>
            <w:tcBorders/>
            <w:shd w:fill="FFFFFF" w:val="clear"/>
            <w:vAlign w:val="bottom"/>
          </w:tcPr>
          <w:p>
            <w:pPr>
              <w:pStyle w:val="TableContents"/>
              <w:spacing w:before="0" w:after="1"/>
              <w:ind w:left="0" w:right="0" w:hanging="0"/>
              <w:jc w:val="center"/>
              <w:rPr>
                <w:sz w:val="13"/>
              </w:rPr>
            </w:pPr>
            <w:r>
              <w:rPr>
                <w:sz w:val="13"/>
              </w:rPr>
              <w:t>July 1, 2012</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1"/>
              <w:ind w:left="0" w:right="0" w:hanging="0"/>
              <w:jc w:val="right"/>
              <w:rPr>
                <w:sz w:val="13"/>
              </w:rPr>
            </w:pPr>
            <w:r>
              <w:rPr>
                <w:sz w:val="13"/>
              </w:rPr>
              <w:t>--</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283"/>
              <w:jc w:val="right"/>
              <w:rPr>
                <w:sz w:val="13"/>
              </w:rPr>
            </w:pPr>
            <w:r>
              <w:rPr>
                <w:sz w:val="13"/>
              </w:rPr>
              <w:t xml:space="preserve">15,000  </w:t>
            </w:r>
          </w:p>
        </w:tc>
      </w:tr>
      <w:tr>
        <w:trPr/>
        <w:tc>
          <w:tcPr>
            <w:tcW w:w="2525" w:type="dxa"/>
            <w:tcBorders/>
            <w:shd w:fill="CCEEFF" w:val="clear"/>
            <w:vAlign w:val="bottom"/>
          </w:tcPr>
          <w:p>
            <w:pPr>
              <w:pStyle w:val="TableContents"/>
              <w:spacing w:before="0" w:after="1"/>
              <w:ind w:left="0" w:right="0" w:hanging="0"/>
              <w:jc w:val="both"/>
              <w:rPr>
                <w:sz w:val="13"/>
              </w:rPr>
            </w:pPr>
            <w:r>
              <w:rPr>
                <w:sz w:val="13"/>
              </w:rPr>
              <w:t>US Cinema 1, 2, 3 Term Loan</w:t>
            </w:r>
          </w:p>
        </w:tc>
        <w:tc>
          <w:tcPr>
            <w:tcW w:w="1130" w:type="dxa"/>
            <w:tcBorders/>
            <w:shd w:fill="CCEEFF" w:val="clear"/>
            <w:vAlign w:val="bottom"/>
          </w:tcPr>
          <w:p>
            <w:pPr>
              <w:pStyle w:val="TableContents"/>
              <w:spacing w:before="0" w:after="1"/>
              <w:ind w:left="0" w:right="0" w:hanging="0"/>
              <w:jc w:val="center"/>
              <w:rPr>
                <w:sz w:val="13"/>
              </w:rPr>
            </w:pPr>
            <w:r>
              <w:rPr>
                <w:sz w:val="13"/>
              </w:rPr>
              <w:t>5.24%</w:t>
            </w:r>
          </w:p>
        </w:tc>
        <w:tc>
          <w:tcPr>
            <w:tcW w:w="1130" w:type="dxa"/>
            <w:tcBorders/>
            <w:shd w:fill="CCEEFF" w:val="clear"/>
            <w:vAlign w:val="bottom"/>
          </w:tcPr>
          <w:p>
            <w:pPr>
              <w:pStyle w:val="TableContents"/>
              <w:spacing w:before="0" w:after="1"/>
              <w:ind w:left="0" w:right="0" w:hanging="0"/>
              <w:jc w:val="center"/>
              <w:rPr>
                <w:sz w:val="13"/>
              </w:rPr>
            </w:pPr>
            <w:r>
              <w:rPr>
                <w:sz w:val="13"/>
              </w:rPr>
              <w:t>-</w:t>
            </w:r>
          </w:p>
        </w:tc>
        <w:tc>
          <w:tcPr>
            <w:tcW w:w="1115" w:type="dxa"/>
            <w:tcBorders/>
            <w:shd w:fill="CCEEFF" w:val="clear"/>
            <w:vAlign w:val="bottom"/>
          </w:tcPr>
          <w:p>
            <w:pPr>
              <w:pStyle w:val="TableContents"/>
              <w:spacing w:before="0" w:after="1"/>
              <w:ind w:left="0" w:right="0" w:hanging="0"/>
              <w:jc w:val="center"/>
              <w:rPr>
                <w:sz w:val="13"/>
              </w:rPr>
            </w:pPr>
            <w:r>
              <w:rPr>
                <w:sz w:val="13"/>
              </w:rPr>
              <w:t>June 27, 2013</w:t>
            </w:r>
          </w:p>
        </w:tc>
        <w:tc>
          <w:tcPr>
            <w:tcW w:w="95" w:type="dxa"/>
            <w:tcBorders/>
            <w:shd w:fill="CCEEFF" w:val="clear"/>
            <w:vAlign w:val="bottom"/>
          </w:tcPr>
          <w:p>
            <w:pPr>
              <w:pStyle w:val="TableContents"/>
              <w:spacing w:before="0" w:after="1"/>
              <w:ind w:left="0" w:right="0" w:hanging="0"/>
              <w:jc w:val="right"/>
              <w:rPr/>
            </w:pPr>
            <w:r>
              <w:rPr/>
              <w:t> </w:t>
            </w:r>
          </w:p>
        </w:tc>
        <w:tc>
          <w:tcPr>
            <w:tcW w:w="1130" w:type="dxa"/>
            <w:tcBorders/>
            <w:shd w:fill="CCEEFF" w:val="clear"/>
            <w:vAlign w:val="bottom"/>
          </w:tcPr>
          <w:p>
            <w:pPr>
              <w:pStyle w:val="TableContents"/>
              <w:spacing w:before="0" w:after="283"/>
              <w:jc w:val="right"/>
              <w:rPr>
                <w:sz w:val="13"/>
              </w:rPr>
            </w:pPr>
            <w:r>
              <w:rPr>
                <w:sz w:val="13"/>
              </w:rPr>
              <w:t xml:space="preserve">15,000  </w:t>
            </w:r>
          </w:p>
        </w:tc>
        <w:tc>
          <w:tcPr>
            <w:tcW w:w="95" w:type="dxa"/>
            <w:tcBorders/>
            <w:shd w:fill="CCEEFF" w:val="clear"/>
            <w:vAlign w:val="bottom"/>
          </w:tcPr>
          <w:p>
            <w:pPr>
              <w:pStyle w:val="TableContents"/>
              <w:spacing w:before="0" w:after="1"/>
              <w:ind w:left="0" w:right="0" w:hanging="0"/>
              <w:jc w:val="right"/>
              <w:rPr/>
            </w:pPr>
            <w:r>
              <w:rPr/>
              <w:t> </w:t>
            </w:r>
          </w:p>
        </w:tc>
        <w:tc>
          <w:tcPr>
            <w:tcW w:w="1145" w:type="dxa"/>
            <w:tcBorders/>
            <w:shd w:fill="CCEEFF" w:val="clear"/>
            <w:vAlign w:val="bottom"/>
          </w:tcPr>
          <w:p>
            <w:pPr>
              <w:pStyle w:val="TableContents"/>
              <w:spacing w:before="0" w:after="1"/>
              <w:ind w:left="0" w:right="0" w:hanging="0"/>
              <w:jc w:val="right"/>
              <w:rPr>
                <w:sz w:val="13"/>
              </w:rPr>
            </w:pPr>
            <w:r>
              <w:rPr>
                <w:sz w:val="13"/>
              </w:rPr>
              <w:t>--</w:t>
            </w:r>
          </w:p>
        </w:tc>
      </w:tr>
      <w:tr>
        <w:trPr/>
        <w:tc>
          <w:tcPr>
            <w:tcW w:w="2525" w:type="dxa"/>
            <w:tcBorders/>
            <w:shd w:fill="FFFFFF" w:val="clear"/>
            <w:vAlign w:val="bottom"/>
          </w:tcPr>
          <w:p>
            <w:pPr>
              <w:pStyle w:val="TableContents"/>
              <w:spacing w:before="0" w:after="1"/>
              <w:ind w:left="0" w:right="0" w:hanging="0"/>
              <w:jc w:val="both"/>
              <w:rPr>
                <w:sz w:val="13"/>
              </w:rPr>
            </w:pPr>
            <w:r>
              <w:rPr>
                <w:sz w:val="13"/>
              </w:rPr>
              <w:t>US GE Capital Term Loan</w:t>
            </w:r>
          </w:p>
        </w:tc>
        <w:tc>
          <w:tcPr>
            <w:tcW w:w="1130" w:type="dxa"/>
            <w:tcBorders/>
            <w:shd w:fill="FFFFFF" w:val="clear"/>
            <w:vAlign w:val="bottom"/>
          </w:tcPr>
          <w:p>
            <w:pPr>
              <w:pStyle w:val="TableContents"/>
              <w:spacing w:before="0" w:after="1"/>
              <w:ind w:left="0" w:right="0" w:hanging="0"/>
              <w:jc w:val="center"/>
              <w:rPr>
                <w:sz w:val="13"/>
              </w:rPr>
            </w:pPr>
            <w:r>
              <w:rPr>
                <w:sz w:val="13"/>
              </w:rPr>
              <w:t>-</w:t>
            </w:r>
          </w:p>
        </w:tc>
        <w:tc>
          <w:tcPr>
            <w:tcW w:w="1130" w:type="dxa"/>
            <w:tcBorders/>
            <w:shd w:fill="FFFFFF" w:val="clear"/>
            <w:vAlign w:val="bottom"/>
          </w:tcPr>
          <w:p>
            <w:pPr>
              <w:pStyle w:val="TableContents"/>
              <w:spacing w:before="0" w:after="1"/>
              <w:ind w:left="0" w:right="0" w:hanging="0"/>
              <w:jc w:val="center"/>
              <w:rPr>
                <w:sz w:val="13"/>
              </w:rPr>
            </w:pPr>
            <w:r>
              <w:rPr>
                <w:sz w:val="13"/>
              </w:rPr>
              <w:t>5.50%</w:t>
            </w:r>
          </w:p>
        </w:tc>
        <w:tc>
          <w:tcPr>
            <w:tcW w:w="1115" w:type="dxa"/>
            <w:tcBorders/>
            <w:shd w:fill="FFFFFF" w:val="clear"/>
            <w:vAlign w:val="bottom"/>
          </w:tcPr>
          <w:p>
            <w:pPr>
              <w:pStyle w:val="TableContents"/>
              <w:spacing w:before="0" w:after="1"/>
              <w:ind w:left="0" w:right="0" w:hanging="0"/>
              <w:jc w:val="center"/>
              <w:rPr>
                <w:sz w:val="13"/>
              </w:rPr>
            </w:pPr>
            <w:r>
              <w:rPr>
                <w:sz w:val="13"/>
              </w:rPr>
              <w:t>October 31, 2012</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1"/>
              <w:ind w:left="0" w:right="0" w:hanging="0"/>
              <w:jc w:val="right"/>
              <w:rPr>
                <w:sz w:val="13"/>
              </w:rPr>
            </w:pPr>
            <w:r>
              <w:rPr>
                <w:sz w:val="13"/>
              </w:rPr>
              <w:t>--</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283"/>
              <w:jc w:val="right"/>
              <w:rPr>
                <w:sz w:val="13"/>
              </w:rPr>
            </w:pPr>
            <w:r>
              <w:rPr>
                <w:sz w:val="13"/>
              </w:rPr>
              <w:t xml:space="preserve">32,188  </w:t>
            </w:r>
          </w:p>
        </w:tc>
      </w:tr>
      <w:tr>
        <w:trPr/>
        <w:tc>
          <w:tcPr>
            <w:tcW w:w="2525" w:type="dxa"/>
            <w:tcBorders/>
            <w:shd w:fill="CCEEFF" w:val="clear"/>
            <w:vAlign w:val="bottom"/>
          </w:tcPr>
          <w:p>
            <w:pPr>
              <w:pStyle w:val="TableContents"/>
              <w:spacing w:before="0" w:after="1"/>
              <w:ind w:left="0" w:right="0" w:hanging="0"/>
              <w:jc w:val="both"/>
              <w:rPr>
                <w:sz w:val="13"/>
              </w:rPr>
            </w:pPr>
            <w:r>
              <w:rPr>
                <w:sz w:val="13"/>
              </w:rPr>
              <w:t>US Liberty Theaters Term Loans</w:t>
            </w:r>
          </w:p>
        </w:tc>
        <w:tc>
          <w:tcPr>
            <w:tcW w:w="1130" w:type="dxa"/>
            <w:tcBorders/>
            <w:shd w:fill="CCEEFF" w:val="clear"/>
            <w:vAlign w:val="bottom"/>
          </w:tcPr>
          <w:p>
            <w:pPr>
              <w:pStyle w:val="TableContents"/>
              <w:spacing w:before="0" w:after="1"/>
              <w:ind w:left="0" w:right="0" w:hanging="0"/>
              <w:jc w:val="center"/>
              <w:rPr>
                <w:sz w:val="13"/>
              </w:rPr>
            </w:pPr>
            <w:r>
              <w:rPr>
                <w:sz w:val="13"/>
              </w:rPr>
              <w:t>6.20%</w:t>
            </w:r>
          </w:p>
        </w:tc>
        <w:tc>
          <w:tcPr>
            <w:tcW w:w="1130" w:type="dxa"/>
            <w:tcBorders/>
            <w:shd w:fill="CCEEFF" w:val="clear"/>
            <w:vAlign w:val="bottom"/>
          </w:tcPr>
          <w:p>
            <w:pPr>
              <w:pStyle w:val="TableContents"/>
              <w:spacing w:before="0" w:after="1"/>
              <w:ind w:left="0" w:right="0" w:hanging="0"/>
              <w:jc w:val="center"/>
              <w:rPr>
                <w:sz w:val="13"/>
              </w:rPr>
            </w:pPr>
            <w:r>
              <w:rPr>
                <w:sz w:val="13"/>
              </w:rPr>
              <w:t>6.20%</w:t>
            </w:r>
          </w:p>
        </w:tc>
        <w:tc>
          <w:tcPr>
            <w:tcW w:w="1115" w:type="dxa"/>
            <w:tcBorders/>
            <w:shd w:fill="CCEEFF" w:val="clear"/>
            <w:vAlign w:val="bottom"/>
          </w:tcPr>
          <w:p>
            <w:pPr>
              <w:pStyle w:val="TableContents"/>
              <w:spacing w:before="0" w:after="1"/>
              <w:ind w:left="0" w:right="0" w:hanging="0"/>
              <w:jc w:val="center"/>
              <w:rPr>
                <w:sz w:val="13"/>
              </w:rPr>
            </w:pPr>
            <w:r>
              <w:rPr>
                <w:sz w:val="13"/>
              </w:rPr>
              <w:t>April 1, 2013</w:t>
            </w:r>
          </w:p>
        </w:tc>
        <w:tc>
          <w:tcPr>
            <w:tcW w:w="95" w:type="dxa"/>
            <w:tcBorders/>
            <w:shd w:fill="CCEEFF" w:val="clear"/>
            <w:vAlign w:val="bottom"/>
          </w:tcPr>
          <w:p>
            <w:pPr>
              <w:pStyle w:val="TableContents"/>
              <w:spacing w:before="0" w:after="1"/>
              <w:ind w:left="0" w:right="0" w:hanging="0"/>
              <w:jc w:val="right"/>
              <w:rPr/>
            </w:pPr>
            <w:r>
              <w:rPr/>
              <w:t> </w:t>
            </w:r>
          </w:p>
        </w:tc>
        <w:tc>
          <w:tcPr>
            <w:tcW w:w="1130" w:type="dxa"/>
            <w:tcBorders/>
            <w:shd w:fill="CCEEFF" w:val="clear"/>
            <w:vAlign w:val="bottom"/>
          </w:tcPr>
          <w:p>
            <w:pPr>
              <w:pStyle w:val="TableContents"/>
              <w:spacing w:before="0" w:after="283"/>
              <w:jc w:val="right"/>
              <w:rPr>
                <w:sz w:val="13"/>
              </w:rPr>
            </w:pPr>
            <w:r>
              <w:rPr>
                <w:sz w:val="13"/>
              </w:rPr>
              <w:t xml:space="preserve">6,429  </w:t>
            </w:r>
          </w:p>
        </w:tc>
        <w:tc>
          <w:tcPr>
            <w:tcW w:w="95" w:type="dxa"/>
            <w:tcBorders/>
            <w:shd w:fill="CCEEFF" w:val="clear"/>
            <w:vAlign w:val="bottom"/>
          </w:tcPr>
          <w:p>
            <w:pPr>
              <w:pStyle w:val="TableContents"/>
              <w:spacing w:before="0" w:after="1"/>
              <w:ind w:left="0" w:right="0" w:hanging="0"/>
              <w:jc w:val="right"/>
              <w:rPr/>
            </w:pPr>
            <w:r>
              <w:rPr/>
              <w:t> </w:t>
            </w:r>
          </w:p>
        </w:tc>
        <w:tc>
          <w:tcPr>
            <w:tcW w:w="1145" w:type="dxa"/>
            <w:tcBorders/>
            <w:shd w:fill="CCEEFF" w:val="clear"/>
            <w:vAlign w:val="bottom"/>
          </w:tcPr>
          <w:p>
            <w:pPr>
              <w:pStyle w:val="TableContents"/>
              <w:spacing w:before="0" w:after="283"/>
              <w:jc w:val="right"/>
              <w:rPr>
                <w:sz w:val="13"/>
              </w:rPr>
            </w:pPr>
            <w:r>
              <w:rPr>
                <w:sz w:val="13"/>
              </w:rPr>
              <w:t xml:space="preserve">6,583  </w:t>
            </w:r>
          </w:p>
        </w:tc>
      </w:tr>
      <w:tr>
        <w:trPr/>
        <w:tc>
          <w:tcPr>
            <w:tcW w:w="2525" w:type="dxa"/>
            <w:tcBorders/>
            <w:shd w:fill="FFFFFF" w:val="clear"/>
            <w:vAlign w:val="bottom"/>
          </w:tcPr>
          <w:p>
            <w:pPr>
              <w:pStyle w:val="TableContents"/>
              <w:spacing w:before="0" w:after="1"/>
              <w:ind w:left="0" w:right="0" w:hanging="0"/>
              <w:jc w:val="both"/>
              <w:rPr>
                <w:sz w:val="13"/>
              </w:rPr>
            </w:pPr>
            <w:r>
              <w:rPr>
                <w:sz w:val="13"/>
              </w:rPr>
              <w:t>US Nationwide Loan 1</w:t>
            </w:r>
          </w:p>
        </w:tc>
        <w:tc>
          <w:tcPr>
            <w:tcW w:w="1130" w:type="dxa"/>
            <w:tcBorders/>
            <w:shd w:fill="FFFFFF" w:val="clear"/>
            <w:vAlign w:val="bottom"/>
          </w:tcPr>
          <w:p>
            <w:pPr>
              <w:pStyle w:val="TableContents"/>
              <w:spacing w:before="0" w:after="1"/>
              <w:ind w:left="0" w:right="0" w:hanging="0"/>
              <w:jc w:val="center"/>
              <w:rPr>
                <w:sz w:val="13"/>
              </w:rPr>
            </w:pPr>
            <w:r>
              <w:rPr>
                <w:sz w:val="13"/>
              </w:rPr>
              <w:t>8.50%</w:t>
            </w:r>
          </w:p>
        </w:tc>
        <w:tc>
          <w:tcPr>
            <w:tcW w:w="1130" w:type="dxa"/>
            <w:tcBorders/>
            <w:shd w:fill="FFFFFF" w:val="clear"/>
            <w:vAlign w:val="bottom"/>
          </w:tcPr>
          <w:p>
            <w:pPr>
              <w:pStyle w:val="TableContents"/>
              <w:spacing w:before="0" w:after="1"/>
              <w:ind w:left="0" w:right="0" w:hanging="0"/>
              <w:jc w:val="center"/>
              <w:rPr>
                <w:sz w:val="13"/>
              </w:rPr>
            </w:pPr>
            <w:r>
              <w:rPr>
                <w:sz w:val="13"/>
              </w:rPr>
              <w:t>8.50%</w:t>
            </w:r>
          </w:p>
        </w:tc>
        <w:tc>
          <w:tcPr>
            <w:tcW w:w="1115" w:type="dxa"/>
            <w:tcBorders/>
            <w:shd w:fill="FFFFFF" w:val="clear"/>
            <w:vAlign w:val="bottom"/>
          </w:tcPr>
          <w:p>
            <w:pPr>
              <w:pStyle w:val="TableContents"/>
              <w:spacing w:before="0" w:after="1"/>
              <w:ind w:left="0" w:right="0" w:hanging="0"/>
              <w:jc w:val="center"/>
              <w:rPr>
                <w:sz w:val="13"/>
              </w:rPr>
            </w:pPr>
            <w:r>
              <w:rPr>
                <w:sz w:val="13"/>
              </w:rPr>
              <w:t>February 21, 2013</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283"/>
              <w:jc w:val="right"/>
              <w:rPr>
                <w:sz w:val="13"/>
              </w:rPr>
            </w:pPr>
            <w:r>
              <w:rPr>
                <w:sz w:val="13"/>
              </w:rPr>
              <w:t xml:space="preserve">593  </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283"/>
              <w:jc w:val="right"/>
              <w:rPr>
                <w:sz w:val="13"/>
              </w:rPr>
            </w:pPr>
            <w:r>
              <w:rPr>
                <w:sz w:val="13"/>
              </w:rPr>
              <w:t xml:space="preserve">597  </w:t>
            </w:r>
          </w:p>
        </w:tc>
      </w:tr>
      <w:tr>
        <w:trPr/>
        <w:tc>
          <w:tcPr>
            <w:tcW w:w="2525" w:type="dxa"/>
            <w:tcBorders/>
            <w:shd w:fill="CCEEFF" w:val="clear"/>
            <w:vAlign w:val="bottom"/>
          </w:tcPr>
          <w:p>
            <w:pPr>
              <w:pStyle w:val="TableContents"/>
              <w:spacing w:before="0" w:after="1"/>
              <w:ind w:left="0" w:right="0" w:hanging="0"/>
              <w:jc w:val="both"/>
              <w:rPr>
                <w:sz w:val="13"/>
              </w:rPr>
            </w:pPr>
            <w:r>
              <w:rPr>
                <w:sz w:val="13"/>
              </w:rPr>
              <w:t>US Sanborn Note</w:t>
            </w:r>
          </w:p>
        </w:tc>
        <w:tc>
          <w:tcPr>
            <w:tcW w:w="1130" w:type="dxa"/>
            <w:tcBorders/>
            <w:shd w:fill="CCEEFF" w:val="clear"/>
            <w:vAlign w:val="bottom"/>
          </w:tcPr>
          <w:p>
            <w:pPr>
              <w:pStyle w:val="TableContents"/>
              <w:spacing w:before="0" w:after="1"/>
              <w:ind w:left="0" w:right="0" w:hanging="0"/>
              <w:jc w:val="center"/>
              <w:rPr>
                <w:sz w:val="13"/>
              </w:rPr>
            </w:pPr>
            <w:r>
              <w:rPr>
                <w:sz w:val="13"/>
              </w:rPr>
              <w:t>-</w:t>
            </w:r>
          </w:p>
        </w:tc>
        <w:tc>
          <w:tcPr>
            <w:tcW w:w="1130" w:type="dxa"/>
            <w:tcBorders/>
            <w:shd w:fill="CCEEFF" w:val="clear"/>
            <w:vAlign w:val="bottom"/>
          </w:tcPr>
          <w:p>
            <w:pPr>
              <w:pStyle w:val="TableContents"/>
              <w:spacing w:before="0" w:after="1"/>
              <w:ind w:left="0" w:right="0" w:hanging="0"/>
              <w:jc w:val="center"/>
              <w:rPr>
                <w:sz w:val="13"/>
              </w:rPr>
            </w:pPr>
            <w:r>
              <w:rPr>
                <w:sz w:val="13"/>
              </w:rPr>
              <w:t>7.00%</w:t>
            </w:r>
          </w:p>
        </w:tc>
        <w:tc>
          <w:tcPr>
            <w:tcW w:w="1115" w:type="dxa"/>
            <w:tcBorders/>
            <w:shd w:fill="CCEEFF" w:val="clear"/>
            <w:vAlign w:val="bottom"/>
          </w:tcPr>
          <w:p>
            <w:pPr>
              <w:pStyle w:val="TableContents"/>
              <w:spacing w:before="0" w:after="1"/>
              <w:ind w:left="0" w:right="0" w:hanging="0"/>
              <w:jc w:val="center"/>
              <w:rPr>
                <w:sz w:val="13"/>
              </w:rPr>
            </w:pPr>
            <w:r>
              <w:rPr>
                <w:sz w:val="13"/>
              </w:rPr>
              <w:t>January 31, 2012</w:t>
            </w:r>
          </w:p>
        </w:tc>
        <w:tc>
          <w:tcPr>
            <w:tcW w:w="95" w:type="dxa"/>
            <w:tcBorders/>
            <w:shd w:fill="CCEEFF" w:val="clear"/>
            <w:vAlign w:val="bottom"/>
          </w:tcPr>
          <w:p>
            <w:pPr>
              <w:pStyle w:val="TableContents"/>
              <w:spacing w:before="0" w:after="1"/>
              <w:ind w:left="0" w:right="0" w:hanging="0"/>
              <w:jc w:val="right"/>
              <w:rPr/>
            </w:pPr>
            <w:r>
              <w:rPr/>
              <w:t> </w:t>
            </w:r>
          </w:p>
        </w:tc>
        <w:tc>
          <w:tcPr>
            <w:tcW w:w="1130" w:type="dxa"/>
            <w:tcBorders/>
            <w:shd w:fill="CCEEFF" w:val="clear"/>
            <w:vAlign w:val="bottom"/>
          </w:tcPr>
          <w:p>
            <w:pPr>
              <w:pStyle w:val="TableContents"/>
              <w:spacing w:before="0" w:after="1"/>
              <w:ind w:left="0" w:right="0" w:hanging="0"/>
              <w:jc w:val="right"/>
              <w:rPr>
                <w:sz w:val="13"/>
              </w:rPr>
            </w:pPr>
            <w:r>
              <w:rPr>
                <w:sz w:val="13"/>
              </w:rPr>
              <w:t>--</w:t>
            </w:r>
          </w:p>
        </w:tc>
        <w:tc>
          <w:tcPr>
            <w:tcW w:w="95" w:type="dxa"/>
            <w:tcBorders/>
            <w:shd w:fill="CCEEFF" w:val="clear"/>
            <w:vAlign w:val="bottom"/>
          </w:tcPr>
          <w:p>
            <w:pPr>
              <w:pStyle w:val="TableContents"/>
              <w:spacing w:before="0" w:after="1"/>
              <w:ind w:left="0" w:right="0" w:hanging="0"/>
              <w:jc w:val="right"/>
              <w:rPr/>
            </w:pPr>
            <w:r>
              <w:rPr/>
              <w:t> </w:t>
            </w:r>
          </w:p>
        </w:tc>
        <w:tc>
          <w:tcPr>
            <w:tcW w:w="1145" w:type="dxa"/>
            <w:tcBorders/>
            <w:shd w:fill="CCEEFF" w:val="clear"/>
            <w:vAlign w:val="bottom"/>
          </w:tcPr>
          <w:p>
            <w:pPr>
              <w:pStyle w:val="TableContents"/>
              <w:spacing w:before="0" w:after="283"/>
              <w:jc w:val="right"/>
              <w:rPr>
                <w:sz w:val="13"/>
              </w:rPr>
            </w:pPr>
            <w:r>
              <w:rPr>
                <w:sz w:val="13"/>
              </w:rPr>
              <w:t xml:space="preserve">250  </w:t>
            </w:r>
          </w:p>
        </w:tc>
      </w:tr>
      <w:tr>
        <w:trPr/>
        <w:tc>
          <w:tcPr>
            <w:tcW w:w="2525" w:type="dxa"/>
            <w:tcBorders/>
            <w:shd w:fill="FFFFFF" w:val="clear"/>
            <w:vAlign w:val="bottom"/>
          </w:tcPr>
          <w:p>
            <w:pPr>
              <w:pStyle w:val="TableContents"/>
              <w:spacing w:before="0" w:after="1"/>
              <w:ind w:left="0" w:right="0" w:hanging="0"/>
              <w:jc w:val="both"/>
              <w:rPr>
                <w:sz w:val="13"/>
              </w:rPr>
            </w:pPr>
            <w:r>
              <w:rPr>
                <w:sz w:val="13"/>
              </w:rPr>
              <w:t>US Sutton Hill Capital Note – Related Party</w:t>
            </w:r>
          </w:p>
        </w:tc>
        <w:tc>
          <w:tcPr>
            <w:tcW w:w="1130" w:type="dxa"/>
            <w:tcBorders/>
            <w:shd w:fill="FFFFFF" w:val="clear"/>
            <w:vAlign w:val="bottom"/>
          </w:tcPr>
          <w:p>
            <w:pPr>
              <w:pStyle w:val="TableContents"/>
              <w:spacing w:before="0" w:after="1"/>
              <w:ind w:left="0" w:right="0" w:hanging="0"/>
              <w:jc w:val="center"/>
              <w:rPr>
                <w:sz w:val="13"/>
              </w:rPr>
            </w:pPr>
            <w:r>
              <w:rPr>
                <w:sz w:val="13"/>
              </w:rPr>
              <w:t>8.25%</w:t>
            </w:r>
          </w:p>
        </w:tc>
        <w:tc>
          <w:tcPr>
            <w:tcW w:w="1130" w:type="dxa"/>
            <w:tcBorders/>
            <w:shd w:fill="FFFFFF" w:val="clear"/>
            <w:vAlign w:val="bottom"/>
          </w:tcPr>
          <w:p>
            <w:pPr>
              <w:pStyle w:val="TableContents"/>
              <w:spacing w:before="0" w:after="1"/>
              <w:ind w:left="0" w:right="0" w:hanging="0"/>
              <w:jc w:val="center"/>
              <w:rPr>
                <w:sz w:val="13"/>
              </w:rPr>
            </w:pPr>
            <w:r>
              <w:rPr>
                <w:sz w:val="13"/>
              </w:rPr>
              <w:t>8.25%</w:t>
            </w:r>
          </w:p>
        </w:tc>
        <w:tc>
          <w:tcPr>
            <w:tcW w:w="1115" w:type="dxa"/>
            <w:tcBorders/>
            <w:shd w:fill="FFFFFF" w:val="clear"/>
            <w:vAlign w:val="bottom"/>
          </w:tcPr>
          <w:p>
            <w:pPr>
              <w:pStyle w:val="TableContents"/>
              <w:spacing w:before="0" w:after="1"/>
              <w:ind w:left="0" w:right="0" w:hanging="0"/>
              <w:jc w:val="center"/>
              <w:rPr>
                <w:sz w:val="13"/>
              </w:rPr>
            </w:pPr>
            <w:r>
              <w:rPr>
                <w:sz w:val="13"/>
              </w:rPr>
              <w:t>December 31, 2013</w:t>
            </w:r>
          </w:p>
        </w:tc>
        <w:tc>
          <w:tcPr>
            <w:tcW w:w="95" w:type="dxa"/>
            <w:tcBorders/>
            <w:shd w:fill="FFFFFF" w:val="clear"/>
            <w:vAlign w:val="bottom"/>
          </w:tcPr>
          <w:p>
            <w:pPr>
              <w:pStyle w:val="TableContents"/>
              <w:spacing w:before="0" w:after="1"/>
              <w:ind w:left="0" w:right="0" w:hanging="0"/>
              <w:jc w:val="right"/>
              <w:rPr/>
            </w:pPr>
            <w:r>
              <w:rPr/>
              <w:t> </w:t>
            </w:r>
          </w:p>
        </w:tc>
        <w:tc>
          <w:tcPr>
            <w:tcW w:w="1130" w:type="dxa"/>
            <w:tcBorders/>
            <w:shd w:fill="FFFFFF" w:val="clear"/>
            <w:vAlign w:val="bottom"/>
          </w:tcPr>
          <w:p>
            <w:pPr>
              <w:pStyle w:val="TableContents"/>
              <w:spacing w:before="0" w:after="283"/>
              <w:jc w:val="right"/>
              <w:rPr>
                <w:sz w:val="13"/>
              </w:rPr>
            </w:pPr>
            <w:r>
              <w:rPr>
                <w:sz w:val="13"/>
              </w:rPr>
              <w:t xml:space="preserve">9,000  </w:t>
            </w:r>
          </w:p>
        </w:tc>
        <w:tc>
          <w:tcPr>
            <w:tcW w:w="95" w:type="dxa"/>
            <w:tcBorders/>
            <w:shd w:fill="FFFFFF" w:val="clear"/>
            <w:vAlign w:val="bottom"/>
          </w:tcPr>
          <w:p>
            <w:pPr>
              <w:pStyle w:val="TableContents"/>
              <w:spacing w:before="0" w:after="1"/>
              <w:ind w:left="0" w:right="0" w:hanging="0"/>
              <w:jc w:val="right"/>
              <w:rPr/>
            </w:pPr>
            <w:r>
              <w:rPr/>
              <w:t> </w:t>
            </w:r>
          </w:p>
        </w:tc>
        <w:tc>
          <w:tcPr>
            <w:tcW w:w="1145" w:type="dxa"/>
            <w:tcBorders/>
            <w:shd w:fill="FFFFFF" w:val="clear"/>
            <w:vAlign w:val="bottom"/>
          </w:tcPr>
          <w:p>
            <w:pPr>
              <w:pStyle w:val="TableContents"/>
              <w:spacing w:before="0" w:after="283"/>
              <w:jc w:val="right"/>
              <w:rPr>
                <w:sz w:val="13"/>
              </w:rPr>
            </w:pPr>
            <w:r>
              <w:rPr>
                <w:sz w:val="13"/>
              </w:rPr>
              <w:t xml:space="preserve">9,000  </w:t>
            </w:r>
          </w:p>
        </w:tc>
      </w:tr>
      <w:tr>
        <w:trPr/>
        <w:tc>
          <w:tcPr>
            <w:tcW w:w="252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3"/>
              </w:rPr>
            </w:pPr>
            <w:r>
              <w:rPr>
                <w:sz w:val="13"/>
              </w:rPr>
              <w:t>US Union Square Theatre Term Loan</w:t>
            </w:r>
          </w:p>
        </w:tc>
        <w:tc>
          <w:tcPr>
            <w:tcW w:w="1130"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3"/>
              </w:rPr>
            </w:pPr>
            <w:r>
              <w:rPr>
                <w:sz w:val="13"/>
              </w:rPr>
              <w:t>5.92%</w:t>
            </w:r>
          </w:p>
        </w:tc>
        <w:tc>
          <w:tcPr>
            <w:tcW w:w="1130"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3"/>
              </w:rPr>
            </w:pPr>
            <w:r>
              <w:rPr>
                <w:sz w:val="13"/>
              </w:rPr>
              <w:t>5.92%</w:t>
            </w:r>
          </w:p>
        </w:tc>
        <w:tc>
          <w:tcPr>
            <w:tcW w:w="1115"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3"/>
              </w:rPr>
            </w:pPr>
            <w:r>
              <w:rPr>
                <w:sz w:val="13"/>
              </w:rPr>
              <w:t>May 1, 2015</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130"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6,950  </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145" w:type="dxa"/>
            <w:tcBorders>
              <w:bottom w:val="single" w:sz="8" w:space="0" w:color="000000"/>
            </w:tcBorders>
            <w:shd w:fill="CCEEFF" w:val="clear"/>
            <w:tcMar>
              <w:bottom w:w="28" w:type="dxa"/>
            </w:tcMar>
            <w:vAlign w:val="bottom"/>
          </w:tcPr>
          <w:p>
            <w:pPr>
              <w:pStyle w:val="TableContents"/>
              <w:spacing w:before="0" w:after="283"/>
              <w:jc w:val="right"/>
              <w:rPr>
                <w:sz w:val="13"/>
              </w:rPr>
            </w:pPr>
            <w:r>
              <w:rPr>
                <w:sz w:val="13"/>
              </w:rPr>
              <w:t xml:space="preserve">7,174  </w:t>
            </w:r>
          </w:p>
        </w:tc>
      </w:tr>
      <w:tr>
        <w:trPr/>
        <w:tc>
          <w:tcPr>
            <w:tcW w:w="252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3"/>
              </w:rPr>
            </w:pPr>
            <w:r>
              <w:rPr>
                <w:sz w:val="13"/>
              </w:rPr>
              <w:t>Total</w:t>
            </w:r>
          </w:p>
        </w:tc>
        <w:tc>
          <w:tcPr>
            <w:tcW w:w="11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11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11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3"/>
              </w:rPr>
            </w:pPr>
            <w:r>
              <w:rPr>
                <w:sz w:val="13"/>
              </w:rPr>
              <w:t>$</w:t>
            </w:r>
          </w:p>
        </w:tc>
        <w:tc>
          <w:tcPr>
            <w:tcW w:w="11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196,597  </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3"/>
              </w:rPr>
            </w:pPr>
            <w:r>
              <w:rPr>
                <w:sz w:val="13"/>
              </w:rPr>
              <w:t>$</w:t>
            </w:r>
          </w:p>
        </w:tc>
        <w:tc>
          <w:tcPr>
            <w:tcW w:w="114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3"/>
              </w:rPr>
            </w:pPr>
            <w:r>
              <w:rPr>
                <w:sz w:val="13"/>
              </w:rPr>
              <w:t xml:space="preserve">209,614 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i/>
          <w:sz w:val="17"/>
        </w:rPr>
        <w:t>Trust Preferred Securities</w:t>
      </w:r>
      <w:r>
        <w:rPr>
          <w:sz w:val="17"/>
        </w:rPr>
        <w:t xml:space="preserve"> </w:t>
      </w:r>
    </w:p>
    <w:p>
      <w:pPr>
        <w:pStyle w:val="TextBody"/>
        <w:spacing w:before="0" w:after="200"/>
        <w:ind w:left="1440" w:right="0" w:firstLine="720"/>
        <w:jc w:val="both"/>
        <w:rPr>
          <w:sz w:val="17"/>
        </w:rPr>
      </w:pPr>
      <w:r>
        <w:rPr>
          <w:sz w:val="17"/>
        </w:rPr>
        <w:t xml:space="preserve">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  Effective May 1, 2012, the interest rate on our Trust Preferred Securities changed from a fixed rate of 9.22%, which was in effect for the past five years, to a variable rate of three month LIBOR plus 4.00%, which will reset each quarter through the end of the loan unless we exercise our right to refix the rate at the current market rate at that time.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contractual obligation to pay $270,000 in December 2014.  </w:t>
      </w:r>
    </w:p>
    <w:p>
      <w:pPr>
        <w:pStyle w:val="TextBody"/>
        <w:spacing w:before="0" w:after="200"/>
        <w:ind w:left="1440" w:right="0" w:firstLine="720"/>
        <w:jc w:val="both"/>
        <w:rPr>
          <w:sz w:val="17"/>
        </w:rPr>
      </w:pPr>
      <w:r>
        <w:rPr>
          <w:sz w:val="17"/>
        </w:rPr>
        <w:t xml:space="preserve">The private placement generated $49.9 million in net proceeds, which were used principally to make our investment in the common trust securities of $1.5 million, to retire all of our bank indebtedness in New Zealand of $34.4 million (NZ$50.0 million) and to retire a portion of our bank indebtedness in Australia of $5.8 million (AUS$7.4 million).  During the years ended December 31, 2012, 2011, and  2010, we paid $1.9 million, $2.5 million, and $2.5 million, respectively, in preferred dividends to the unrelated investors that are included in interest expense.  At December 31, 2012 and 2011, we had preferred dividends payable of $198,000 and $416,000, respectively.  Interest payments for this loan are required every three months. </w:t>
      </w:r>
    </w:p>
    <w:p>
      <w:pPr>
        <w:pStyle w:val="TextBody"/>
        <w:spacing w:before="0" w:after="200"/>
        <w:ind w:left="1440" w:right="0" w:firstLine="720"/>
        <w:jc w:val="both"/>
        <w:rPr>
          <w:sz w:val="17"/>
        </w:rPr>
      </w:pPr>
      <w:r>
        <w:rPr>
          <w:sz w:val="17"/>
        </w:rPr>
        <w:t xml:space="preserve">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$10.7 million net of loss on the associated write-off of deferred loan costs of $749,000 and a reduction in our Investment in Reading International Trust I from $1.5 million to $838,000. </w:t>
      </w:r>
    </w:p>
    <w:p>
      <w:pPr>
        <w:pStyle w:val="TextBody"/>
        <w:spacing w:before="0" w:after="200"/>
        <w:ind w:left="1440" w:right="0" w:hanging="0"/>
        <w:jc w:val="both"/>
        <w:rPr>
          <w:sz w:val="17"/>
        </w:rPr>
      </w:pPr>
      <w:r>
        <w:rPr>
          <w:sz w:val="17"/>
          <w:u w:val="single"/>
        </w:rPr>
        <w:t>Australia</w:t>
      </w:r>
      <w:r>
        <w:rPr>
          <w:sz w:val="17"/>
        </w:rPr>
        <w:t xml:space="preserve"> </w:t>
      </w:r>
    </w:p>
    <w:p>
      <w:pPr>
        <w:pStyle w:val="TextBody"/>
        <w:spacing w:before="0" w:after="200"/>
        <w:ind w:left="1440" w:right="0" w:hanging="0"/>
        <w:jc w:val="both"/>
        <w:rPr>
          <w:sz w:val="17"/>
        </w:rPr>
      </w:pPr>
      <w:r>
        <w:rPr>
          <w:i/>
          <w:sz w:val="17"/>
        </w:rPr>
        <w:t>NAB Australian Corporate Term Loan</w:t>
      </w:r>
      <w:r>
        <w:rPr>
          <w:sz w:val="17"/>
        </w:rPr>
        <w:t xml:space="preserve"> </w:t>
      </w:r>
    </w:p>
    <w:p>
      <w:pPr>
        <w:pStyle w:val="TextBody"/>
        <w:spacing w:before="0" w:after="200"/>
        <w:ind w:left="1440" w:right="0" w:hanging="0"/>
        <w:jc w:val="both"/>
        <w:rPr/>
      </w:pPr>
      <w:r>
        <w:rPr/>
        <w:t>            </w:t>
      </w:r>
      <w:r>
        <w:rPr>
          <w:sz w:val="17"/>
        </w:rPr>
        <w:t xml:space="preserve">On June 24, 2011, we replaced our Australian Corporate Credit Facility of $115.8 million (AUS$110.0 million) with BOS International (“BOSI”) with a new credit facility from National Australia Bank (“NAB”) of $110.5 million (AUS$105.0 million).  NAB provided us term debt of $94.7 million (AUS$90.0 million) and $9.5 million (AUS$9.0 million) in line of credit which we used combined with our cash of $1.6 million (AUS$1.5 million) to pay off our $105.8 million (AUS$100.5 million) of outstanding BOSI debt.  </w:t>
      </w:r>
    </w:p>
    <w:p>
      <w:pPr>
        <w:pStyle w:val="TextBody"/>
        <w:spacing w:before="0" w:after="200"/>
        <w:ind w:left="1440" w:right="0" w:firstLine="720"/>
        <w:jc w:val="both"/>
        <w:rPr>
          <w:sz w:val="17"/>
        </w:rPr>
      </w:pPr>
      <w:r>
        <w:rPr>
          <w:sz w:val="17"/>
        </w:rPr>
        <w:t xml:space="preserve">The new three-tiered credit facility from NAB (the “NAB Credit Facility”) has a term of three years, due and payable June 30, 2014, and comprised of a term loan with a December 31, 2012 balance of $75.3 million (AUS$72.5 million); a $10.4 million (AUS$10.0 million) revolving facility for which we do not have a balance at December 31, 2012; and a $5.2 million (AUS$5.0 million) guarantee facility.  This loan to Reading Entertainment Australia commenced on June 24, 2011 with an interest rate of between 2.90% and 2.15% above the BBSY bid rate.  This credit facility is secured by substantially all of our cinema assets in Australia and is only guaranteed by several of our wholly owned Australian subsidiaries.  The NAB Credit Facility requires annual principal payments of between $7.3 million (AUS$7.0 million) and $9.4 million (AUS$9.0 million) which we anticipate will be paid from Reading Entertainment Australia operating cash flows.  The covenants of the NAB Credit Facility include a fixed charge coverage ratio, a debt service cover ratio, an operating leverage ratio, a loan to value ratio, and other financial covenants.  Additionally, the NAB Credit Facility allows us to transfer only $4.2 million (AUS$4.0 million) per year outside of Australia.  On August 2, 2011, we paid down our NAB revolver by $9.7 million (AUS$9.0 million) resulting in a zero balance on that date.  In December 2012, as part of the sale of our Indooroopilly property, we paid down $6.3 million (AUS$6.0 million) on our NAB term loan. </w:t>
      </w:r>
    </w:p>
    <w:p>
      <w:pPr>
        <w:pStyle w:val="TextBody"/>
        <w:spacing w:before="0" w:after="200"/>
        <w:ind w:left="1440" w:right="0" w:hanging="0"/>
        <w:jc w:val="both"/>
        <w:rPr/>
      </w:pPr>
      <w:r>
        <w:rPr/>
        <w:t>            </w:t>
      </w:r>
      <w:r>
        <w:rPr>
          <w:sz w:val="17"/>
        </w:rPr>
        <w:t xml:space="preserve">In conjunction with this NAB Credit Facility, we entered into a five-year interest swap agreement which swaps over 100% of our $75.3 million (AUS$72.5 million) variable rate term loan (decreasing in line with scheduled principal repayments) based on BBSY, for a 5.50% fixed rate.  For further information regarding our swap agreements, see Note 13 – </w:t>
      </w:r>
      <w:r>
        <w:rPr>
          <w:i/>
          <w:sz w:val="17"/>
        </w:rPr>
        <w:t>Derivative Instruments</w:t>
      </w:r>
      <w:r>
        <w:rPr>
          <w:sz w:val="17"/>
        </w:rPr>
        <w:t xml:space="preserve">. </w:t>
      </w:r>
    </w:p>
    <w:p>
      <w:pPr>
        <w:pStyle w:val="TextBody"/>
        <w:spacing w:before="0" w:after="200"/>
        <w:ind w:left="1440" w:right="0" w:hanging="0"/>
        <w:jc w:val="both"/>
        <w:rPr>
          <w:sz w:val="17"/>
        </w:rPr>
      </w:pPr>
      <w:r>
        <w:rPr>
          <w:i/>
          <w:sz w:val="17"/>
        </w:rPr>
        <w:t>Australian Shopping Center Loans</w:t>
      </w:r>
      <w:r>
        <w:rPr>
          <w:sz w:val="17"/>
        </w:rPr>
        <w:t xml:space="preserve"> </w:t>
      </w:r>
    </w:p>
    <w:p>
      <w:pPr>
        <w:pStyle w:val="TextBody"/>
        <w:spacing w:before="0" w:after="200"/>
        <w:ind w:left="1440" w:right="0" w:firstLine="720"/>
        <w:jc w:val="both"/>
        <w:rPr>
          <w:sz w:val="17"/>
        </w:rPr>
      </w:pPr>
      <w:r>
        <w:rPr>
          <w:sz w:val="17"/>
        </w:rPr>
        <w:t xml:space="preserve">In July 2004, as part of the acquisition of the Anderson Cinema Circuit, we assumed the three loans on the Epping, Rhodes, and West Lakes properties.  The total amount assumed on the transaction date was $1.5 million (AUS$2.1 million) and the loans carry no interest as long as we make timely principal payments of approximately $182,000 (AUS$175,000) per year.  Early repayment is possible without penalty.  The only recourse on default of these loans is the security on the properties.  During 2009 and 2010, we were in dispute with the landlord.  During 2010, we resolved the dispute and paid $51,000 (AUS$51,000) in principal payments on this loan.  During 2011 and 2012, we paid $256,000 (AUS$250,000) and $182,000 (AUS$175,000), respectively, in principal payments on this loan. </w:t>
      </w:r>
    </w:p>
    <w:p>
      <w:pPr>
        <w:pStyle w:val="TextBody"/>
        <w:spacing w:before="0" w:after="200"/>
        <w:ind w:left="1440" w:right="0" w:hanging="0"/>
        <w:jc w:val="both"/>
        <w:rPr>
          <w:sz w:val="17"/>
        </w:rPr>
      </w:pPr>
      <w:r>
        <w:rPr>
          <w:sz w:val="17"/>
          <w:u w:val="single"/>
        </w:rPr>
        <w:t>New Zealand</w:t>
      </w:r>
      <w:r>
        <w:rPr>
          <w:sz w:val="17"/>
        </w:rPr>
        <w:t xml:space="preserve"> </w:t>
      </w:r>
    </w:p>
    <w:p>
      <w:pPr>
        <w:pStyle w:val="TextBody"/>
        <w:spacing w:before="0" w:after="200"/>
        <w:ind w:left="1440" w:right="0" w:hanging="0"/>
        <w:jc w:val="both"/>
        <w:rPr>
          <w:sz w:val="17"/>
        </w:rPr>
      </w:pPr>
      <w:r>
        <w:rPr>
          <w:i/>
          <w:sz w:val="17"/>
        </w:rPr>
        <w:t>New Zealand Corporate Credit Facility</w:t>
      </w:r>
      <w:r>
        <w:rPr>
          <w:sz w:val="17"/>
        </w:rPr>
        <w:t xml:space="preserve"> </w:t>
      </w:r>
    </w:p>
    <w:p>
      <w:pPr>
        <w:pStyle w:val="TextBody"/>
        <w:spacing w:before="0" w:after="200"/>
        <w:ind w:left="1440" w:right="0" w:firstLine="720"/>
        <w:jc w:val="both"/>
        <w:rPr>
          <w:sz w:val="17"/>
        </w:rPr>
      </w:pPr>
      <w:r>
        <w:rPr>
          <w:sz w:val="17"/>
        </w:rPr>
        <w:t xml:space="preserve">On February 8, 2012, we received an approved amendment from Westpac renewing our existing $36.9 million (NZ$45.0 million) New Zealand credit facility with a 3-year credit facility.  The renewed facility calls for a decrease in the overall facility by $4.1 million ($5.0 million) to $32.8 million (NZ$40.0 million), an increase in the facility margin of 0.55% to 2.00%, and the line of credit charge increase from 0.30% to 0.40%.  The facility is secured by substantially all of our New Zealand assets, but has not been guaranteed by any entity other than several of our New Zealand subsidiaries.  The facility includes various affirmative and negative financial covenants designed to protect the bank’s security regarding capital expenditures and the repatriation of funds out of New Zealand.  Also included in the restrictive covenants of the facility is the restriction of transferring funds from subsidiary to parent.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u w:val="single"/>
        </w:rPr>
        <w:t>US</w:t>
      </w:r>
      <w:r>
        <w:rPr>
          <w:sz w:val="17"/>
        </w:rPr>
        <w:t xml:space="preserve"> </w:t>
      </w:r>
    </w:p>
    <w:p>
      <w:pPr>
        <w:pStyle w:val="TextBody"/>
        <w:spacing w:before="0" w:after="200"/>
        <w:ind w:left="1440" w:right="0" w:hanging="0"/>
        <w:jc w:val="both"/>
        <w:rPr>
          <w:sz w:val="17"/>
        </w:rPr>
      </w:pPr>
      <w:r>
        <w:rPr>
          <w:i/>
          <w:sz w:val="17"/>
        </w:rPr>
        <w:t>Bank of America Revolver</w:t>
      </w:r>
      <w:r>
        <w:rPr>
          <w:sz w:val="17"/>
        </w:rPr>
        <w:t xml:space="preserve"> </w:t>
      </w:r>
    </w:p>
    <w:p>
      <w:pPr>
        <w:pStyle w:val="TextBody"/>
        <w:spacing w:before="0" w:after="200"/>
        <w:ind w:left="1440" w:right="0" w:hanging="0"/>
        <w:jc w:val="both"/>
        <w:rPr/>
      </w:pPr>
      <w:r>
        <w:rPr/>
        <w:t>            </w:t>
      </w:r>
      <w:r>
        <w:rPr>
          <w:sz w:val="17"/>
        </w:rPr>
        <w:t xml:space="preserve">On October 31, 2012, we replaced our GE Capital Term Loan of $27.7 million with a new credit facility from Bank of America (the “BofA Revolver”) of $30.0 million with an interest rate of between 2.50% and 3.00% above LIBOR and an expiration date of October 31, 2017.  Although the BofA Revolver does not require a fixed interest swap agreement, we will continue to use our existing fixed interest rate swap of $29.1 million until its term date of December 31, 2013, see Note 13 – </w:t>
      </w:r>
      <w:r>
        <w:rPr>
          <w:i/>
          <w:sz w:val="17"/>
        </w:rPr>
        <w:t>Derivative Instruments</w:t>
      </w:r>
      <w:r>
        <w:rPr>
          <w:sz w:val="17"/>
        </w:rPr>
        <w:t xml:space="preserve">. The BofA Revolver requires borrowing limit reductions of $3.0 million per year with a balloon payment of $18.0 million at the expiration date. The BofA Revolver contains other customary terms and conditions, including representations and warranties, affirmative and negative covenants, events of default and indemnity provisions.  The most restrictive covenant of the facility requires that we must maintain a fixed charge coverage ratio at a certain level. </w:t>
      </w:r>
    </w:p>
    <w:p>
      <w:pPr>
        <w:pStyle w:val="TextBody"/>
        <w:spacing w:before="0" w:after="200"/>
        <w:ind w:left="1440" w:right="0" w:hanging="0"/>
        <w:jc w:val="both"/>
        <w:rPr/>
      </w:pPr>
      <w:r>
        <w:rPr/>
        <w:t>            </w:t>
      </w:r>
      <w:r>
        <w:rPr>
          <w:sz w:val="17"/>
        </w:rPr>
        <w:t xml:space="preserve">As part of the negotiations of the BofA Revolver, we entered into a master operating equipment lease financing agreement with Banc of America Leasing &amp; Capital, LLC to finance the acquisition of up to $15.5 million in digital projection equipment for our U.S. cinema operations.  See Note 19 - </w:t>
      </w:r>
      <w:r>
        <w:rPr>
          <w:i/>
          <w:sz w:val="17"/>
        </w:rPr>
        <w:t>Commitments and Contingencies</w:t>
      </w:r>
      <w:r>
        <w:rPr>
          <w:sz w:val="17"/>
        </w:rPr>
        <w:t xml:space="preserve">. </w:t>
      </w:r>
    </w:p>
    <w:p>
      <w:pPr>
        <w:pStyle w:val="TextBody"/>
        <w:spacing w:lineRule="auto" w:line="240" w:before="0" w:after="0"/>
        <w:ind w:left="1440" w:right="0" w:hanging="0"/>
        <w:jc w:val="both"/>
        <w:rPr/>
      </w:pPr>
      <w:r>
        <w:rPr/>
        <w:t xml:space="preserve">  </w:t>
      </w:r>
    </w:p>
    <w:p>
      <w:pPr>
        <w:pStyle w:val="TextBody"/>
        <w:spacing w:before="0" w:after="200"/>
        <w:ind w:left="1440" w:right="0" w:hanging="0"/>
        <w:jc w:val="both"/>
        <w:rPr>
          <w:sz w:val="17"/>
        </w:rPr>
      </w:pPr>
      <w:r>
        <w:rPr>
          <w:i/>
          <w:sz w:val="17"/>
        </w:rPr>
        <w:t>Bank of America Line of Credit</w:t>
      </w:r>
      <w:r>
        <w:rPr>
          <w:sz w:val="17"/>
        </w:rPr>
        <w:t xml:space="preserve"> </w:t>
      </w:r>
    </w:p>
    <w:p>
      <w:pPr>
        <w:pStyle w:val="TextBody"/>
        <w:spacing w:before="0" w:after="200"/>
        <w:ind w:left="1440" w:right="0" w:hanging="0"/>
        <w:jc w:val="both"/>
        <w:rPr/>
      </w:pPr>
      <w:r>
        <w:rPr/>
        <w:t>            </w:t>
      </w:r>
      <w:r>
        <w:rPr>
          <w:sz w:val="17"/>
        </w:rPr>
        <w:t xml:space="preserve">On October 31, 2012, Bank of America renewed and increased our existing $3.0 million line of credit to $5.0 million.  </w:t>
      </w:r>
      <w:bookmarkStart w:id="4" w:name="OLE_LINK1"/>
      <w:bookmarkEnd w:id="4"/>
      <w:r>
        <w:rPr>
          <w:sz w:val="17"/>
        </w:rPr>
        <w:t xml:space="preserve">The LOC carries an interest rate equal to BBA LIBOR floating plus a 3.50% margin and an unused line fee of 0.03%.  The agreement is in effect till October 31, 2017 and is potentially renewable at that date.  The undrawn balance of this LOC is $3.0 million at December 31, 2012. </w:t>
      </w:r>
    </w:p>
    <w:p>
      <w:pPr>
        <w:pStyle w:val="TextBody"/>
        <w:spacing w:before="0" w:after="200"/>
        <w:ind w:left="1440" w:right="0" w:hanging="0"/>
        <w:jc w:val="both"/>
        <w:rPr>
          <w:sz w:val="17"/>
        </w:rPr>
      </w:pPr>
      <w:r>
        <w:rPr>
          <w:i/>
          <w:sz w:val="17"/>
        </w:rPr>
        <w:t>Cinemas 1, 2, 3 Term Loan</w:t>
      </w:r>
      <w:r>
        <w:rPr>
          <w:sz w:val="17"/>
        </w:rPr>
        <w:t xml:space="preserve"> </w:t>
      </w:r>
    </w:p>
    <w:p>
      <w:pPr>
        <w:pStyle w:val="TextBody"/>
        <w:spacing w:before="0" w:after="200"/>
        <w:ind w:left="1440" w:right="0" w:hanging="0"/>
        <w:jc w:val="both"/>
        <w:rPr/>
      </w:pPr>
      <w:r>
        <w:rPr/>
        <w:t>            </w:t>
      </w:r>
      <w:r>
        <w:rPr>
          <w:sz w:val="17"/>
        </w:rPr>
        <w:t xml:space="preserve">On June 28, 2012, Sutton Hill Properties LLC (“SHP”), one of our consolidated subsidiaries, paid off its Eurohypo AG, New York Branch loan with a new $15.0 million term loan (the “Sovereign Bank Loan”) from Sovereign Bank, N.A.  The Sovereign Bank Loan has a one-year term ending on June 27, 2013, with a one year extension option to June 26, 2014 subject to an extension fee equal to 1.00% of the ending principal balance and a compliance requirement with certain special covenants.  As we currently intend to exercise this option, we have classified this loan as long-term.  The terms of the loan require interest only payments at LIBOR plus a 5.00% margin to be calculated and paid monthly.  This loan is secured by SHP’s interest in the Cinemas 1, 2, &amp; 3 land and building.  Covenants include maintaining a loan to value ratio of at least 50% of fair market value and an 11% debt yield (with a numerator of the cash available for debt service and a denominator of the outstanding principal balance of the loan). The Sovereign Bank Loan is further secured by a guaranty provided by Reading International, Inc. and by its noncontrolling interest member, Sutton Hill Capital, LLC. </w:t>
      </w:r>
    </w:p>
    <w:p>
      <w:pPr>
        <w:pStyle w:val="TextBody"/>
        <w:spacing w:before="0" w:after="200"/>
        <w:ind w:left="1440" w:right="0" w:hanging="0"/>
        <w:jc w:val="both"/>
        <w:rPr>
          <w:sz w:val="17"/>
        </w:rPr>
      </w:pPr>
      <w:r>
        <w:rPr>
          <w:i/>
          <w:sz w:val="17"/>
        </w:rPr>
        <w:t>Liberty Theaters Term Loan</w:t>
      </w:r>
      <w:r>
        <w:rPr>
          <w:sz w:val="17"/>
        </w:rPr>
        <w:t xml:space="preserve"> </w:t>
      </w:r>
    </w:p>
    <w:p>
      <w:pPr>
        <w:pStyle w:val="TextBody"/>
        <w:spacing w:before="0" w:after="200"/>
        <w:ind w:left="1440" w:right="0" w:firstLine="720"/>
        <w:jc w:val="both"/>
        <w:rPr>
          <w:sz w:val="17"/>
        </w:rPr>
      </w:pPr>
      <w:r>
        <w:rPr>
          <w:sz w:val="17"/>
        </w:rPr>
        <w:t xml:space="preserve">On March 17, 2008, we entered into a $7.1 million loan agreement with a financial institution, secured by our Royal George Theatre in Chicago, Illinois and our Minetta Lane Theatre and Orpheum Theatre in New York.  The loan has a 5-year term loan that accrues a 6.20% interest rate payable monthly in arrears.  We incurred deferred financing costs of $527,000 related to our borrowings of this loan.  The loan agreement requires only monthly principal and interest payments along with self-reported annual financial statements. As this loan is due to mature on April 1, 2013, the December 31, 2012 outstanding balance of this debt of $6.4 million is classified as current on our balance sheet.  We intend to refinance the property’s debt. </w:t>
      </w:r>
    </w:p>
    <w:p>
      <w:pPr>
        <w:pStyle w:val="TextBody"/>
        <w:spacing w:before="0" w:after="200"/>
        <w:ind w:left="1440" w:right="0" w:hanging="0"/>
        <w:jc w:val="both"/>
        <w:rPr>
          <w:sz w:val="17"/>
        </w:rPr>
      </w:pPr>
      <w:r>
        <w:rPr>
          <w:i/>
          <w:sz w:val="17"/>
        </w:rPr>
        <w:t>US Nationwide Loan 1</w:t>
      </w:r>
      <w:r>
        <w:rPr>
          <w:sz w:val="17"/>
        </w:rPr>
        <w:t xml:space="preserve"> </w:t>
      </w:r>
    </w:p>
    <w:p>
      <w:pPr>
        <w:pStyle w:val="TextBody"/>
        <w:spacing w:before="0" w:after="200"/>
        <w:ind w:left="1440" w:right="0" w:hanging="0"/>
        <w:jc w:val="both"/>
        <w:rPr/>
      </w:pPr>
      <w:r>
        <w:rPr/>
        <w:t>            </w:t>
      </w:r>
      <w:r>
        <w:rPr>
          <w:sz w:val="17"/>
        </w:rPr>
        <w:t xml:space="preserve">On February 22, 2008, we acquired 15 motion picture theaters and theater-related assets from Pacific Theatres Exhibition Corp. and its affiliates (collectively, the “Sellers”) for $70.2 million a transaction referred to as the “Pacific Theaters Acquisition.”  The Seller’s affiliate, Nationwide Theatres Corp (“Nationwide”), provided $21.0 million of acquisition financing evidenced by a five-year promissory note (the “Nationwide Note 1”) of Reading Consolidated Holdings, Inc., our wholly owned subsidiary (“RCHI”), maturing on February 21, 2013.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The Nationwide Note 1 bears interest (i) as to $4.5 million of principal at the annual rates of 7.50% for the first three years and 8.50% thereafter and (ii) as to $13.0 million of principal at the annual rates of 6.50% through July 31, 2009 and 8.50% thereafter.  Accrued interest is due and payable on February 21, 2011 and thereafter on the last day of each calendar quarter, commencing on June 30, 2011.  The entire principal amount is due and payable upon maturity, subject to our right to prepay at any time without premium or penalty and to the requirement that, under certain circumstances, we make mandatory prepayments equal to a portion of free cash flow generated by the acquired theaters.  The loan is recourse only to RCHI and its assets, which include all of the Hawaii theaters and certain of the California theaters acquired from the Sellers and our Manville and Dallas Angelika Theaters.  </w:t>
      </w:r>
    </w:p>
    <w:p>
      <w:pPr>
        <w:pStyle w:val="TextBody"/>
        <w:spacing w:before="0" w:after="200"/>
        <w:ind w:left="1440" w:right="0" w:firstLine="720"/>
        <w:jc w:val="both"/>
        <w:rPr>
          <w:sz w:val="17"/>
        </w:rPr>
      </w:pPr>
      <w:r>
        <w:rPr>
          <w:sz w:val="17"/>
        </w:rPr>
        <w:t xml:space="preserve">The Nationwide Note 1 was subject to certain purchase price related adjustments.  Through December 31, 2012, these adjustments have resulted in a net reduction in principal of $20.4 million comprised of a reduction in the amount of $6.3 million in 2008, a further reduction of $226,000 during the first quarter of 2009, an additional advance of $3.0 million in 2009 (such advance was used to pay down a portion of the GE Capital Term Loan discussed above), a $4.4 million reduction during the first quarter of 2010 in which Nationwide Theaters Corp. and Reading agreed to reduce the seller’s note, and finally a $12.5 million reduction in September 2010.  As a result of these reductions, the principal balance of the notes at December 31, 2012 was $593,000. </w:t>
      </w:r>
    </w:p>
    <w:p>
      <w:pPr>
        <w:pStyle w:val="TextBody"/>
        <w:spacing w:before="0" w:after="200"/>
        <w:ind w:left="1440" w:right="0" w:hanging="0"/>
        <w:jc w:val="both"/>
        <w:rPr>
          <w:sz w:val="17"/>
        </w:rPr>
      </w:pPr>
      <w:r>
        <w:rPr>
          <w:i/>
          <w:sz w:val="17"/>
        </w:rPr>
        <w:t>Sutton Hill Capital Notes 1 &amp; 2</w:t>
      </w:r>
      <w:r>
        <w:rPr>
          <w:sz w:val="17"/>
        </w:rPr>
        <w:t xml:space="preserve"> </w:t>
      </w:r>
    </w:p>
    <w:p>
      <w:pPr>
        <w:pStyle w:val="TextBody"/>
        <w:spacing w:before="0" w:after="200"/>
        <w:ind w:left="1440" w:right="0" w:hanging="0"/>
        <w:jc w:val="both"/>
        <w:rPr/>
      </w:pPr>
      <w:r>
        <w:rPr/>
        <w:t>            </w:t>
      </w:r>
      <w:r>
        <w:rPr>
          <w:sz w:val="17"/>
        </w:rPr>
        <w:t xml:space="preserve">As part of the negotiation of the Village East Lease (see Note 25 – </w:t>
      </w:r>
      <w:r>
        <w:rPr>
          <w:i/>
          <w:sz w:val="17"/>
        </w:rPr>
        <w:t>Related Parties and Transactions</w:t>
      </w:r>
      <w:r>
        <w:rPr>
          <w:sz w:val="17"/>
        </w:rPr>
        <w:t xml:space="preserve">), we paid off the Sutton Hill Capital (“SHC”) Note 1 of $5.0 million on June 30, 2010 and renegotiated the SHC Note 2 for $9.0 million.  Under the new terms of the SHC Note 2, the loan has a variable annual rate equal to a Five-Year Constant Maturity United States Treasury Note rate plus a 5.75% margin, subject to a minimum rate of 8.25% and a maximum rate of 10% and the note matures on December 31, 2013.  No interim principal payments are required and the balance of the note is payable upon maturity.  No other covenants are required for this loan.  This loan is unsecured. </w:t>
      </w:r>
    </w:p>
    <w:p>
      <w:pPr>
        <w:pStyle w:val="TextBody"/>
        <w:spacing w:before="0" w:after="200"/>
        <w:ind w:left="1440" w:right="0" w:hanging="0"/>
        <w:jc w:val="both"/>
        <w:rPr>
          <w:sz w:val="17"/>
        </w:rPr>
      </w:pPr>
      <w:r>
        <w:rPr>
          <w:i/>
          <w:sz w:val="17"/>
        </w:rPr>
        <w:t>Union Square Theatre Term Loan</w:t>
      </w:r>
      <w:r>
        <w:rPr>
          <w:sz w:val="17"/>
        </w:rPr>
        <w:t xml:space="preserve"> </w:t>
      </w:r>
    </w:p>
    <w:p>
      <w:pPr>
        <w:pStyle w:val="TextBody"/>
        <w:spacing w:before="0" w:after="200"/>
        <w:ind w:left="1440" w:right="0" w:firstLine="720"/>
        <w:jc w:val="both"/>
        <w:rPr>
          <w:sz w:val="17"/>
        </w:rPr>
      </w:pPr>
      <w:r>
        <w:rPr>
          <w:sz w:val="17"/>
        </w:rPr>
        <w:t xml:space="preserve">On April 30, 2010, we refinanced the loan secured by our Union Square property with another lender.  The new loan for $7.5 million has a five-year term with a fixed interest rate of 5.92% per annum and an amortization payment schedule of 20 years with a balloon payment of approximately $6.4 million at the end of the loan term.  </w:t>
      </w:r>
    </w:p>
    <w:p>
      <w:pPr>
        <w:pStyle w:val="TextBody"/>
        <w:spacing w:before="0" w:after="200"/>
        <w:ind w:left="1440" w:right="0" w:hanging="0"/>
        <w:jc w:val="both"/>
        <w:rPr>
          <w:sz w:val="17"/>
        </w:rPr>
      </w:pPr>
      <w:r>
        <w:rPr>
          <w:i/>
          <w:sz w:val="17"/>
        </w:rPr>
        <w:t>US Nationwide Loan 2</w:t>
      </w:r>
      <w:r>
        <w:rPr>
          <w:sz w:val="17"/>
        </w:rPr>
        <w:t xml:space="preserve"> </w:t>
      </w:r>
    </w:p>
    <w:p>
      <w:pPr>
        <w:pStyle w:val="TextBody"/>
        <w:spacing w:before="0" w:after="200"/>
        <w:ind w:left="1440" w:right="0" w:firstLine="720"/>
        <w:jc w:val="both"/>
        <w:rPr>
          <w:sz w:val="17"/>
        </w:rPr>
      </w:pPr>
      <w:r>
        <w:rPr>
          <w:sz w:val="17"/>
        </w:rPr>
        <w:t xml:space="preserve">In connection with the Pacific Theaters Acquisition, the Sellers also committed to loan to RDI up to $3.0 million in two draws of $1.5 million each, one of which was drawn on July 21, 2008 and the other of which may have been drawn on or before July 31, 2009.  During 2010, as part of the $4.4 million note reduction of the US Nationwide Loan 1, we waived our right to draw on the second $1.5 million.  The existing $1.5 million loan bore an interest rate of 8.50%, compounded annually.  The loan and accrued interest were due and payable, in full, on February 21, 2011, subject to our right to prepay the loan without premium or penalty.  Pursuant to the terms of this note, we paid off this loan of $1.5 million with its $359,000 of accrued interest on February 21, 2011. </w:t>
      </w:r>
    </w:p>
    <w:p>
      <w:pPr>
        <w:pStyle w:val="TextBody"/>
        <w:spacing w:before="0" w:after="200"/>
        <w:ind w:left="1440" w:right="0" w:hanging="0"/>
        <w:jc w:val="both"/>
        <w:rPr>
          <w:sz w:val="17"/>
        </w:rPr>
      </w:pPr>
      <w:r>
        <w:rPr>
          <w:sz w:val="17"/>
          <w:u w:val="single"/>
        </w:rPr>
        <w:t>Summary of Notes Payable</w:t>
      </w:r>
      <w:r>
        <w:rPr>
          <w:sz w:val="17"/>
        </w:rPr>
        <w:t xml:space="preserve"> </w:t>
      </w:r>
    </w:p>
    <w:p>
      <w:pPr>
        <w:pStyle w:val="TextBody"/>
        <w:spacing w:before="0" w:after="200"/>
        <w:ind w:left="1440" w:right="0" w:hanging="0"/>
        <w:jc w:val="both"/>
        <w:rPr/>
      </w:pPr>
      <w:r>
        <w:rPr/>
        <w:t>            </w:t>
      </w:r>
      <w:r>
        <w:rPr>
          <w:sz w:val="17"/>
        </w:rPr>
        <w:t xml:space="preserve">Our aggregate future principal loan payments are as follows (dollars in thousands): </w:t>
      </w:r>
    </w:p>
    <w:p>
      <w:pPr>
        <w:pStyle w:val="TextBody"/>
        <w:spacing w:before="0" w:after="0"/>
        <w:ind w:left="1440" w:right="0" w:hanging="0"/>
        <w:jc w:val="both"/>
        <w:rPr/>
      </w:pPr>
      <w:r>
        <w:rPr/>
        <w:t xml:space="preserve">  </w:t>
      </w:r>
    </w:p>
    <w:tbl>
      <w:tblPr>
        <w:tblW w:w="3510" w:type="dxa"/>
        <w:jc w:val="left"/>
        <w:tblInd w:w="1440" w:type="dxa"/>
        <w:tblCellMar>
          <w:top w:w="0" w:type="dxa"/>
          <w:left w:w="0" w:type="dxa"/>
          <w:bottom w:w="0" w:type="dxa"/>
          <w:right w:w="0" w:type="dxa"/>
        </w:tblCellMar>
      </w:tblPr>
      <w:tblGrid>
        <w:gridCol w:w="75"/>
        <w:gridCol w:w="2555"/>
        <w:gridCol w:w="110"/>
        <w:gridCol w:w="695"/>
        <w:gridCol w:w="75"/>
      </w:tblGrid>
      <w:tr>
        <w:trPr/>
        <w:tc>
          <w:tcPr>
            <w:tcW w:w="75" w:type="dxa"/>
            <w:tcBorders/>
            <w:shd w:fill="auto" w:val="clear"/>
            <w:vAlign w:val="bottom"/>
          </w:tcPr>
          <w:p>
            <w:pPr>
              <w:pStyle w:val="TableContents"/>
              <w:spacing w:before="0" w:after="1"/>
              <w:ind w:left="0" w:right="0" w:hanging="0"/>
              <w:jc w:val="both"/>
              <w:rPr/>
            </w:pPr>
            <w:r>
              <w:rPr/>
              <w:t> </w:t>
            </w:r>
          </w:p>
        </w:tc>
        <w:tc>
          <w:tcPr>
            <w:tcW w:w="25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25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255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 xml:space="preserve">Year Ending December 31,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center"/>
              <w:rPr/>
            </w:pPr>
            <w:r>
              <w:rPr/>
              <w:t> </w:t>
            </w:r>
          </w:p>
        </w:tc>
      </w:tr>
      <w:tr>
        <w:trPr/>
        <w:tc>
          <w:tcPr>
            <w:tcW w:w="75" w:type="dxa"/>
            <w:tcBorders/>
            <w:shd w:fill="CCEEFF" w:val="clear"/>
            <w:vAlign w:val="bottom"/>
          </w:tcPr>
          <w:p>
            <w:pPr>
              <w:pStyle w:val="TableContents"/>
              <w:spacing w:before="0" w:after="1"/>
              <w:ind w:left="120" w:right="0" w:hanging="0"/>
              <w:jc w:val="both"/>
              <w:rPr/>
            </w:pPr>
            <w:r>
              <w:rPr/>
              <w:t> </w:t>
            </w:r>
          </w:p>
        </w:tc>
        <w:tc>
          <w:tcPr>
            <w:tcW w:w="2555" w:type="dxa"/>
            <w:tcBorders>
              <w:top w:val="single" w:sz="8" w:space="0" w:color="000000"/>
            </w:tcBorders>
            <w:shd w:fill="CCEEFF" w:val="clear"/>
            <w:tcMar>
              <w:top w:w="28" w:type="dxa"/>
            </w:tcMar>
            <w:vAlign w:val="bottom"/>
          </w:tcPr>
          <w:p>
            <w:pPr>
              <w:pStyle w:val="TableContents"/>
              <w:spacing w:before="0" w:after="1"/>
              <w:ind w:left="120" w:right="0" w:hanging="0"/>
              <w:jc w:val="both"/>
              <w:rPr>
                <w:sz w:val="17"/>
              </w:rPr>
            </w:pPr>
            <w:r>
              <w:rPr>
                <w:sz w:val="17"/>
              </w:rPr>
              <w:t>2013</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28,714 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120" w:right="0" w:hanging="0"/>
              <w:jc w:val="both"/>
              <w:rPr/>
            </w:pPr>
            <w:r>
              <w:rPr/>
              <w:t> </w:t>
            </w:r>
          </w:p>
        </w:tc>
        <w:tc>
          <w:tcPr>
            <w:tcW w:w="2555" w:type="dxa"/>
            <w:tcBorders/>
            <w:shd w:fill="FFFFFF" w:val="clear"/>
            <w:vAlign w:val="bottom"/>
          </w:tcPr>
          <w:p>
            <w:pPr>
              <w:pStyle w:val="TableContents"/>
              <w:spacing w:before="0" w:after="1"/>
              <w:ind w:left="120" w:right="0" w:hanging="0"/>
              <w:jc w:val="both"/>
              <w:rPr>
                <w:sz w:val="17"/>
              </w:rPr>
            </w:pPr>
            <w:r>
              <w:rPr>
                <w:sz w:val="17"/>
              </w:rPr>
              <w:t>2014</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86,357 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120" w:right="0" w:hanging="0"/>
              <w:jc w:val="both"/>
              <w:rPr/>
            </w:pPr>
            <w:r>
              <w:rPr/>
              <w:t> </w:t>
            </w:r>
          </w:p>
        </w:tc>
        <w:tc>
          <w:tcPr>
            <w:tcW w:w="2555" w:type="dxa"/>
            <w:tcBorders/>
            <w:shd w:fill="CCEEFF" w:val="clear"/>
            <w:vAlign w:val="bottom"/>
          </w:tcPr>
          <w:p>
            <w:pPr>
              <w:pStyle w:val="TableContents"/>
              <w:spacing w:before="0" w:after="1"/>
              <w:ind w:left="120" w:right="0" w:hanging="0"/>
              <w:jc w:val="both"/>
              <w:rPr>
                <w:sz w:val="17"/>
              </w:rPr>
            </w:pPr>
            <w:r>
              <w:rPr>
                <w:sz w:val="17"/>
              </w:rPr>
              <w:t>2015</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32,613 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120" w:right="0" w:hanging="0"/>
              <w:jc w:val="both"/>
              <w:rPr/>
            </w:pPr>
            <w:r>
              <w:rPr/>
              <w:t> </w:t>
            </w:r>
          </w:p>
        </w:tc>
        <w:tc>
          <w:tcPr>
            <w:tcW w:w="2555" w:type="dxa"/>
            <w:tcBorders/>
            <w:shd w:fill="FFFFFF" w:val="clear"/>
            <w:vAlign w:val="bottom"/>
          </w:tcPr>
          <w:p>
            <w:pPr>
              <w:pStyle w:val="TableContents"/>
              <w:spacing w:before="0" w:after="1"/>
              <w:ind w:left="120" w:right="0" w:hanging="0"/>
              <w:jc w:val="both"/>
              <w:rPr>
                <w:sz w:val="17"/>
              </w:rPr>
            </w:pPr>
            <w:r>
              <w:rPr>
                <w:sz w:val="17"/>
              </w:rPr>
              <w:t>2016</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3,000 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120" w:right="0" w:hanging="0"/>
              <w:jc w:val="both"/>
              <w:rPr/>
            </w:pPr>
            <w:r>
              <w:rPr/>
              <w:t> </w:t>
            </w:r>
          </w:p>
        </w:tc>
        <w:tc>
          <w:tcPr>
            <w:tcW w:w="2555" w:type="dxa"/>
            <w:tcBorders/>
            <w:shd w:fill="CCEEFF" w:val="clear"/>
            <w:vAlign w:val="bottom"/>
          </w:tcPr>
          <w:p>
            <w:pPr>
              <w:pStyle w:val="TableContents"/>
              <w:spacing w:before="0" w:after="1"/>
              <w:ind w:left="120" w:right="0" w:hanging="0"/>
              <w:jc w:val="both"/>
              <w:rPr>
                <w:sz w:val="17"/>
              </w:rPr>
            </w:pPr>
            <w:r>
              <w:rPr>
                <w:sz w:val="17"/>
              </w:rPr>
              <w:t>2017</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18,000 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120" w:right="0" w:hanging="0"/>
              <w:jc w:val="both"/>
              <w:rPr/>
            </w:pPr>
            <w:r>
              <w:rPr/>
              <w:t> </w:t>
            </w:r>
          </w:p>
        </w:tc>
        <w:tc>
          <w:tcPr>
            <w:tcW w:w="255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7"/>
              </w:rPr>
            </w:pPr>
            <w:r>
              <w:rPr>
                <w:sz w:val="17"/>
              </w:rPr>
              <w:t>Thereafter</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27,913 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240" w:right="0" w:hanging="0"/>
              <w:jc w:val="both"/>
              <w:rPr/>
            </w:pPr>
            <w:r>
              <w:rPr/>
              <w:t> </w:t>
            </w:r>
          </w:p>
        </w:tc>
        <w:tc>
          <w:tcPr>
            <w:tcW w:w="25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240" w:right="0" w:hanging="0"/>
              <w:jc w:val="both"/>
              <w:rPr>
                <w:sz w:val="17"/>
              </w:rPr>
            </w:pPr>
            <w:r>
              <w:rPr>
                <w:sz w:val="17"/>
              </w:rPr>
              <w:t>Total future principal loan payments</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196,597  </w:t>
            </w:r>
          </w:p>
        </w:tc>
        <w:tc>
          <w:tcPr>
            <w:tcW w:w="75" w:type="dxa"/>
            <w:tcBorders/>
            <w:shd w:fill="CCEEFF" w:val="clear"/>
            <w:vAlign w:val="bottom"/>
          </w:tcPr>
          <w:p>
            <w:pPr>
              <w:pStyle w:val="TableContents"/>
              <w:spacing w:before="0" w:after="1"/>
              <w:ind w:left="0" w:right="0" w:hanging="0"/>
              <w:jc w:val="both"/>
              <w:rPr/>
            </w:pPr>
            <w:r>
              <w:rPr/>
              <w:t> </w:t>
            </w:r>
          </w:p>
        </w:tc>
      </w:tr>
    </w:tbl>
    <w:p>
      <w:pPr>
        <w:pStyle w:val="TextBody"/>
        <w:spacing w:before="0" w:after="200"/>
        <w:ind w:left="1440" w:right="0" w:hanging="0"/>
        <w:jc w:val="both"/>
        <w:rPr>
          <w:sz w:val="17"/>
        </w:rPr>
      </w:pPr>
      <w:r>
        <w:rPr>
          <w:sz w:val="17"/>
        </w:rPr>
        <w:br/>
        <w:t xml:space="preserve">            Since approximately $98.7 million of our total debt of $196.6 million at December 31, 2012 consisted of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debt denominated in Australian and New Zealand dollars, the U.S dollar amounts of these repayments will fluctuate in accordance with the relative values of these currencies. </w:t>
      </w:r>
    </w:p>
    <w:p>
      <w:pPr>
        <w:pStyle w:val="TextBody"/>
        <w:spacing w:before="0" w:after="200"/>
        <w:ind w:left="1440" w:right="0" w:hanging="0"/>
        <w:jc w:val="both"/>
        <w:rPr>
          <w:sz w:val="17"/>
        </w:rPr>
      </w:pPr>
      <w:r>
        <w:rPr>
          <w:b/>
          <w:sz w:val="17"/>
          <w:u w:val="single"/>
        </w:rPr>
        <w:t>Note 13 – Derivative Instruments</w:t>
      </w:r>
      <w:r>
        <w:rPr>
          <w:sz w:val="17"/>
        </w:rPr>
        <w:t xml:space="preserve"> </w:t>
      </w:r>
    </w:p>
    <w:p>
      <w:pPr>
        <w:pStyle w:val="TextBody"/>
        <w:spacing w:before="0" w:after="200"/>
        <w:ind w:left="1440" w:right="0" w:firstLine="720"/>
        <w:jc w:val="both"/>
        <w:rPr>
          <w:sz w:val="17"/>
        </w:rPr>
      </w:pPr>
      <w:r>
        <w:rPr>
          <w:sz w:val="17"/>
        </w:rPr>
        <w:t xml:space="preserve">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variable rate debt to a fixed rate over the term of the interest rate swap.  </w:t>
      </w:r>
    </w:p>
    <w:p>
      <w:pPr>
        <w:pStyle w:val="TextBody"/>
        <w:spacing w:before="0" w:after="200"/>
        <w:ind w:left="1440" w:right="0" w:firstLine="720"/>
        <w:jc w:val="both"/>
        <w:rPr>
          <w:sz w:val="17"/>
        </w:rPr>
      </w:pPr>
      <w:r>
        <w:rPr>
          <w:sz w:val="17"/>
        </w:rPr>
        <w:t xml:space="preserve">In the case of our Australian borrowings, we are presently required to swap no less than 75% of our drawdowns under our Australian Corporate Credit Facility into fixed interest rate obligations.  In conjunction with this NAB Credit Facility, we entered into a five-year interest swap agreement, which swaps 100% of our variable rate term loan based on BBSY for a 5.50% fixed rate loan which steps down commensurate with the payments of the loan balance.  At the time of entering into this NAB swap, our existing BOSI swap was “in-the-money” by $160,000.  In lieu of a cash payment for the in-the-money BOSI swap, we negotiated a slightly lower fixed swap rate by 0.05% for our new NAB fixed rate swap.   </w:t>
      </w:r>
    </w:p>
    <w:p>
      <w:pPr>
        <w:pStyle w:val="TextBody"/>
        <w:spacing w:before="0" w:after="200"/>
        <w:ind w:left="1440" w:right="0" w:firstLine="720"/>
        <w:jc w:val="both"/>
        <w:rPr>
          <w:sz w:val="17"/>
        </w:rPr>
      </w:pPr>
      <w:r>
        <w:rPr>
          <w:sz w:val="17"/>
        </w:rPr>
        <w:t xml:space="preserve">On October 31, 2012, we replaced our GE Capital Term Loan of $27.7 million with a new credit facility from Bank of America of $30.0 million (see Note 12 – </w:t>
      </w:r>
      <w:r>
        <w:rPr>
          <w:i/>
          <w:sz w:val="17"/>
        </w:rPr>
        <w:t>Notes Payable</w:t>
      </w:r>
      <w:r>
        <w:rPr>
          <w:sz w:val="17"/>
        </w:rPr>
        <w:t xml:space="preserve">).  Although the new credit facility does not require a fixed interest swap agreement, we will continue to use our existing fixed interest rate swap of $29.1 million until its term date of December 31, 2013.  In order for Bank of America to agree to taking on this swap agreement, we agreed to increase the swap contract rate by 0.10%. </w:t>
      </w:r>
    </w:p>
    <w:p>
      <w:pPr>
        <w:pStyle w:val="TextBody"/>
        <w:spacing w:before="0" w:after="200"/>
        <w:ind w:left="1440" w:right="0" w:firstLine="720"/>
        <w:jc w:val="both"/>
        <w:rPr>
          <w:sz w:val="17"/>
        </w:rPr>
      </w:pPr>
      <w:r>
        <w:rPr>
          <w:sz w:val="17"/>
        </w:rPr>
        <w:t xml:space="preserve">As a result of these swap and loan agreements, we pay a total fixed interest rate of 8.15% (5.50% swap contract rate plus a 2.65% margin under the loan) for our NAB Loan and a total fixed interest rate of 5.84% (1.44% swap contract rate plus a 4.50% margin under the loan) for our BofA Loan instead of the obligatorily disclosed loan rates of 5.82% and 3.21%, respectively, as indicated in Note 12 – </w:t>
      </w:r>
      <w:r>
        <w:rPr>
          <w:i/>
          <w:sz w:val="17"/>
        </w:rPr>
        <w:t>Notes Payable</w:t>
      </w:r>
      <w:r>
        <w:rPr>
          <w:sz w:val="17"/>
        </w:rPr>
        <w:t xml:space="preserve">. </w:t>
      </w:r>
    </w:p>
    <w:p>
      <w:pPr>
        <w:pStyle w:val="TextBody"/>
        <w:spacing w:before="0" w:after="200"/>
        <w:ind w:left="1440" w:right="0" w:firstLine="720"/>
        <w:jc w:val="both"/>
        <w:rPr>
          <w:sz w:val="17"/>
        </w:rPr>
      </w:pPr>
      <w:r>
        <w:rPr>
          <w:sz w:val="17"/>
        </w:rPr>
        <w:t xml:space="preserve">The following table sets forth the terms of our interest rate swap derivative instruments at December 31, 2012: </w:t>
      </w:r>
    </w:p>
    <w:p>
      <w:pPr>
        <w:pStyle w:val="TextBody"/>
        <w:spacing w:before="0" w:after="0"/>
        <w:ind w:left="1440" w:right="0" w:hanging="0"/>
        <w:jc w:val="both"/>
        <w:rPr/>
      </w:pPr>
      <w:r>
        <w:rPr/>
        <w:t xml:space="preserve">  </w:t>
      </w:r>
    </w:p>
    <w:tbl>
      <w:tblPr>
        <w:tblW w:w="7150" w:type="dxa"/>
        <w:jc w:val="left"/>
        <w:tblInd w:w="1440" w:type="dxa"/>
        <w:tblCellMar>
          <w:top w:w="0" w:type="dxa"/>
          <w:left w:w="0" w:type="dxa"/>
          <w:bottom w:w="0" w:type="dxa"/>
          <w:right w:w="0" w:type="dxa"/>
        </w:tblCellMar>
      </w:tblPr>
      <w:tblGrid>
        <w:gridCol w:w="1430"/>
        <w:gridCol w:w="60"/>
        <w:gridCol w:w="1280"/>
        <w:gridCol w:w="60"/>
        <w:gridCol w:w="1145"/>
        <w:gridCol w:w="60"/>
        <w:gridCol w:w="1640"/>
        <w:gridCol w:w="60"/>
        <w:gridCol w:w="1415"/>
      </w:tblGrid>
      <w:tr>
        <w:trPr/>
        <w:tc>
          <w:tcPr>
            <w:tcW w:w="143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28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4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415" w:type="dxa"/>
            <w:tcBorders/>
            <w:shd w:fill="auto" w:val="clear"/>
            <w:vAlign w:val="bottom"/>
          </w:tcPr>
          <w:p>
            <w:pPr>
              <w:pStyle w:val="TableContents"/>
              <w:spacing w:before="0" w:after="1"/>
              <w:ind w:left="0" w:right="0" w:hanging="0"/>
              <w:jc w:val="both"/>
              <w:rPr/>
            </w:pPr>
            <w:r>
              <w:rPr/>
              <w:t> </w:t>
            </w:r>
          </w:p>
        </w:tc>
      </w:tr>
      <w:tr>
        <w:trPr/>
        <w:tc>
          <w:tcPr>
            <w:tcW w:w="143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28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4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415" w:type="dxa"/>
            <w:tcBorders/>
            <w:shd w:fill="auto" w:val="clear"/>
            <w:vAlign w:val="bottom"/>
          </w:tcPr>
          <w:p>
            <w:pPr>
              <w:pStyle w:val="TableContents"/>
              <w:spacing w:before="0" w:after="1"/>
              <w:ind w:left="0" w:right="0" w:hanging="0"/>
              <w:jc w:val="both"/>
              <w:rPr/>
            </w:pPr>
            <w:r>
              <w:rPr/>
              <w:t> </w:t>
            </w:r>
          </w:p>
        </w:tc>
      </w:tr>
      <w:tr>
        <w:trPr/>
        <w:tc>
          <w:tcPr>
            <w:tcW w:w="1430" w:type="dxa"/>
            <w:tcBorders/>
            <w:shd w:fill="auto" w:val="clear"/>
            <w:vAlign w:val="bottom"/>
          </w:tcPr>
          <w:p>
            <w:pPr>
              <w:pStyle w:val="TableContents"/>
              <w:spacing w:before="0" w:after="1"/>
              <w:ind w:left="0" w:right="0" w:hanging="0"/>
              <w:jc w:val="center"/>
              <w:rPr>
                <w:b/>
                <w:sz w:val="17"/>
                <w:u w:val="single"/>
              </w:rPr>
            </w:pPr>
            <w:r>
              <w:rPr>
                <w:b/>
                <w:sz w:val="17"/>
                <w:u w:val="single"/>
              </w:rPr>
              <w:t>Type of Instrument</w:t>
            </w:r>
          </w:p>
        </w:tc>
        <w:tc>
          <w:tcPr>
            <w:tcW w:w="60" w:type="dxa"/>
            <w:tcBorders/>
            <w:shd w:fill="auto" w:val="clear"/>
            <w:vAlign w:val="bottom"/>
          </w:tcPr>
          <w:p>
            <w:pPr>
              <w:pStyle w:val="TableContents"/>
              <w:spacing w:before="0" w:after="1"/>
              <w:ind w:left="0" w:right="0" w:hanging="0"/>
              <w:jc w:val="both"/>
              <w:rPr/>
            </w:pPr>
            <w:r>
              <w:rPr/>
              <w:t> </w:t>
            </w:r>
          </w:p>
        </w:tc>
        <w:tc>
          <w:tcPr>
            <w:tcW w:w="1280" w:type="dxa"/>
            <w:tcBorders/>
            <w:shd w:fill="auto" w:val="clear"/>
            <w:vAlign w:val="bottom"/>
          </w:tcPr>
          <w:p>
            <w:pPr>
              <w:pStyle w:val="TableContents"/>
              <w:spacing w:before="0" w:after="1"/>
              <w:ind w:left="0" w:right="0" w:hanging="0"/>
              <w:jc w:val="center"/>
              <w:rPr>
                <w:b/>
                <w:sz w:val="17"/>
                <w:u w:val="single"/>
              </w:rPr>
            </w:pPr>
            <w:r>
              <w:rPr>
                <w:b/>
                <w:sz w:val="17"/>
                <w:u w:val="single"/>
              </w:rPr>
              <w:t>Notional Amount</w:t>
            </w:r>
          </w:p>
        </w:tc>
        <w:tc>
          <w:tcPr>
            <w:tcW w:w="60" w:type="dxa"/>
            <w:tcBorders/>
            <w:shd w:fill="auto" w:val="clear"/>
            <w:vAlign w:val="bottom"/>
          </w:tcPr>
          <w:p>
            <w:pPr>
              <w:pStyle w:val="TableContents"/>
              <w:spacing w:before="0" w:after="1"/>
              <w:ind w:left="0" w:right="0" w:hanging="0"/>
              <w:jc w:val="center"/>
              <w:rPr/>
            </w:pPr>
            <w:r>
              <w:rPr/>
              <w:t> </w:t>
            </w:r>
          </w:p>
        </w:tc>
        <w:tc>
          <w:tcPr>
            <w:tcW w:w="1145" w:type="dxa"/>
            <w:tcBorders/>
            <w:shd w:fill="auto" w:val="clear"/>
            <w:vAlign w:val="bottom"/>
          </w:tcPr>
          <w:p>
            <w:pPr>
              <w:pStyle w:val="TableContents"/>
              <w:spacing w:before="0" w:after="1"/>
              <w:ind w:left="0" w:right="0" w:hanging="0"/>
              <w:jc w:val="center"/>
              <w:rPr>
                <w:b/>
                <w:sz w:val="17"/>
                <w:u w:val="single"/>
              </w:rPr>
            </w:pPr>
            <w:r>
              <w:rPr>
                <w:b/>
                <w:sz w:val="17"/>
                <w:u w:val="single"/>
              </w:rPr>
              <w:t>Pay Fixed Rate</w:t>
            </w:r>
          </w:p>
        </w:tc>
        <w:tc>
          <w:tcPr>
            <w:tcW w:w="60" w:type="dxa"/>
            <w:tcBorders/>
            <w:shd w:fill="auto" w:val="clear"/>
            <w:vAlign w:val="bottom"/>
          </w:tcPr>
          <w:p>
            <w:pPr>
              <w:pStyle w:val="TableContents"/>
              <w:spacing w:before="0" w:after="1"/>
              <w:ind w:left="0" w:right="0" w:hanging="0"/>
              <w:jc w:val="center"/>
              <w:rPr/>
            </w:pPr>
            <w:r>
              <w:rPr/>
              <w:t> </w:t>
            </w:r>
          </w:p>
        </w:tc>
        <w:tc>
          <w:tcPr>
            <w:tcW w:w="1640" w:type="dxa"/>
            <w:tcBorders/>
            <w:shd w:fill="auto" w:val="clear"/>
            <w:vAlign w:val="bottom"/>
          </w:tcPr>
          <w:p>
            <w:pPr>
              <w:pStyle w:val="TableContents"/>
              <w:spacing w:before="0" w:after="1"/>
              <w:ind w:left="0" w:right="0" w:hanging="0"/>
              <w:jc w:val="center"/>
              <w:rPr>
                <w:b/>
                <w:sz w:val="17"/>
                <w:u w:val="single"/>
              </w:rPr>
            </w:pPr>
            <w:r>
              <w:rPr>
                <w:b/>
                <w:sz w:val="17"/>
                <w:u w:val="single"/>
              </w:rPr>
              <w:t>Receive Variable Rate</w:t>
            </w:r>
          </w:p>
        </w:tc>
        <w:tc>
          <w:tcPr>
            <w:tcW w:w="60" w:type="dxa"/>
            <w:tcBorders/>
            <w:shd w:fill="auto" w:val="clear"/>
            <w:vAlign w:val="bottom"/>
          </w:tcPr>
          <w:p>
            <w:pPr>
              <w:pStyle w:val="TableContents"/>
              <w:spacing w:before="0" w:after="1"/>
              <w:ind w:left="0" w:right="0" w:hanging="0"/>
              <w:jc w:val="center"/>
              <w:rPr/>
            </w:pPr>
            <w:r>
              <w:rPr/>
              <w:t> </w:t>
            </w:r>
          </w:p>
        </w:tc>
        <w:tc>
          <w:tcPr>
            <w:tcW w:w="1415" w:type="dxa"/>
            <w:tcBorders/>
            <w:shd w:fill="auto" w:val="clear"/>
            <w:vAlign w:val="bottom"/>
          </w:tcPr>
          <w:p>
            <w:pPr>
              <w:pStyle w:val="TableContents"/>
              <w:spacing w:before="0" w:after="1"/>
              <w:ind w:left="0" w:right="0" w:hanging="0"/>
              <w:jc w:val="center"/>
              <w:rPr>
                <w:b/>
                <w:sz w:val="17"/>
                <w:u w:val="single"/>
              </w:rPr>
            </w:pPr>
            <w:r>
              <w:rPr>
                <w:b/>
                <w:sz w:val="17"/>
                <w:u w:val="single"/>
              </w:rPr>
              <w:t>Maturity Date</w:t>
            </w:r>
          </w:p>
        </w:tc>
      </w:tr>
      <w:tr>
        <w:trPr/>
        <w:tc>
          <w:tcPr>
            <w:tcW w:w="1430" w:type="dxa"/>
            <w:tcBorders/>
            <w:shd w:fill="auto" w:val="clear"/>
          </w:tcPr>
          <w:p>
            <w:pPr>
              <w:pStyle w:val="TableContents"/>
              <w:spacing w:before="0" w:after="1"/>
              <w:ind w:left="0" w:right="0" w:hanging="0"/>
              <w:jc w:val="center"/>
              <w:rPr>
                <w:sz w:val="17"/>
              </w:rPr>
            </w:pPr>
            <w:r>
              <w:rPr>
                <w:sz w:val="17"/>
              </w:rPr>
              <w:t>Interest rate swap</w:t>
            </w:r>
          </w:p>
        </w:tc>
        <w:tc>
          <w:tcPr>
            <w:tcW w:w="60" w:type="dxa"/>
            <w:tcBorders/>
            <w:shd w:fill="auto" w:val="clear"/>
          </w:tcPr>
          <w:p>
            <w:pPr>
              <w:pStyle w:val="TableContents"/>
              <w:spacing w:before="0" w:after="1"/>
              <w:ind w:left="0" w:right="0" w:hanging="0"/>
              <w:jc w:val="right"/>
              <w:rPr/>
            </w:pPr>
            <w:r>
              <w:rPr/>
              <w:t> </w:t>
            </w:r>
          </w:p>
        </w:tc>
        <w:tc>
          <w:tcPr>
            <w:tcW w:w="1280" w:type="dxa"/>
            <w:tcBorders/>
            <w:shd w:fill="auto" w:val="clear"/>
          </w:tcPr>
          <w:p>
            <w:pPr>
              <w:pStyle w:val="TableContents"/>
              <w:spacing w:before="0" w:after="1"/>
              <w:ind w:left="0" w:right="0" w:hanging="0"/>
              <w:jc w:val="center"/>
              <w:rPr>
                <w:sz w:val="17"/>
              </w:rPr>
            </w:pPr>
            <w:r>
              <w:rPr>
                <w:sz w:val="17"/>
              </w:rPr>
              <w:t>$29,062,000</w:t>
            </w:r>
          </w:p>
        </w:tc>
        <w:tc>
          <w:tcPr>
            <w:tcW w:w="60" w:type="dxa"/>
            <w:tcBorders/>
            <w:shd w:fill="auto" w:val="clear"/>
          </w:tcPr>
          <w:p>
            <w:pPr>
              <w:pStyle w:val="TableContents"/>
              <w:spacing w:before="0" w:after="1"/>
              <w:ind w:left="0" w:right="0" w:hanging="0"/>
              <w:jc w:val="both"/>
              <w:rPr/>
            </w:pPr>
            <w:r>
              <w:rPr/>
              <w:t> </w:t>
            </w:r>
          </w:p>
        </w:tc>
        <w:tc>
          <w:tcPr>
            <w:tcW w:w="1145" w:type="dxa"/>
            <w:tcBorders/>
            <w:shd w:fill="auto" w:val="clear"/>
          </w:tcPr>
          <w:p>
            <w:pPr>
              <w:pStyle w:val="TableContents"/>
              <w:spacing w:before="0" w:after="1"/>
              <w:ind w:left="0" w:right="0" w:hanging="0"/>
              <w:jc w:val="center"/>
              <w:rPr>
                <w:sz w:val="17"/>
              </w:rPr>
            </w:pPr>
            <w:r>
              <w:rPr>
                <w:sz w:val="17"/>
              </w:rPr>
              <w:t>1.440%</w:t>
            </w:r>
          </w:p>
        </w:tc>
        <w:tc>
          <w:tcPr>
            <w:tcW w:w="60" w:type="dxa"/>
            <w:tcBorders/>
            <w:shd w:fill="auto" w:val="clear"/>
          </w:tcPr>
          <w:p>
            <w:pPr>
              <w:pStyle w:val="TableContents"/>
              <w:spacing w:before="0" w:after="1"/>
              <w:ind w:left="0" w:right="0" w:hanging="0"/>
              <w:jc w:val="center"/>
              <w:rPr/>
            </w:pPr>
            <w:r>
              <w:rPr/>
              <w:t> </w:t>
            </w:r>
          </w:p>
        </w:tc>
        <w:tc>
          <w:tcPr>
            <w:tcW w:w="1640" w:type="dxa"/>
            <w:tcBorders/>
            <w:shd w:fill="auto" w:val="clear"/>
          </w:tcPr>
          <w:p>
            <w:pPr>
              <w:pStyle w:val="TableContents"/>
              <w:spacing w:before="0" w:after="1"/>
              <w:ind w:left="0" w:right="0" w:hanging="0"/>
              <w:jc w:val="center"/>
              <w:rPr>
                <w:sz w:val="17"/>
              </w:rPr>
            </w:pPr>
            <w:r>
              <w:rPr>
                <w:sz w:val="17"/>
              </w:rPr>
              <w:t>0.580%</w:t>
            </w:r>
          </w:p>
        </w:tc>
        <w:tc>
          <w:tcPr>
            <w:tcW w:w="60" w:type="dxa"/>
            <w:tcBorders/>
            <w:shd w:fill="auto" w:val="clear"/>
          </w:tcPr>
          <w:p>
            <w:pPr>
              <w:pStyle w:val="TableContents"/>
              <w:spacing w:before="0" w:after="1"/>
              <w:ind w:left="0" w:right="0" w:hanging="0"/>
              <w:jc w:val="both"/>
              <w:rPr/>
            </w:pPr>
            <w:r>
              <w:rPr/>
              <w:t> </w:t>
            </w:r>
          </w:p>
        </w:tc>
        <w:tc>
          <w:tcPr>
            <w:tcW w:w="1415" w:type="dxa"/>
            <w:tcBorders/>
            <w:shd w:fill="auto" w:val="clear"/>
          </w:tcPr>
          <w:p>
            <w:pPr>
              <w:pStyle w:val="TableContents"/>
              <w:spacing w:before="0" w:after="1"/>
              <w:ind w:left="0" w:right="0" w:hanging="0"/>
              <w:jc w:val="center"/>
              <w:rPr>
                <w:sz w:val="17"/>
              </w:rPr>
            </w:pPr>
            <w:r>
              <w:rPr>
                <w:sz w:val="17"/>
              </w:rPr>
              <w:t>December 31, 2013</w:t>
            </w:r>
          </w:p>
        </w:tc>
      </w:tr>
      <w:tr>
        <w:trPr/>
        <w:tc>
          <w:tcPr>
            <w:tcW w:w="1430" w:type="dxa"/>
            <w:tcBorders/>
            <w:shd w:fill="auto" w:val="clear"/>
          </w:tcPr>
          <w:p>
            <w:pPr>
              <w:pStyle w:val="TableContents"/>
              <w:spacing w:before="0" w:after="1"/>
              <w:ind w:left="0" w:right="0" w:hanging="0"/>
              <w:jc w:val="center"/>
              <w:rPr>
                <w:sz w:val="17"/>
              </w:rPr>
            </w:pPr>
            <w:r>
              <w:rPr>
                <w:sz w:val="17"/>
              </w:rPr>
              <w:t>Interest rate swap</w:t>
            </w:r>
          </w:p>
        </w:tc>
        <w:tc>
          <w:tcPr>
            <w:tcW w:w="60" w:type="dxa"/>
            <w:tcBorders/>
            <w:shd w:fill="auto" w:val="clear"/>
          </w:tcPr>
          <w:p>
            <w:pPr>
              <w:pStyle w:val="TableContents"/>
              <w:spacing w:before="0" w:after="1"/>
              <w:ind w:left="0" w:right="0" w:hanging="0"/>
              <w:jc w:val="right"/>
              <w:rPr/>
            </w:pPr>
            <w:r>
              <w:rPr/>
              <w:t> </w:t>
            </w:r>
          </w:p>
        </w:tc>
        <w:tc>
          <w:tcPr>
            <w:tcW w:w="1280" w:type="dxa"/>
            <w:tcBorders/>
            <w:shd w:fill="auto" w:val="clear"/>
          </w:tcPr>
          <w:p>
            <w:pPr>
              <w:pStyle w:val="TableContents"/>
              <w:spacing w:before="0" w:after="1"/>
              <w:ind w:left="0" w:right="0" w:hanging="0"/>
              <w:jc w:val="center"/>
              <w:rPr>
                <w:sz w:val="17"/>
              </w:rPr>
            </w:pPr>
            <w:r>
              <w:rPr>
                <w:sz w:val="17"/>
              </w:rPr>
              <w:t>$81,585,000</w:t>
            </w:r>
          </w:p>
        </w:tc>
        <w:tc>
          <w:tcPr>
            <w:tcW w:w="60" w:type="dxa"/>
            <w:tcBorders/>
            <w:shd w:fill="auto" w:val="clear"/>
          </w:tcPr>
          <w:p>
            <w:pPr>
              <w:pStyle w:val="TableContents"/>
              <w:spacing w:before="0" w:after="1"/>
              <w:ind w:left="0" w:right="0" w:hanging="0"/>
              <w:jc w:val="both"/>
              <w:rPr/>
            </w:pPr>
            <w:r>
              <w:rPr/>
              <w:t> </w:t>
            </w:r>
          </w:p>
        </w:tc>
        <w:tc>
          <w:tcPr>
            <w:tcW w:w="1145" w:type="dxa"/>
            <w:tcBorders/>
            <w:shd w:fill="auto" w:val="clear"/>
          </w:tcPr>
          <w:p>
            <w:pPr>
              <w:pStyle w:val="TableContents"/>
              <w:spacing w:before="0" w:after="1"/>
              <w:ind w:left="0" w:right="0" w:hanging="0"/>
              <w:jc w:val="center"/>
              <w:rPr>
                <w:sz w:val="17"/>
              </w:rPr>
            </w:pPr>
            <w:r>
              <w:rPr>
                <w:sz w:val="17"/>
              </w:rPr>
              <w:t>5.500%</w:t>
            </w:r>
          </w:p>
        </w:tc>
        <w:tc>
          <w:tcPr>
            <w:tcW w:w="60" w:type="dxa"/>
            <w:tcBorders/>
            <w:shd w:fill="auto" w:val="clear"/>
          </w:tcPr>
          <w:p>
            <w:pPr>
              <w:pStyle w:val="TableContents"/>
              <w:spacing w:before="0" w:after="1"/>
              <w:ind w:left="0" w:right="0" w:hanging="0"/>
              <w:jc w:val="center"/>
              <w:rPr/>
            </w:pPr>
            <w:r>
              <w:rPr/>
              <w:t> </w:t>
            </w:r>
          </w:p>
        </w:tc>
        <w:tc>
          <w:tcPr>
            <w:tcW w:w="1640" w:type="dxa"/>
            <w:tcBorders/>
            <w:shd w:fill="auto" w:val="clear"/>
          </w:tcPr>
          <w:p>
            <w:pPr>
              <w:pStyle w:val="TableContents"/>
              <w:spacing w:before="0" w:after="1"/>
              <w:ind w:left="0" w:right="0" w:hanging="0"/>
              <w:jc w:val="center"/>
              <w:rPr>
                <w:sz w:val="17"/>
              </w:rPr>
            </w:pPr>
            <w:r>
              <w:rPr>
                <w:sz w:val="17"/>
              </w:rPr>
              <w:t>4.550%</w:t>
            </w:r>
          </w:p>
        </w:tc>
        <w:tc>
          <w:tcPr>
            <w:tcW w:w="60" w:type="dxa"/>
            <w:tcBorders/>
            <w:shd w:fill="auto" w:val="clear"/>
          </w:tcPr>
          <w:p>
            <w:pPr>
              <w:pStyle w:val="TableContents"/>
              <w:spacing w:before="0" w:after="1"/>
              <w:ind w:left="0" w:right="0" w:hanging="0"/>
              <w:jc w:val="both"/>
              <w:rPr/>
            </w:pPr>
            <w:r>
              <w:rPr/>
              <w:t> </w:t>
            </w:r>
          </w:p>
        </w:tc>
        <w:tc>
          <w:tcPr>
            <w:tcW w:w="1415" w:type="dxa"/>
            <w:tcBorders/>
            <w:shd w:fill="auto" w:val="clear"/>
          </w:tcPr>
          <w:p>
            <w:pPr>
              <w:pStyle w:val="TableContents"/>
              <w:spacing w:before="0" w:after="1"/>
              <w:ind w:left="0" w:right="0" w:hanging="0"/>
              <w:jc w:val="center"/>
              <w:rPr>
                <w:sz w:val="17"/>
              </w:rPr>
            </w:pPr>
            <w:r>
              <w:rPr>
                <w:sz w:val="17"/>
              </w:rPr>
              <w:t>June 30, 2016</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w:t>
      </w:r>
      <w:r>
        <w:rPr>
          <w:sz w:val="17"/>
        </w:rPr>
        <w:t xml:space="preserve">In accordance with FASB ASC 815-20 – </w:t>
      </w:r>
      <w:r>
        <w:rPr>
          <w:i/>
          <w:sz w:val="17"/>
        </w:rPr>
        <w:t>Derivatives and Hedging</w:t>
      </w:r>
      <w:r>
        <w:rPr>
          <w:sz w:val="17"/>
        </w:rPr>
        <w:t xml:space="preserve">, we marked our interest swap instruments to market on the consolidated balance sheet resulting in a $1.1 million increase to interest expense during 2012, a $5.0 million increase to interest expense during 2011, and a $284,000 decrease to interest expense during 2010.  At December 31, 2012 and 2011, we recorded the fair market value of an interest rate swap of $5.9 million and $4.7 million, respectively, as an other long-term liabilities.  In accordance with FASB ASC 815-20, we have not designated any of our current interest rate swap positions as financial reporting hedges.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b/>
          <w:sz w:val="17"/>
          <w:u w:val="single"/>
        </w:rPr>
        <w:t>Note 14 - Income Taxes</w:t>
      </w:r>
      <w:r>
        <w:rPr>
          <w:sz w:val="17"/>
        </w:rPr>
        <w:t xml:space="preserve"> </w:t>
      </w:r>
    </w:p>
    <w:p>
      <w:pPr>
        <w:pStyle w:val="TextBody"/>
        <w:spacing w:before="0" w:after="200"/>
        <w:ind w:left="1440" w:right="0" w:firstLine="720"/>
        <w:jc w:val="both"/>
        <w:rPr>
          <w:sz w:val="17"/>
        </w:rPr>
      </w:pPr>
      <w:r>
        <w:rPr>
          <w:sz w:val="17"/>
        </w:rPr>
        <w:t xml:space="preserve">Income (loss) before income tax expense includes the following (dollars in thousands): </w:t>
      </w:r>
    </w:p>
    <w:p>
      <w:pPr>
        <w:pStyle w:val="TextBody"/>
        <w:spacing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6725"/>
        <w:gridCol w:w="110"/>
        <w:gridCol w:w="515"/>
        <w:gridCol w:w="110"/>
        <w:gridCol w:w="590"/>
        <w:gridCol w:w="110"/>
        <w:gridCol w:w="605"/>
      </w:tblGrid>
      <w:tr>
        <w:trPr/>
        <w:tc>
          <w:tcPr>
            <w:tcW w:w="672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r>
      <w:tr>
        <w:trPr/>
        <w:tc>
          <w:tcPr>
            <w:tcW w:w="672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r>
      <w:tr>
        <w:trPr/>
        <w:tc>
          <w:tcPr>
            <w:tcW w:w="672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930" w:type="dxa"/>
            <w:gridSpan w:val="5"/>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Year Ended December 31,</w:t>
            </w:r>
          </w:p>
        </w:tc>
      </w:tr>
      <w:tr>
        <w:trPr/>
        <w:tc>
          <w:tcPr>
            <w:tcW w:w="672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9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2010</w:t>
            </w:r>
          </w:p>
        </w:tc>
      </w:tr>
      <w:tr>
        <w:trPr/>
        <w:tc>
          <w:tcPr>
            <w:tcW w:w="672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United States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836 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9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(1,391)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(1,566) </w:t>
            </w:r>
          </w:p>
        </w:tc>
      </w:tr>
      <w:tr>
        <w:trPr/>
        <w:tc>
          <w:tcPr>
            <w:tcW w:w="6725" w:type="dxa"/>
            <w:tcBorders>
              <w:bottom w:val="single" w:sz="12" w:space="0" w:color="000000"/>
            </w:tcBorders>
            <w:shd w:fill="FFFFFF" w:val="clear"/>
            <w:tcMar>
              <w:bottom w:w="28" w:type="dxa"/>
            </w:tcMar>
            <w:vAlign w:val="bottom"/>
          </w:tcPr>
          <w:p>
            <w:pPr>
              <w:pStyle w:val="TableContents"/>
              <w:spacing w:before="0" w:after="1"/>
              <w:ind w:left="0" w:right="0" w:hanging="0"/>
              <w:jc w:val="both"/>
              <w:rPr>
                <w:sz w:val="17"/>
              </w:rPr>
            </w:pPr>
            <w:r>
              <w:rPr>
                <w:sz w:val="17"/>
              </w:rPr>
              <w:t>Foreign</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pPr>
            <w:r>
              <w:rPr/>
              <w:t> </w:t>
            </w:r>
          </w:p>
        </w:tc>
        <w:tc>
          <w:tcPr>
            <w:tcW w:w="515" w:type="dxa"/>
            <w:tcBorders>
              <w:bottom w:val="single" w:sz="12" w:space="0" w:color="000000"/>
            </w:tcBorders>
            <w:shd w:fill="FFFFFF" w:val="clear"/>
            <w:tcMar>
              <w:bottom w:w="28" w:type="dxa"/>
            </w:tcMar>
            <w:vAlign w:val="bottom"/>
          </w:tcPr>
          <w:p>
            <w:pPr>
              <w:pStyle w:val="TableContents"/>
              <w:spacing w:before="0" w:after="283"/>
              <w:jc w:val="right"/>
              <w:rPr>
                <w:sz w:val="17"/>
              </w:rPr>
            </w:pPr>
            <w:r>
              <w:rPr>
                <w:sz w:val="17"/>
              </w:rPr>
              <w:t xml:space="preserve">1,446  </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sz w:val="17"/>
              </w:rPr>
            </w:pPr>
            <w:r>
              <w:rPr>
                <w:sz w:val="17"/>
              </w:rPr>
              <w:t xml:space="preserve">(379) </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12" w:space="0" w:color="000000"/>
            </w:tcBorders>
            <w:shd w:fill="FFFFFF" w:val="clear"/>
            <w:tcMar>
              <w:bottom w:w="28" w:type="dxa"/>
            </w:tcMar>
            <w:vAlign w:val="bottom"/>
          </w:tcPr>
          <w:p>
            <w:pPr>
              <w:pStyle w:val="TableContents"/>
              <w:spacing w:before="0" w:after="283"/>
              <w:jc w:val="right"/>
              <w:rPr>
                <w:sz w:val="17"/>
              </w:rPr>
            </w:pPr>
            <w:r>
              <w:rPr>
                <w:sz w:val="17"/>
              </w:rPr>
              <w:t xml:space="preserve">2,354  </w:t>
            </w:r>
          </w:p>
        </w:tc>
      </w:tr>
      <w:tr>
        <w:trPr/>
        <w:tc>
          <w:tcPr>
            <w:tcW w:w="6725" w:type="dxa"/>
            <w:tcBorders>
              <w:top w:val="single" w:sz="12" w:space="0" w:color="000000"/>
            </w:tcBorders>
            <w:shd w:fill="CCEEFF" w:val="clear"/>
            <w:tcMar>
              <w:top w:w="28" w:type="dxa"/>
            </w:tcMar>
            <w:vAlign w:val="bottom"/>
          </w:tcPr>
          <w:p>
            <w:pPr>
              <w:pStyle w:val="TableContents"/>
              <w:spacing w:before="0" w:after="1"/>
              <w:ind w:left="0" w:right="0" w:hanging="0"/>
              <w:jc w:val="both"/>
              <w:rPr>
                <w:b/>
                <w:sz w:val="17"/>
              </w:rPr>
            </w:pPr>
            <w:r>
              <w:rPr>
                <w:b/>
                <w:sz w:val="17"/>
              </w:rPr>
              <w:t>Income (loss) before income tax expense and equity earnings of unconsolidated joint ventures and entities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2,282 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9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(1,770)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788  </w:t>
            </w:r>
          </w:p>
        </w:tc>
      </w:tr>
      <w:tr>
        <w:trPr/>
        <w:tc>
          <w:tcPr>
            <w:tcW w:w="672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1"/>
              <w:ind w:left="0" w:right="0" w:hanging="0"/>
              <w:jc w:val="both"/>
              <w:rPr/>
            </w:pPr>
            <w:r>
              <w:rPr/>
              <w:t> </w:t>
            </w:r>
          </w:p>
        </w:tc>
      </w:tr>
      <w:tr>
        <w:trPr/>
        <w:tc>
          <w:tcPr>
            <w:tcW w:w="6725" w:type="dxa"/>
            <w:tcBorders/>
            <w:shd w:fill="CCEEFF" w:val="clear"/>
            <w:vAlign w:val="bottom"/>
          </w:tcPr>
          <w:p>
            <w:pPr>
              <w:pStyle w:val="TableContents"/>
              <w:spacing w:before="0" w:after="1"/>
              <w:ind w:left="0" w:right="0" w:hanging="0"/>
              <w:jc w:val="both"/>
              <w:rPr>
                <w:sz w:val="17"/>
              </w:rPr>
            </w:pPr>
            <w:r>
              <w:rPr>
                <w:i/>
                <w:sz w:val="17"/>
              </w:rPr>
              <w:t>Net income attributable to noncontrolling interests</w:t>
            </w: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1"/>
              <w:ind w:left="0" w:right="0" w:hanging="0"/>
              <w:jc w:val="both"/>
              <w:rPr/>
            </w:pPr>
            <w:r>
              <w:rPr/>
              <w:t> </w:t>
            </w:r>
          </w:p>
        </w:tc>
      </w:tr>
      <w:tr>
        <w:trPr/>
        <w:tc>
          <w:tcPr>
            <w:tcW w:w="6725" w:type="dxa"/>
            <w:tcBorders/>
            <w:shd w:fill="FFFFFF" w:val="clear"/>
            <w:vAlign w:val="bottom"/>
          </w:tcPr>
          <w:p>
            <w:pPr>
              <w:pStyle w:val="TableContents"/>
              <w:spacing w:before="0" w:after="1"/>
              <w:ind w:left="120" w:right="0" w:hanging="0"/>
              <w:jc w:val="both"/>
              <w:rPr>
                <w:sz w:val="17"/>
              </w:rPr>
            </w:pPr>
            <w:r>
              <w:rPr>
                <w:sz w:val="17"/>
              </w:rPr>
              <w:t>United States</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578  </w:t>
            </w:r>
          </w:p>
        </w:tc>
        <w:tc>
          <w:tcPr>
            <w:tcW w:w="110"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7"/>
              </w:rPr>
            </w:pPr>
            <w:r>
              <w:rPr>
                <w:sz w:val="17"/>
              </w:rPr>
              <w:t xml:space="preserve">(604) </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(309) </w:t>
            </w:r>
          </w:p>
        </w:tc>
      </w:tr>
      <w:tr>
        <w:trPr/>
        <w:tc>
          <w:tcPr>
            <w:tcW w:w="6725" w:type="dxa"/>
            <w:tcBorders/>
            <w:shd w:fill="CCEEFF" w:val="clear"/>
            <w:vAlign w:val="bottom"/>
          </w:tcPr>
          <w:p>
            <w:pPr>
              <w:pStyle w:val="TableContents"/>
              <w:spacing w:before="0" w:after="1"/>
              <w:ind w:left="120" w:right="0" w:hanging="0"/>
              <w:jc w:val="both"/>
              <w:rPr>
                <w:sz w:val="17"/>
              </w:rPr>
            </w:pPr>
            <w:r>
              <w:rPr>
                <w:sz w:val="17"/>
              </w:rPr>
              <w:t>Foreign</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(86) </w:t>
            </w:r>
          </w:p>
        </w:tc>
        <w:tc>
          <w:tcPr>
            <w:tcW w:w="110"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7"/>
              </w:rPr>
            </w:pPr>
            <w:r>
              <w:rPr>
                <w:sz w:val="17"/>
              </w:rPr>
              <w:t xml:space="preserve">(336) </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(307) </w:t>
            </w:r>
          </w:p>
        </w:tc>
      </w:tr>
      <w:tr>
        <w:trPr/>
        <w:tc>
          <w:tcPr>
            <w:tcW w:w="6725" w:type="dxa"/>
            <w:tcBorders/>
            <w:shd w:fill="FFFFFF" w:val="clear"/>
            <w:vAlign w:val="bottom"/>
          </w:tcPr>
          <w:p>
            <w:pPr>
              <w:pStyle w:val="TableContents"/>
              <w:spacing w:before="0" w:after="1"/>
              <w:ind w:left="0" w:right="0" w:hanging="0"/>
              <w:jc w:val="both"/>
              <w:rPr>
                <w:sz w:val="17"/>
              </w:rPr>
            </w:pPr>
            <w:r>
              <w:rPr>
                <w:i/>
                <w:sz w:val="17"/>
              </w:rPr>
              <w:t>Equity earnings and gain on sale of unconsolidated subsidiary</w:t>
            </w: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1"/>
              <w:ind w:left="0" w:right="0" w:hanging="0"/>
              <w:jc w:val="both"/>
              <w:rPr/>
            </w:pPr>
            <w:r>
              <w:rPr/>
              <w:t> </w:t>
            </w:r>
          </w:p>
        </w:tc>
      </w:tr>
      <w:tr>
        <w:trPr/>
        <w:tc>
          <w:tcPr>
            <w:tcW w:w="6725" w:type="dxa"/>
            <w:tcBorders/>
            <w:shd w:fill="CCEEFF" w:val="clear"/>
            <w:vAlign w:val="bottom"/>
          </w:tcPr>
          <w:p>
            <w:pPr>
              <w:pStyle w:val="TableContents"/>
              <w:spacing w:before="0" w:after="1"/>
              <w:ind w:left="120" w:right="0" w:hanging="0"/>
              <w:jc w:val="both"/>
              <w:rPr>
                <w:sz w:val="17"/>
              </w:rPr>
            </w:pPr>
            <w:r>
              <w:rPr>
                <w:sz w:val="17"/>
              </w:rPr>
              <w:t>United States</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27  </w:t>
            </w:r>
          </w:p>
        </w:tc>
        <w:tc>
          <w:tcPr>
            <w:tcW w:w="110"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7"/>
              </w:rPr>
            </w:pPr>
            <w:r>
              <w:rPr>
                <w:sz w:val="17"/>
              </w:rPr>
              <w:t xml:space="preserve">33  </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86  </w:t>
            </w:r>
          </w:p>
        </w:tc>
      </w:tr>
      <w:tr>
        <w:trPr/>
        <w:tc>
          <w:tcPr>
            <w:tcW w:w="6725" w:type="dxa"/>
            <w:tcBorders/>
            <w:shd w:fill="FFFFFF" w:val="clear"/>
            <w:vAlign w:val="bottom"/>
          </w:tcPr>
          <w:p>
            <w:pPr>
              <w:pStyle w:val="TableContents"/>
              <w:spacing w:before="0" w:after="1"/>
              <w:ind w:left="120" w:right="0" w:hanging="0"/>
              <w:jc w:val="both"/>
              <w:rPr>
                <w:sz w:val="17"/>
              </w:rPr>
            </w:pPr>
            <w:r>
              <w:rPr>
                <w:sz w:val="17"/>
              </w:rPr>
              <w:t>Foreign</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1,594  </w:t>
            </w:r>
          </w:p>
        </w:tc>
        <w:tc>
          <w:tcPr>
            <w:tcW w:w="110"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7"/>
              </w:rPr>
            </w:pPr>
            <w:r>
              <w:rPr>
                <w:sz w:val="17"/>
              </w:rPr>
              <w:t xml:space="preserve">(1,585) </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1,259  </w:t>
            </w:r>
          </w:p>
        </w:tc>
      </w:tr>
      <w:tr>
        <w:trPr/>
        <w:tc>
          <w:tcPr>
            <w:tcW w:w="6725" w:type="dxa"/>
            <w:tcBorders/>
            <w:shd w:fill="CCEEFF" w:val="clear"/>
            <w:vAlign w:val="bottom"/>
          </w:tcPr>
          <w:p>
            <w:pPr>
              <w:pStyle w:val="TableContents"/>
              <w:spacing w:before="0" w:after="1"/>
              <w:ind w:left="0" w:right="0" w:hanging="0"/>
              <w:jc w:val="both"/>
              <w:rPr>
                <w:i/>
                <w:sz w:val="17"/>
              </w:rPr>
            </w:pPr>
            <w:r>
              <w:rPr>
                <w:i/>
                <w:sz w:val="17"/>
              </w:rPr>
              <w:t>Gain on sale of discontinued operation:</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1"/>
              <w:ind w:left="0" w:right="0" w:hanging="0"/>
              <w:jc w:val="both"/>
              <w:rPr/>
            </w:pPr>
            <w:r>
              <w:rPr/>
              <w:t> </w:t>
            </w:r>
          </w:p>
        </w:tc>
      </w:tr>
      <w:tr>
        <w:trPr/>
        <w:tc>
          <w:tcPr>
            <w:tcW w:w="6725" w:type="dxa"/>
            <w:tcBorders/>
            <w:shd w:fill="FFFFFF" w:val="clear"/>
            <w:vAlign w:val="bottom"/>
          </w:tcPr>
          <w:p>
            <w:pPr>
              <w:pStyle w:val="TableContents"/>
              <w:spacing w:before="0" w:after="1"/>
              <w:ind w:left="120" w:right="0" w:hanging="0"/>
              <w:jc w:val="both"/>
              <w:rPr>
                <w:sz w:val="17"/>
              </w:rPr>
            </w:pPr>
            <w:r>
              <w:rPr>
                <w:sz w:val="17"/>
              </w:rPr>
              <w:t>United States</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1"/>
              <w:ind w:left="0" w:right="65" w:hanging="0"/>
              <w:jc w:val="right"/>
              <w:rPr>
                <w:sz w:val="17"/>
              </w:rPr>
            </w:pPr>
            <w:r>
              <w:rPr>
                <w:sz w:val="17"/>
              </w:rPr>
              <w:t>--</w:t>
            </w:r>
          </w:p>
        </w:tc>
      </w:tr>
      <w:tr>
        <w:trPr/>
        <w:tc>
          <w:tcPr>
            <w:tcW w:w="6725"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7"/>
              </w:rPr>
            </w:pPr>
            <w:r>
              <w:rPr>
                <w:sz w:val="17"/>
              </w:rPr>
              <w:t>Foreign</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(405)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1,888 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97  </w:t>
            </w:r>
          </w:p>
        </w:tc>
      </w:tr>
      <w:tr>
        <w:trPr/>
        <w:tc>
          <w:tcPr>
            <w:tcW w:w="672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Income (loss) before income tax expense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3,990 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9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(2,374)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1,614 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Significant components of the provision for income taxes are as follows (dollars in thousands): </w:t>
      </w:r>
    </w:p>
    <w:p>
      <w:pPr>
        <w:pStyle w:val="TextBody"/>
        <w:spacing w:before="0" w:after="0"/>
        <w:ind w:left="1440" w:right="0" w:hanging="0"/>
        <w:jc w:val="both"/>
        <w:rPr/>
      </w:pPr>
      <w:r>
        <w:rPr/>
        <w:t xml:space="preserve">  </w:t>
      </w:r>
    </w:p>
    <w:tbl>
      <w:tblPr>
        <w:tblW w:w="4925" w:type="dxa"/>
        <w:jc w:val="left"/>
        <w:tblInd w:w="1440" w:type="dxa"/>
        <w:tblCellMar>
          <w:top w:w="0" w:type="dxa"/>
          <w:left w:w="0" w:type="dxa"/>
          <w:bottom w:w="0" w:type="dxa"/>
          <w:right w:w="0" w:type="dxa"/>
        </w:tblCellMar>
      </w:tblPr>
      <w:tblGrid>
        <w:gridCol w:w="2780"/>
        <w:gridCol w:w="110"/>
        <w:gridCol w:w="515"/>
        <w:gridCol w:w="110"/>
        <w:gridCol w:w="680"/>
        <w:gridCol w:w="110"/>
        <w:gridCol w:w="620"/>
      </w:tblGrid>
      <w:tr>
        <w:trPr/>
        <w:tc>
          <w:tcPr>
            <w:tcW w:w="27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780" w:type="dxa"/>
            <w:tcBorders/>
            <w:shd w:fill="auto" w:val="clear"/>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35" w:type="dxa"/>
            <w:gridSpan w:val="5"/>
            <w:tcBorders>
              <w:bottom w:val="single" w:sz="8" w:space="0" w:color="000000"/>
            </w:tcBorders>
            <w:shd w:fill="auto" w:val="clear"/>
            <w:tcMar>
              <w:bottom w:w="28" w:type="dxa"/>
            </w:tcMar>
          </w:tcPr>
          <w:p>
            <w:pPr>
              <w:pStyle w:val="TableContents"/>
              <w:spacing w:before="0" w:after="1"/>
              <w:ind w:left="0" w:right="0" w:hanging="0"/>
              <w:jc w:val="center"/>
              <w:rPr>
                <w:b/>
                <w:sz w:val="17"/>
              </w:rPr>
            </w:pPr>
            <w:r>
              <w:rPr>
                <w:b/>
                <w:sz w:val="17"/>
              </w:rPr>
              <w:t>Year Ended December 31,</w:t>
            </w:r>
          </w:p>
        </w:tc>
      </w:tr>
      <w:tr>
        <w:trPr/>
        <w:tc>
          <w:tcPr>
            <w:tcW w:w="278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515"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pPr>
            <w:r>
              <w:rPr/>
              <w:t> </w:t>
            </w:r>
          </w:p>
        </w:tc>
        <w:tc>
          <w:tcPr>
            <w:tcW w:w="680"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b/>
                <w:sz w:val="17"/>
              </w:rPr>
            </w:pPr>
            <w:r>
              <w:rPr>
                <w:b/>
                <w:sz w:val="17"/>
              </w:rPr>
              <w:t>2011</w:t>
            </w:r>
          </w:p>
        </w:tc>
        <w:tc>
          <w:tcPr>
            <w:tcW w:w="110"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pPr>
            <w:r>
              <w:rPr/>
              <w:t> </w:t>
            </w:r>
          </w:p>
        </w:tc>
        <w:tc>
          <w:tcPr>
            <w:tcW w:w="620"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b/>
                <w:sz w:val="17"/>
              </w:rPr>
            </w:pPr>
            <w:r>
              <w:rPr>
                <w:b/>
                <w:sz w:val="17"/>
              </w:rPr>
              <w:t>2010</w:t>
            </w:r>
          </w:p>
        </w:tc>
      </w:tr>
      <w:tr>
        <w:trPr/>
        <w:tc>
          <w:tcPr>
            <w:tcW w:w="2780" w:type="dxa"/>
            <w:tcBorders>
              <w:top w:val="single" w:sz="8" w:space="0" w:color="000000"/>
            </w:tcBorders>
            <w:shd w:fill="auto" w:val="clear"/>
            <w:tcMar>
              <w:top w:w="28" w:type="dxa"/>
            </w:tcMar>
          </w:tcPr>
          <w:p>
            <w:pPr>
              <w:pStyle w:val="TableContents"/>
              <w:spacing w:before="0" w:after="1"/>
              <w:ind w:left="0" w:right="0" w:hanging="0"/>
              <w:jc w:val="both"/>
              <w:rPr>
                <w:b/>
                <w:sz w:val="17"/>
              </w:rPr>
            </w:pPr>
            <w:r>
              <w:rPr>
                <w:b/>
                <w:sz w:val="17"/>
              </w:rPr>
              <w:t>Current income tax expense</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515"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68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620" w:type="dxa"/>
            <w:tcBorders>
              <w:top w:val="single" w:sz="8" w:space="0" w:color="000000"/>
            </w:tcBorders>
            <w:shd w:fill="auto" w:val="clear"/>
            <w:tcMar>
              <w:top w:w="28" w:type="dxa"/>
            </w:tcMar>
          </w:tcPr>
          <w:p>
            <w:pPr>
              <w:pStyle w:val="TableContents"/>
              <w:spacing w:before="0" w:after="1"/>
              <w:ind w:left="0" w:right="0" w:hanging="0"/>
              <w:jc w:val="both"/>
              <w:rPr/>
            </w:pPr>
            <w:r>
              <w:rPr/>
              <w:t> </w:t>
            </w:r>
          </w:p>
        </w:tc>
      </w:tr>
      <w:tr>
        <w:trPr/>
        <w:tc>
          <w:tcPr>
            <w:tcW w:w="2780" w:type="dxa"/>
            <w:tcBorders/>
            <w:shd w:fill="CCEEFF" w:val="clear"/>
          </w:tcPr>
          <w:p>
            <w:pPr>
              <w:pStyle w:val="TableContents"/>
              <w:spacing w:before="0" w:after="1"/>
              <w:ind w:left="120" w:right="0" w:hanging="0"/>
              <w:jc w:val="both"/>
              <w:rPr>
                <w:sz w:val="17"/>
              </w:rPr>
            </w:pPr>
            <w:r>
              <w:rPr>
                <w:sz w:val="17"/>
              </w:rPr>
              <w:t>Federal</w:t>
            </w:r>
          </w:p>
        </w:tc>
        <w:tc>
          <w:tcPr>
            <w:tcW w:w="110" w:type="dxa"/>
            <w:tcBorders/>
            <w:shd w:fill="CCEEFF" w:val="clear"/>
          </w:tcPr>
          <w:p>
            <w:pPr>
              <w:pStyle w:val="TableContents"/>
              <w:spacing w:before="0" w:after="1"/>
              <w:ind w:left="0" w:right="0" w:hanging="0"/>
              <w:jc w:val="right"/>
              <w:rPr>
                <w:sz w:val="17"/>
              </w:rPr>
            </w:pPr>
            <w:r>
              <w:rPr>
                <w:sz w:val="17"/>
              </w:rPr>
              <w:t>$</w:t>
            </w:r>
          </w:p>
        </w:tc>
        <w:tc>
          <w:tcPr>
            <w:tcW w:w="515" w:type="dxa"/>
            <w:tcBorders/>
            <w:shd w:fill="CCEEFF" w:val="clear"/>
            <w:vAlign w:val="bottom"/>
          </w:tcPr>
          <w:p>
            <w:pPr>
              <w:pStyle w:val="TableContents"/>
              <w:spacing w:before="0" w:after="283"/>
              <w:jc w:val="right"/>
              <w:rPr>
                <w:sz w:val="17"/>
              </w:rPr>
            </w:pPr>
            <w:r>
              <w:rPr>
                <w:sz w:val="17"/>
              </w:rPr>
              <w:t xml:space="preserve">964  </w:t>
            </w:r>
          </w:p>
        </w:tc>
        <w:tc>
          <w:tcPr>
            <w:tcW w:w="110" w:type="dxa"/>
            <w:tcBorders/>
            <w:shd w:fill="CCEEFF" w:val="clear"/>
          </w:tcPr>
          <w:p>
            <w:pPr>
              <w:pStyle w:val="TableContents"/>
              <w:spacing w:before="0" w:after="1"/>
              <w:ind w:left="0" w:right="0" w:hanging="0"/>
              <w:jc w:val="right"/>
              <w:rPr>
                <w:sz w:val="17"/>
              </w:rPr>
            </w:pPr>
            <w:r>
              <w:rPr>
                <w:sz w:val="17"/>
              </w:rPr>
              <w:t>$</w:t>
            </w:r>
          </w:p>
        </w:tc>
        <w:tc>
          <w:tcPr>
            <w:tcW w:w="680" w:type="dxa"/>
            <w:tcBorders/>
            <w:shd w:fill="CCEEFF" w:val="clear"/>
            <w:vAlign w:val="bottom"/>
          </w:tcPr>
          <w:p>
            <w:pPr>
              <w:pStyle w:val="TableContents"/>
              <w:spacing w:before="0" w:after="283"/>
              <w:jc w:val="right"/>
              <w:rPr>
                <w:sz w:val="17"/>
              </w:rPr>
            </w:pPr>
            <w:r>
              <w:rPr>
                <w:sz w:val="17"/>
              </w:rPr>
              <w:t xml:space="preserve">1,332  </w:t>
            </w:r>
          </w:p>
        </w:tc>
        <w:tc>
          <w:tcPr>
            <w:tcW w:w="110" w:type="dxa"/>
            <w:tcBorders/>
            <w:shd w:fill="CCEEFF" w:val="clear"/>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7,730  </w:t>
            </w:r>
          </w:p>
        </w:tc>
      </w:tr>
      <w:tr>
        <w:trPr/>
        <w:tc>
          <w:tcPr>
            <w:tcW w:w="2780" w:type="dxa"/>
            <w:tcBorders/>
            <w:shd w:fill="FFFFFF" w:val="clear"/>
          </w:tcPr>
          <w:p>
            <w:pPr>
              <w:pStyle w:val="TableContents"/>
              <w:spacing w:before="0" w:after="1"/>
              <w:ind w:left="120" w:right="0" w:hanging="0"/>
              <w:jc w:val="both"/>
              <w:rPr>
                <w:sz w:val="17"/>
              </w:rPr>
            </w:pPr>
            <w:r>
              <w:rPr>
                <w:sz w:val="17"/>
              </w:rPr>
              <w:t xml:space="preserve">State </w:t>
            </w:r>
          </w:p>
        </w:tc>
        <w:tc>
          <w:tcPr>
            <w:tcW w:w="110" w:type="dxa"/>
            <w:tcBorders/>
            <w:shd w:fill="FFFFFF" w:val="clear"/>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584  </w:t>
            </w:r>
          </w:p>
        </w:tc>
        <w:tc>
          <w:tcPr>
            <w:tcW w:w="110" w:type="dxa"/>
            <w:tcBorders/>
            <w:shd w:fill="FFFFFF" w:val="clear"/>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531  </w:t>
            </w:r>
          </w:p>
        </w:tc>
        <w:tc>
          <w:tcPr>
            <w:tcW w:w="110" w:type="dxa"/>
            <w:tcBorders/>
            <w:shd w:fill="FFFFFF" w:val="clear"/>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5,239  </w:t>
            </w:r>
          </w:p>
        </w:tc>
      </w:tr>
      <w:tr>
        <w:trPr/>
        <w:tc>
          <w:tcPr>
            <w:tcW w:w="2780" w:type="dxa"/>
            <w:tcBorders>
              <w:bottom w:val="single" w:sz="8" w:space="0" w:color="000000"/>
            </w:tcBorders>
            <w:shd w:fill="CCEEFF" w:val="clear"/>
            <w:tcMar>
              <w:bottom w:w="28" w:type="dxa"/>
            </w:tcMar>
          </w:tcPr>
          <w:p>
            <w:pPr>
              <w:pStyle w:val="TableContents"/>
              <w:spacing w:before="0" w:after="1"/>
              <w:ind w:left="120" w:right="0" w:hanging="0"/>
              <w:jc w:val="both"/>
              <w:rPr>
                <w:sz w:val="17"/>
              </w:rPr>
            </w:pPr>
            <w:r>
              <w:rPr>
                <w:sz w:val="17"/>
              </w:rPr>
              <w:t xml:space="preserve">Foreign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1,370 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1,067 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1,295  </w:t>
            </w:r>
          </w:p>
        </w:tc>
      </w:tr>
      <w:tr>
        <w:trPr/>
        <w:tc>
          <w:tcPr>
            <w:tcW w:w="2780" w:type="dxa"/>
            <w:tcBorders>
              <w:top w:val="single" w:sz="8" w:space="0" w:color="000000"/>
              <w:bottom w:val="single" w:sz="8" w:space="0" w:color="000000"/>
            </w:tcBorders>
            <w:shd w:fill="FFFFFF" w:val="clear"/>
            <w:tcMar>
              <w:top w:w="28" w:type="dxa"/>
              <w:bottom w:w="28" w:type="dxa"/>
            </w:tcMar>
          </w:tcPr>
          <w:p>
            <w:pPr>
              <w:pStyle w:val="TableContents"/>
              <w:spacing w:before="0" w:after="1"/>
              <w:ind w:left="240" w:right="0" w:hanging="0"/>
              <w:jc w:val="both"/>
              <w:rPr>
                <w:sz w:val="17"/>
              </w:rPr>
            </w:pPr>
            <w:r>
              <w:rPr>
                <w:sz w:val="17"/>
              </w:rPr>
              <w:t>Total</w:t>
            </w:r>
          </w:p>
        </w:tc>
        <w:tc>
          <w:tcPr>
            <w:tcW w:w="110" w:type="dxa"/>
            <w:tcBorders>
              <w:top w:val="single" w:sz="8" w:space="0" w:color="000000"/>
              <w:bottom w:val="single" w:sz="8" w:space="0" w:color="000000"/>
            </w:tcBorders>
            <w:shd w:fill="FFFFFF" w:val="clear"/>
            <w:tcMar>
              <w:top w:w="28" w:type="dxa"/>
              <w:bottom w:w="28" w:type="dxa"/>
            </w:tcMar>
          </w:tcPr>
          <w:p>
            <w:pPr>
              <w:pStyle w:val="TableContents"/>
              <w:spacing w:before="0" w:after="1"/>
              <w:ind w:left="0" w:right="0" w:hanging="0"/>
              <w:jc w:val="right"/>
              <w:rPr/>
            </w:pPr>
            <w:r>
              <w:rPr/>
              <w:t> </w:t>
            </w:r>
          </w:p>
        </w:tc>
        <w:tc>
          <w:tcPr>
            <w:tcW w:w="51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2,918  </w:t>
            </w:r>
          </w:p>
        </w:tc>
        <w:tc>
          <w:tcPr>
            <w:tcW w:w="110" w:type="dxa"/>
            <w:tcBorders>
              <w:top w:val="single" w:sz="8" w:space="0" w:color="000000"/>
              <w:bottom w:val="single" w:sz="8" w:space="0" w:color="000000"/>
            </w:tcBorders>
            <w:shd w:fill="FFFFFF" w:val="clear"/>
            <w:tcMar>
              <w:top w:w="28" w:type="dxa"/>
              <w:bottom w:w="28" w:type="dxa"/>
            </w:tcMar>
          </w:tcPr>
          <w:p>
            <w:pPr>
              <w:pStyle w:val="TableContents"/>
              <w:spacing w:before="0" w:after="1"/>
              <w:ind w:left="0" w:right="0" w:hanging="0"/>
              <w:jc w:val="right"/>
              <w:rPr/>
            </w:pPr>
            <w:r>
              <w:rPr/>
              <w:t> </w:t>
            </w:r>
          </w:p>
        </w:tc>
        <w:tc>
          <w:tcPr>
            <w:tcW w:w="68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2,930  </w:t>
            </w:r>
          </w:p>
        </w:tc>
        <w:tc>
          <w:tcPr>
            <w:tcW w:w="110" w:type="dxa"/>
            <w:tcBorders>
              <w:top w:val="single" w:sz="8" w:space="0" w:color="000000"/>
              <w:bottom w:val="single" w:sz="8" w:space="0" w:color="000000"/>
            </w:tcBorders>
            <w:shd w:fill="FFFFFF" w:val="clear"/>
            <w:tcMar>
              <w:top w:w="28" w:type="dxa"/>
              <w:bottom w:w="28" w:type="dxa"/>
            </w:tcMar>
          </w:tcPr>
          <w:p>
            <w:pPr>
              <w:pStyle w:val="TableContents"/>
              <w:spacing w:before="0" w:after="1"/>
              <w:ind w:left="0" w:right="0" w:hanging="0"/>
              <w:jc w:val="right"/>
              <w:rPr/>
            </w:pPr>
            <w:r>
              <w:rPr/>
              <w:t> </w:t>
            </w:r>
          </w:p>
        </w:tc>
        <w:tc>
          <w:tcPr>
            <w:tcW w:w="6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14,264  </w:t>
            </w:r>
          </w:p>
        </w:tc>
      </w:tr>
      <w:tr>
        <w:trPr/>
        <w:tc>
          <w:tcPr>
            <w:tcW w:w="2780" w:type="dxa"/>
            <w:tcBorders>
              <w:top w:val="single" w:sz="8" w:space="0" w:color="000000"/>
            </w:tcBorders>
            <w:shd w:fill="CCEEFF" w:val="clear"/>
            <w:tcMar>
              <w:top w:w="28" w:type="dxa"/>
            </w:tcMar>
          </w:tcPr>
          <w:p>
            <w:pPr>
              <w:pStyle w:val="TableContents"/>
              <w:spacing w:before="0" w:after="1"/>
              <w:ind w:left="0" w:right="0" w:hanging="0"/>
              <w:jc w:val="both"/>
              <w:rPr>
                <w:b/>
                <w:sz w:val="17"/>
              </w:rPr>
            </w:pPr>
            <w:r>
              <w:rPr>
                <w:b/>
                <w:sz w:val="17"/>
              </w:rPr>
              <w:t>Deferred income tax expense (benefit)</w:t>
            </w:r>
          </w:p>
        </w:tc>
        <w:tc>
          <w:tcPr>
            <w:tcW w:w="110"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51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68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62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2780" w:type="dxa"/>
            <w:tcBorders/>
            <w:shd w:fill="FFFFFF" w:val="clear"/>
          </w:tcPr>
          <w:p>
            <w:pPr>
              <w:pStyle w:val="TableContents"/>
              <w:spacing w:before="0" w:after="1"/>
              <w:ind w:left="120" w:right="0" w:hanging="0"/>
              <w:jc w:val="both"/>
              <w:rPr>
                <w:sz w:val="17"/>
              </w:rPr>
            </w:pPr>
            <w:r>
              <w:rPr>
                <w:sz w:val="17"/>
              </w:rPr>
              <w:t>Federal</w:t>
            </w:r>
          </w:p>
        </w:tc>
        <w:tc>
          <w:tcPr>
            <w:tcW w:w="110" w:type="dxa"/>
            <w:tcBorders/>
            <w:shd w:fill="FFFFFF" w:val="clear"/>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65" w:hanging="0"/>
              <w:jc w:val="right"/>
              <w:rPr>
                <w:sz w:val="17"/>
              </w:rPr>
            </w:pPr>
            <w:r>
              <w:rPr>
                <w:sz w:val="17"/>
              </w:rPr>
              <w:t>--</w:t>
            </w:r>
          </w:p>
        </w:tc>
      </w:tr>
      <w:tr>
        <w:trPr/>
        <w:tc>
          <w:tcPr>
            <w:tcW w:w="2780" w:type="dxa"/>
            <w:tcBorders/>
            <w:shd w:fill="CCEEFF" w:val="clear"/>
          </w:tcPr>
          <w:p>
            <w:pPr>
              <w:pStyle w:val="TableContents"/>
              <w:spacing w:before="0" w:after="1"/>
              <w:ind w:left="120" w:right="0" w:hanging="0"/>
              <w:jc w:val="both"/>
              <w:rPr>
                <w:sz w:val="17"/>
              </w:rPr>
            </w:pPr>
            <w:r>
              <w:rPr>
                <w:sz w:val="17"/>
              </w:rPr>
              <w:t xml:space="preserve">State </w:t>
            </w:r>
          </w:p>
        </w:tc>
        <w:tc>
          <w:tcPr>
            <w:tcW w:w="110" w:type="dxa"/>
            <w:tcBorders/>
            <w:shd w:fill="CCEEFF" w:val="clear"/>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1"/>
              <w:ind w:left="0" w:right="65" w:hanging="0"/>
              <w:jc w:val="right"/>
              <w:rPr>
                <w:sz w:val="17"/>
              </w:rPr>
            </w:pPr>
            <w:r>
              <w:rPr>
                <w:sz w:val="17"/>
              </w:rPr>
              <w:t>--</w:t>
            </w:r>
          </w:p>
        </w:tc>
      </w:tr>
      <w:tr>
        <w:trPr/>
        <w:tc>
          <w:tcPr>
            <w:tcW w:w="2780" w:type="dxa"/>
            <w:tcBorders>
              <w:bottom w:val="single" w:sz="8" w:space="0" w:color="000000"/>
            </w:tcBorders>
            <w:shd w:fill="FFFFFF" w:val="clear"/>
            <w:tcMar>
              <w:bottom w:w="28" w:type="dxa"/>
            </w:tcMar>
          </w:tcPr>
          <w:p>
            <w:pPr>
              <w:pStyle w:val="TableContents"/>
              <w:spacing w:before="0" w:after="1"/>
              <w:ind w:left="120" w:right="0" w:hanging="0"/>
              <w:jc w:val="both"/>
              <w:rPr>
                <w:sz w:val="17"/>
              </w:rPr>
            </w:pPr>
            <w:r>
              <w:rPr>
                <w:sz w:val="17"/>
              </w:rPr>
              <w:t>Foreign</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51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1,986  </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6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(15,260) </w:t>
            </w:r>
          </w:p>
        </w:tc>
        <w:tc>
          <w:tcPr>
            <w:tcW w:w="110" w:type="dxa"/>
            <w:tcBorders>
              <w:bottom w:val="single" w:sz="8" w:space="0" w:color="000000"/>
            </w:tcBorders>
            <w:shd w:fill="FFFFFF" w:val="clear"/>
            <w:tcMar>
              <w:bottom w:w="28" w:type="dxa"/>
            </w:tcMar>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1"/>
              <w:ind w:left="0" w:right="65" w:hanging="0"/>
              <w:jc w:val="right"/>
              <w:rPr>
                <w:sz w:val="17"/>
              </w:rPr>
            </w:pPr>
            <w:r>
              <w:rPr>
                <w:sz w:val="17"/>
              </w:rPr>
              <w:t>--</w:t>
            </w:r>
          </w:p>
        </w:tc>
      </w:tr>
      <w:tr>
        <w:trPr/>
        <w:tc>
          <w:tcPr>
            <w:tcW w:w="2780" w:type="dxa"/>
            <w:tcBorders>
              <w:top w:val="single" w:sz="8" w:space="0" w:color="000000"/>
              <w:bottom w:val="single" w:sz="8" w:space="0" w:color="000000"/>
            </w:tcBorders>
            <w:shd w:fill="CCEEFF" w:val="clear"/>
            <w:tcMar>
              <w:top w:w="28" w:type="dxa"/>
              <w:bottom w:w="28" w:type="dxa"/>
            </w:tcMar>
          </w:tcPr>
          <w:p>
            <w:pPr>
              <w:pStyle w:val="TableContents"/>
              <w:spacing w:before="0" w:after="1"/>
              <w:ind w:left="240" w:right="0" w:hanging="0"/>
              <w:jc w:val="both"/>
              <w:rPr>
                <w:sz w:val="17"/>
              </w:rPr>
            </w:pPr>
            <w:r>
              <w:rPr>
                <w:sz w:val="17"/>
              </w:rPr>
              <w:t>Total</w:t>
            </w:r>
          </w:p>
        </w:tc>
        <w:tc>
          <w:tcPr>
            <w:tcW w:w="110" w:type="dxa"/>
            <w:tcBorders>
              <w:top w:val="single" w:sz="8" w:space="0" w:color="000000"/>
              <w:bottom w:val="single" w:sz="8" w:space="0" w:color="000000"/>
            </w:tcBorders>
            <w:shd w:fill="CCEEFF" w:val="clear"/>
            <w:tcMar>
              <w:top w:w="28" w:type="dxa"/>
              <w:bottom w:w="28" w:type="dxa"/>
            </w:tcMar>
          </w:tcPr>
          <w:p>
            <w:pPr>
              <w:pStyle w:val="TableContents"/>
              <w:spacing w:before="0" w:after="1"/>
              <w:ind w:left="0" w:right="0" w:hanging="0"/>
              <w:jc w:val="right"/>
              <w:rPr/>
            </w:pPr>
            <w:r>
              <w:rPr/>
              <w:t> </w:t>
            </w:r>
          </w:p>
        </w:tc>
        <w:tc>
          <w:tcPr>
            <w:tcW w:w="51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1,986  </w:t>
            </w:r>
          </w:p>
        </w:tc>
        <w:tc>
          <w:tcPr>
            <w:tcW w:w="110" w:type="dxa"/>
            <w:tcBorders>
              <w:top w:val="single" w:sz="8" w:space="0" w:color="000000"/>
              <w:bottom w:val="single" w:sz="8" w:space="0" w:color="000000"/>
            </w:tcBorders>
            <w:shd w:fill="CCEEFF" w:val="clear"/>
            <w:tcMar>
              <w:top w:w="28" w:type="dxa"/>
              <w:bottom w:w="28" w:type="dxa"/>
            </w:tcMar>
          </w:tcPr>
          <w:p>
            <w:pPr>
              <w:pStyle w:val="TableContents"/>
              <w:spacing w:before="0" w:after="1"/>
              <w:ind w:left="0" w:right="0" w:hanging="0"/>
              <w:jc w:val="right"/>
              <w:rPr/>
            </w:pPr>
            <w:r>
              <w:rPr/>
              <w:t> </w:t>
            </w:r>
          </w:p>
        </w:tc>
        <w:tc>
          <w:tcPr>
            <w:tcW w:w="68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(15,260) </w:t>
            </w:r>
          </w:p>
        </w:tc>
        <w:tc>
          <w:tcPr>
            <w:tcW w:w="110" w:type="dxa"/>
            <w:tcBorders>
              <w:top w:val="single" w:sz="8" w:space="0" w:color="000000"/>
              <w:bottom w:val="single" w:sz="8" w:space="0" w:color="000000"/>
            </w:tcBorders>
            <w:shd w:fill="CCEEFF" w:val="clear"/>
            <w:tcMar>
              <w:top w:w="28" w:type="dxa"/>
              <w:bottom w:w="28" w:type="dxa"/>
            </w:tcMar>
          </w:tcPr>
          <w:p>
            <w:pPr>
              <w:pStyle w:val="TableContents"/>
              <w:spacing w:before="0" w:after="1"/>
              <w:ind w:left="0" w:right="0" w:hanging="0"/>
              <w:jc w:val="right"/>
              <w:rPr/>
            </w:pPr>
            <w:r>
              <w:rPr/>
              <w:t> </w:t>
            </w:r>
          </w:p>
        </w:tc>
        <w:tc>
          <w:tcPr>
            <w:tcW w:w="62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65" w:hanging="0"/>
              <w:jc w:val="right"/>
              <w:rPr>
                <w:sz w:val="17"/>
              </w:rPr>
            </w:pPr>
            <w:r>
              <w:rPr>
                <w:sz w:val="17"/>
              </w:rPr>
              <w:t>--</w:t>
            </w:r>
          </w:p>
        </w:tc>
      </w:tr>
      <w:tr>
        <w:trPr/>
        <w:tc>
          <w:tcPr>
            <w:tcW w:w="278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both"/>
              <w:rPr>
                <w:b/>
                <w:sz w:val="17"/>
              </w:rPr>
            </w:pPr>
            <w:r>
              <w:rPr>
                <w:b/>
                <w:sz w:val="17"/>
              </w:rPr>
              <w:t>Total income tax expense (benefit)</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4,904  </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6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(12,330) </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14,264 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 (dollars in thousands):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firstLine="720"/>
        <w:jc w:val="both"/>
        <w:rPr/>
      </w:pPr>
      <w:r>
        <w:rPr/>
        <w:t xml:space="preserve">  </w:t>
      </w:r>
    </w:p>
    <w:p>
      <w:pPr>
        <w:pStyle w:val="TextBody"/>
        <w:spacing w:before="0" w:after="0"/>
        <w:ind w:left="1440" w:right="0" w:firstLine="720"/>
        <w:jc w:val="both"/>
        <w:rPr/>
      </w:pPr>
      <w:r>
        <w:rPr/>
        <w:t xml:space="preserve">  </w:t>
      </w:r>
    </w:p>
    <w:tbl>
      <w:tblPr>
        <w:tblW w:w="4435" w:type="dxa"/>
        <w:jc w:val="left"/>
        <w:tblInd w:w="1440" w:type="dxa"/>
        <w:tblCellMar>
          <w:top w:w="0" w:type="dxa"/>
          <w:left w:w="0" w:type="dxa"/>
          <w:bottom w:w="0" w:type="dxa"/>
          <w:right w:w="0" w:type="dxa"/>
        </w:tblCellMar>
      </w:tblPr>
      <w:tblGrid>
        <w:gridCol w:w="2840"/>
        <w:gridCol w:w="110"/>
        <w:gridCol w:w="680"/>
        <w:gridCol w:w="110"/>
        <w:gridCol w:w="695"/>
      </w:tblGrid>
      <w:tr>
        <w:trPr/>
        <w:tc>
          <w:tcPr>
            <w:tcW w:w="28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r>
      <w:tr>
        <w:trPr/>
        <w:tc>
          <w:tcPr>
            <w:tcW w:w="28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r>
      <w:tr>
        <w:trPr/>
        <w:tc>
          <w:tcPr>
            <w:tcW w:w="2840" w:type="dxa"/>
            <w:tcBorders/>
            <w:shd w:fill="auto" w:val="clear"/>
            <w:vAlign w:val="bottom"/>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center"/>
              <w:rPr/>
            </w:pPr>
            <w:r>
              <w:rPr/>
              <w:t> </w:t>
            </w:r>
          </w:p>
        </w:tc>
        <w:tc>
          <w:tcPr>
            <w:tcW w:w="1485" w:type="dxa"/>
            <w:gridSpan w:val="3"/>
            <w:tcBorders>
              <w:bottom w:val="single" w:sz="8" w:space="0" w:color="000000"/>
            </w:tcBorders>
            <w:shd w:fill="auto" w:val="clear"/>
            <w:tcMar>
              <w:bottom w:w="28" w:type="dxa"/>
            </w:tcMar>
          </w:tcPr>
          <w:p>
            <w:pPr>
              <w:pStyle w:val="TableContents"/>
              <w:spacing w:before="0" w:after="1"/>
              <w:ind w:left="0" w:right="0" w:hanging="0"/>
              <w:jc w:val="center"/>
              <w:rPr>
                <w:b/>
                <w:sz w:val="17"/>
              </w:rPr>
            </w:pPr>
            <w:r>
              <w:rPr>
                <w:b/>
                <w:sz w:val="17"/>
              </w:rPr>
              <w:t>December 31,</w:t>
            </w:r>
          </w:p>
        </w:tc>
      </w:tr>
      <w:tr>
        <w:trPr/>
        <w:tc>
          <w:tcPr>
            <w:tcW w:w="2840"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Components of Deferred Tax Assets</w:t>
            </w:r>
          </w:p>
        </w:tc>
        <w:tc>
          <w:tcPr>
            <w:tcW w:w="1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680"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pPr>
            <w:r>
              <w:rPr/>
              <w:t> </w:t>
            </w:r>
          </w:p>
        </w:tc>
        <w:tc>
          <w:tcPr>
            <w:tcW w:w="695" w:type="dxa"/>
            <w:tcBorders>
              <w:top w:val="single" w:sz="8" w:space="0" w:color="000000"/>
              <w:bottom w:val="single" w:sz="12" w:space="0" w:color="000000"/>
            </w:tcBorders>
            <w:shd w:fill="auto" w:val="clear"/>
            <w:tcMar>
              <w:top w:w="28" w:type="dxa"/>
              <w:bottom w:w="28" w:type="dxa"/>
            </w:tcMar>
          </w:tcPr>
          <w:p>
            <w:pPr>
              <w:pStyle w:val="TableContents"/>
              <w:spacing w:before="0" w:after="1"/>
              <w:ind w:left="0" w:right="0" w:hanging="0"/>
              <w:jc w:val="center"/>
              <w:rPr>
                <w:b/>
                <w:sz w:val="17"/>
              </w:rPr>
            </w:pPr>
            <w:r>
              <w:rPr>
                <w:b/>
                <w:sz w:val="17"/>
              </w:rPr>
              <w:t>2011</w:t>
            </w:r>
          </w:p>
        </w:tc>
      </w:tr>
      <w:tr>
        <w:trPr/>
        <w:tc>
          <w:tcPr>
            <w:tcW w:w="2840"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Deferred Tax Assets:</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68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695" w:type="dxa"/>
            <w:tcBorders>
              <w:top w:val="single" w:sz="8" w:space="0" w:color="000000"/>
            </w:tcBorders>
            <w:shd w:fill="auto" w:val="clear"/>
            <w:tcMar>
              <w:top w:w="28" w:type="dxa"/>
            </w:tcMar>
          </w:tcPr>
          <w:p>
            <w:pPr>
              <w:pStyle w:val="TableContents"/>
              <w:spacing w:before="0" w:after="1"/>
              <w:ind w:left="0" w:right="0" w:hanging="0"/>
              <w:jc w:val="both"/>
              <w:rPr/>
            </w:pPr>
            <w:r>
              <w:rPr/>
              <w:t> </w:t>
            </w:r>
          </w:p>
        </w:tc>
      </w:tr>
      <w:tr>
        <w:trPr/>
        <w:tc>
          <w:tcPr>
            <w:tcW w:w="2840" w:type="dxa"/>
            <w:tcBorders/>
            <w:shd w:fill="CCEEFF" w:val="clear"/>
            <w:vAlign w:val="bottom"/>
          </w:tcPr>
          <w:p>
            <w:pPr>
              <w:pStyle w:val="TableContents"/>
              <w:spacing w:before="0" w:after="1"/>
              <w:ind w:left="120" w:right="0" w:hanging="0"/>
              <w:jc w:val="both"/>
              <w:rPr>
                <w:sz w:val="17"/>
              </w:rPr>
            </w:pPr>
            <w:r>
              <w:rPr>
                <w:sz w:val="17"/>
              </w:rPr>
              <w:t xml:space="preserve">Net operating loss carry forwards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80" w:type="dxa"/>
            <w:tcBorders/>
            <w:shd w:fill="CCEEFF" w:val="clear"/>
            <w:vAlign w:val="bottom"/>
          </w:tcPr>
          <w:p>
            <w:pPr>
              <w:pStyle w:val="TableContents"/>
              <w:spacing w:before="0" w:after="283"/>
              <w:jc w:val="right"/>
              <w:rPr>
                <w:sz w:val="17"/>
              </w:rPr>
            </w:pPr>
            <w:r>
              <w:rPr>
                <w:sz w:val="17"/>
              </w:rPr>
              <w:t xml:space="preserve">31,040 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35,455  </w:t>
            </w:r>
          </w:p>
        </w:tc>
      </w:tr>
      <w:tr>
        <w:trPr/>
        <w:tc>
          <w:tcPr>
            <w:tcW w:w="2840" w:type="dxa"/>
            <w:tcBorders/>
            <w:shd w:fill="FFFFFF" w:val="clear"/>
            <w:vAlign w:val="bottom"/>
          </w:tcPr>
          <w:p>
            <w:pPr>
              <w:pStyle w:val="TableContents"/>
              <w:spacing w:before="0" w:after="1"/>
              <w:ind w:left="120" w:right="0" w:hanging="0"/>
              <w:jc w:val="both"/>
              <w:rPr>
                <w:sz w:val="17"/>
              </w:rPr>
            </w:pPr>
            <w:r>
              <w:rPr>
                <w:sz w:val="17"/>
              </w:rPr>
              <w:t>Impairment reserves</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4,493 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1,764  </w:t>
            </w:r>
          </w:p>
        </w:tc>
      </w:tr>
      <w:tr>
        <w:trPr/>
        <w:tc>
          <w:tcPr>
            <w:tcW w:w="2840" w:type="dxa"/>
            <w:tcBorders/>
            <w:shd w:fill="CCEEFF" w:val="clear"/>
            <w:vAlign w:val="bottom"/>
          </w:tcPr>
          <w:p>
            <w:pPr>
              <w:pStyle w:val="TableContents"/>
              <w:spacing w:before="0" w:after="1"/>
              <w:ind w:left="120" w:right="0" w:hanging="0"/>
              <w:jc w:val="both"/>
              <w:rPr>
                <w:sz w:val="17"/>
              </w:rPr>
            </w:pPr>
            <w:r>
              <w:rPr>
                <w:sz w:val="17"/>
              </w:rPr>
              <w:t>Alternative minimum tax carry forwards</w:t>
            </w:r>
          </w:p>
        </w:tc>
        <w:tc>
          <w:tcPr>
            <w:tcW w:w="110" w:type="dxa"/>
            <w:tcBorders/>
            <w:shd w:fill="CCEEFF" w:val="clear"/>
            <w:vAlign w:val="bottom"/>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283"/>
              <w:jc w:val="right"/>
              <w:rPr>
                <w:sz w:val="17"/>
              </w:rPr>
            </w:pPr>
            <w:r>
              <w:rPr>
                <w:sz w:val="17"/>
              </w:rPr>
              <w:t xml:space="preserve">3,118 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2,993  </w:t>
            </w:r>
          </w:p>
        </w:tc>
      </w:tr>
      <w:tr>
        <w:trPr/>
        <w:tc>
          <w:tcPr>
            <w:tcW w:w="2840" w:type="dxa"/>
            <w:tcBorders/>
            <w:shd w:fill="FFFFFF" w:val="clear"/>
            <w:vAlign w:val="bottom"/>
          </w:tcPr>
          <w:p>
            <w:pPr>
              <w:pStyle w:val="TableContents"/>
              <w:spacing w:before="0" w:after="1"/>
              <w:ind w:left="120" w:right="0" w:hanging="0"/>
              <w:jc w:val="both"/>
              <w:rPr>
                <w:sz w:val="17"/>
              </w:rPr>
            </w:pPr>
            <w:r>
              <w:rPr>
                <w:sz w:val="17"/>
              </w:rPr>
              <w:t>Installment sale of cinema property</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3,022 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2,929  </w:t>
            </w:r>
          </w:p>
        </w:tc>
      </w:tr>
      <w:tr>
        <w:trPr/>
        <w:tc>
          <w:tcPr>
            <w:tcW w:w="2840" w:type="dxa"/>
            <w:tcBorders/>
            <w:shd w:fill="CCEEFF" w:val="clear"/>
            <w:vAlign w:val="bottom"/>
          </w:tcPr>
          <w:p>
            <w:pPr>
              <w:pStyle w:val="TableContents"/>
              <w:spacing w:before="0" w:after="1"/>
              <w:ind w:left="120" w:right="0" w:hanging="0"/>
              <w:jc w:val="both"/>
              <w:rPr>
                <w:sz w:val="17"/>
              </w:rPr>
            </w:pPr>
            <w:r>
              <w:rPr>
                <w:sz w:val="17"/>
              </w:rPr>
              <w:t>Deferred revenue and expense</w:t>
            </w:r>
          </w:p>
        </w:tc>
        <w:tc>
          <w:tcPr>
            <w:tcW w:w="110" w:type="dxa"/>
            <w:tcBorders/>
            <w:shd w:fill="CCEEFF" w:val="clear"/>
            <w:vAlign w:val="bottom"/>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283"/>
              <w:jc w:val="right"/>
              <w:rPr>
                <w:sz w:val="17"/>
              </w:rPr>
            </w:pPr>
            <w:r>
              <w:rPr>
                <w:sz w:val="17"/>
              </w:rPr>
              <w:t xml:space="preserve">6,708  </w:t>
            </w:r>
          </w:p>
        </w:tc>
        <w:tc>
          <w:tcPr>
            <w:tcW w:w="110" w:type="dxa"/>
            <w:tcBorders/>
            <w:shd w:fill="CCEEFF" w:val="clear"/>
            <w:vAlign w:val="bottom"/>
          </w:tcPr>
          <w:p>
            <w:pPr>
              <w:pStyle w:val="TableContents"/>
              <w:spacing w:before="0" w:after="1"/>
              <w:ind w:left="0" w:right="0" w:hanging="0"/>
              <w:jc w:val="right"/>
              <w:rPr/>
            </w:pPr>
            <w:r>
              <w:rPr/>
              <w:t> </w:t>
            </w:r>
          </w:p>
        </w:tc>
        <w:tc>
          <w:tcPr>
            <w:tcW w:w="695" w:type="dxa"/>
            <w:tcBorders/>
            <w:shd w:fill="CCEEFF" w:val="clear"/>
            <w:vAlign w:val="bottom"/>
          </w:tcPr>
          <w:p>
            <w:pPr>
              <w:pStyle w:val="TableContents"/>
              <w:spacing w:before="0" w:after="283"/>
              <w:jc w:val="right"/>
              <w:rPr>
                <w:sz w:val="17"/>
              </w:rPr>
            </w:pPr>
            <w:r>
              <w:rPr>
                <w:sz w:val="17"/>
              </w:rPr>
              <w:t xml:space="preserve">6,378  </w:t>
            </w:r>
          </w:p>
        </w:tc>
      </w:tr>
      <w:tr>
        <w:trPr/>
        <w:tc>
          <w:tcPr>
            <w:tcW w:w="2840" w:type="dxa"/>
            <w:tcBorders/>
            <w:shd w:fill="FFFFFF" w:val="clear"/>
            <w:vAlign w:val="bottom"/>
          </w:tcPr>
          <w:p>
            <w:pPr>
              <w:pStyle w:val="TableContents"/>
              <w:spacing w:before="0" w:after="1"/>
              <w:ind w:left="120" w:right="0" w:hanging="0"/>
              <w:jc w:val="both"/>
              <w:rPr>
                <w:sz w:val="17"/>
              </w:rPr>
            </w:pPr>
            <w:r>
              <w:rPr>
                <w:sz w:val="17"/>
              </w:rPr>
              <w:t>Acquired and option properties</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(952)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2,924  </w:t>
            </w:r>
          </w:p>
        </w:tc>
      </w:tr>
      <w:tr>
        <w:trPr/>
        <w:tc>
          <w:tcPr>
            <w:tcW w:w="2840"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7"/>
              </w:rPr>
            </w:pPr>
            <w:r>
              <w:rPr>
                <w:sz w:val="17"/>
              </w:rPr>
              <w:t>Other</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3,122 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402  </w:t>
            </w:r>
          </w:p>
        </w:tc>
      </w:tr>
      <w:tr>
        <w:trPr/>
        <w:tc>
          <w:tcPr>
            <w:tcW w:w="2840" w:type="dxa"/>
            <w:tcBorders>
              <w:top w:val="single" w:sz="8" w:space="0" w:color="000000"/>
            </w:tcBorders>
            <w:shd w:fill="FFFFFF" w:val="clear"/>
            <w:tcMar>
              <w:top w:w="28" w:type="dxa"/>
            </w:tcMar>
            <w:vAlign w:val="bottom"/>
          </w:tcPr>
          <w:p>
            <w:pPr>
              <w:pStyle w:val="TableContents"/>
              <w:spacing w:before="0" w:after="1"/>
              <w:ind w:left="0" w:right="0" w:hanging="0"/>
              <w:jc w:val="both"/>
              <w:rPr>
                <w:sz w:val="17"/>
              </w:rPr>
            </w:pPr>
            <w:r>
              <w:rPr>
                <w:sz w:val="17"/>
              </w:rPr>
              <w:t>Total Deferred Tax Assets</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8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50,551 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69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52,845  </w:t>
            </w:r>
          </w:p>
        </w:tc>
      </w:tr>
      <w:tr>
        <w:trPr/>
        <w:tc>
          <w:tcPr>
            <w:tcW w:w="2840" w:type="dxa"/>
            <w:tcBorders>
              <w:bottom w:val="single" w:sz="8" w:space="0" w:color="000000"/>
            </w:tcBorders>
            <w:shd w:fill="CCEEFF" w:val="clear"/>
            <w:tcMar>
              <w:bottom w:w="28" w:type="dxa"/>
            </w:tcMar>
            <w:vAlign w:val="bottom"/>
          </w:tcPr>
          <w:p>
            <w:pPr>
              <w:pStyle w:val="TableContents"/>
              <w:spacing w:before="0" w:after="1"/>
              <w:ind w:left="120" w:right="0" w:hanging="0"/>
              <w:jc w:val="both"/>
              <w:rPr>
                <w:sz w:val="17"/>
              </w:rPr>
            </w:pPr>
            <w:r>
              <w:rPr>
                <w:sz w:val="17"/>
              </w:rPr>
              <w:t>Valuation allowance</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8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(37,903)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(38,461) </w:t>
            </w:r>
          </w:p>
        </w:tc>
      </w:tr>
      <w:tr>
        <w:trPr/>
        <w:tc>
          <w:tcPr>
            <w:tcW w:w="284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Net deferred tax asset</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8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12,648 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14,384 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In accordance with FASB ASC 740-10 – </w:t>
      </w:r>
      <w:r>
        <w:rPr>
          <w:i/>
          <w:sz w:val="17"/>
        </w:rPr>
        <w:t>Income Taxes</w:t>
      </w:r>
      <w:r>
        <w:rPr>
          <w:sz w:val="17"/>
        </w:rPr>
        <w:t xml:space="preserve"> (“ASC 740-10”), 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ASC 740-10 presumes that a valuation allowance is required when there is substantial negative evidence about realization of deferred tax assets, such as a pattern of losses in recent years, coupled with facts that suggest such losses may continue.  Because of such negative evidence available for the U.S., Puerto Rico, and New Zealand, as of December 31, 2012, we recorded a valuation allowance of $37.9 million. After consideration of a number of factors for the Reading Australia group, including its recent history of financial income, its expected future earnings, the increase in market value of its real estate assets, and having executed a credit facility of over $100.0 million to resolve potential liquidity issues, the Company determined as of July 1, 2011 that it is more likely than not that deferred tax assets in Reading Australia group will be realized. Accordingly, we reversed the full valuation allowance in Australia, resulting in a net deferred tax asset of $14.4 million as of December 31, 2011, with approximately $3.4 million classified as current and $11.0 million as non-current. </w:t>
      </w:r>
    </w:p>
    <w:p>
      <w:pPr>
        <w:pStyle w:val="TextBody"/>
        <w:spacing w:before="0" w:after="200"/>
        <w:ind w:left="1440" w:right="0" w:firstLine="720"/>
        <w:jc w:val="both"/>
        <w:rPr>
          <w:sz w:val="17"/>
        </w:rPr>
      </w:pPr>
      <w:r>
        <w:rPr>
          <w:sz w:val="17"/>
        </w:rPr>
        <w:t xml:space="preserve">As of December 31, 2012, we had U.S. net operating loss carry forwards of $21.7 million, of which $14.4 million expire between 2025 and 2030, while $7.3 million expire between 2030 and 2035. </w:t>
      </w:r>
    </w:p>
    <w:p>
      <w:pPr>
        <w:pStyle w:val="TextBody"/>
        <w:spacing w:before="0" w:after="200"/>
        <w:ind w:left="1440" w:right="0" w:firstLine="720"/>
        <w:jc w:val="both"/>
        <w:rPr>
          <w:sz w:val="17"/>
        </w:rPr>
      </w:pPr>
      <w:r>
        <w:rPr>
          <w:sz w:val="17"/>
        </w:rPr>
        <w:t xml:space="preserve">In addition to the above net operating loss carry forwards having expiration dates, we have the following carry forwards that have no expiration date at December 31, 2012: </w:t>
      </w:r>
    </w:p>
    <w:tbl>
      <w:tblPr>
        <w:tblW w:w="5905" w:type="dxa"/>
        <w:jc w:val="left"/>
        <w:tblInd w:w="1440" w:type="dxa"/>
        <w:tblCellMar>
          <w:top w:w="0" w:type="dxa"/>
          <w:left w:w="0" w:type="dxa"/>
          <w:bottom w:w="0" w:type="dxa"/>
          <w:right w:w="0" w:type="dxa"/>
        </w:tblCellMar>
      </w:tblPr>
      <w:tblGrid>
        <w:gridCol w:w="155"/>
        <w:gridCol w:w="575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750" w:type="dxa"/>
            <w:tcBorders/>
            <w:shd w:fill="auto" w:val="clear"/>
          </w:tcPr>
          <w:p>
            <w:pPr>
              <w:pStyle w:val="TableContents"/>
              <w:pBdr/>
              <w:spacing w:before="0" w:after="283"/>
              <w:jc w:val="both"/>
              <w:rPr>
                <w:sz w:val="17"/>
              </w:rPr>
            </w:pPr>
            <w:r>
              <w:rPr>
                <w:sz w:val="17"/>
              </w:rPr>
              <w:t>approximately $3.1 million in U.S. alternative minimum tax credit carry forwards;</w:t>
            </w:r>
          </w:p>
        </w:tc>
      </w:tr>
    </w:tbl>
    <w:tbl>
      <w:tblPr>
        <w:tblW w:w="4915" w:type="dxa"/>
        <w:jc w:val="left"/>
        <w:tblInd w:w="1440" w:type="dxa"/>
        <w:tblCellMar>
          <w:top w:w="0" w:type="dxa"/>
          <w:left w:w="0" w:type="dxa"/>
          <w:bottom w:w="0" w:type="dxa"/>
          <w:right w:w="0" w:type="dxa"/>
        </w:tblCellMar>
      </w:tblPr>
      <w:tblGrid>
        <w:gridCol w:w="155"/>
        <w:gridCol w:w="47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760" w:type="dxa"/>
            <w:tcBorders/>
            <w:shd w:fill="auto" w:val="clear"/>
          </w:tcPr>
          <w:p>
            <w:pPr>
              <w:pStyle w:val="TableContents"/>
              <w:pBdr/>
              <w:spacing w:before="0" w:after="283"/>
              <w:jc w:val="both"/>
              <w:rPr>
                <w:sz w:val="17"/>
              </w:rPr>
            </w:pPr>
            <w:r>
              <w:rPr>
                <w:sz w:val="17"/>
              </w:rPr>
              <w:t xml:space="preserve">approximately $45.9 million in Australian loss carry forwards; and  </w:t>
            </w:r>
          </w:p>
        </w:tc>
      </w:tr>
    </w:tbl>
    <w:tbl>
      <w:tblPr>
        <w:tblW w:w="4735" w:type="dxa"/>
        <w:jc w:val="left"/>
        <w:tblInd w:w="1440" w:type="dxa"/>
        <w:tblCellMar>
          <w:top w:w="0" w:type="dxa"/>
          <w:left w:w="0" w:type="dxa"/>
          <w:bottom w:w="0" w:type="dxa"/>
          <w:right w:w="0" w:type="dxa"/>
        </w:tblCellMar>
      </w:tblPr>
      <w:tblGrid>
        <w:gridCol w:w="155"/>
        <w:gridCol w:w="458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4580" w:type="dxa"/>
            <w:tcBorders/>
            <w:shd w:fill="auto" w:val="clear"/>
          </w:tcPr>
          <w:p>
            <w:pPr>
              <w:pStyle w:val="TableContents"/>
              <w:pBdr/>
              <w:spacing w:before="0" w:after="283"/>
              <w:jc w:val="both"/>
              <w:rPr>
                <w:sz w:val="17"/>
              </w:rPr>
            </w:pPr>
            <w:r>
              <w:rPr>
                <w:sz w:val="17"/>
              </w:rPr>
              <w:t>approximately $16.3 million in New Zealand loss carry forwards.</w:t>
            </w:r>
          </w:p>
        </w:tc>
      </w:tr>
    </w:tbl>
    <w:p>
      <w:pPr>
        <w:pStyle w:val="TextBody"/>
        <w:spacing w:before="200" w:after="200"/>
        <w:ind w:left="1440" w:right="0" w:firstLine="720"/>
        <w:jc w:val="both"/>
        <w:rPr>
          <w:sz w:val="17"/>
        </w:rPr>
      </w:pPr>
      <w:r>
        <w:rPr>
          <w:sz w:val="17"/>
        </w:rPr>
        <w:t xml:space="preserve">We disposed of our Puerto Rico operations during 2005 and plan no further investment in Puerto Rico for the foreseeable future.  We have approximately $14.1 million in Puerto Rico loss carry forwards expiring no later than 2018.  No material future tax benefits from Puerto Rico loss carry forwards can be recognized by the Company unless it re-enters the Puerto Rico market.  </w:t>
      </w:r>
    </w:p>
    <w:p>
      <w:pPr>
        <w:pStyle w:val="TextBody"/>
        <w:spacing w:before="0" w:after="200"/>
        <w:ind w:left="1440" w:right="0" w:firstLine="720"/>
        <w:jc w:val="both"/>
        <w:rPr>
          <w:sz w:val="17"/>
        </w:rPr>
      </w:pPr>
      <w:r>
        <w:rPr>
          <w:sz w:val="17"/>
        </w:rPr>
        <w:t xml:space="preserve">We expect no other substantial limitations on the future use of U.S. or foreign loss carry forwards except as may occur for certain losses occurring in New Zealand related to the Landplan operations, which may only be used to offset income and gains from those particular activities, and cannot be shared with their respective consolidated group. </w:t>
      </w:r>
    </w:p>
    <w:p>
      <w:pPr>
        <w:pStyle w:val="TextBody"/>
        <w:spacing w:before="0" w:after="200"/>
        <w:ind w:left="1440" w:right="0" w:firstLine="720"/>
        <w:jc w:val="both"/>
        <w:rPr>
          <w:sz w:val="17"/>
        </w:rPr>
      </w:pPr>
      <w:r>
        <w:rPr>
          <w:sz w:val="17"/>
        </w:rPr>
        <w:t xml:space="preserve">U.S. income taxes have not been recognized on the temporary differences between book value and tax basis of investment in foreign subsidiaries.  These differences become taxable upon a sale of the subsidiary or upon distribution of assets from the subsidiary to U.S. shareholders.  We expect neither of these events will occur in the foreseeable future for any of our foreign subsidiaries.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The provision for income taxes is different from amounts computed by applying U.S. statutory rates to consolidated losses before taxes.  The significant reason for these differences follows (dollars in thousands): </w:t>
      </w:r>
    </w:p>
    <w:p>
      <w:pPr>
        <w:pStyle w:val="TextBody"/>
        <w:spacing w:before="0" w:after="0"/>
        <w:ind w:left="1440" w:right="0" w:firstLine="720"/>
        <w:jc w:val="both"/>
        <w:rPr/>
      </w:pPr>
      <w:r>
        <w:rPr/>
        <w:t xml:space="preserve">  </w:t>
      </w:r>
    </w:p>
    <w:tbl>
      <w:tblPr>
        <w:tblW w:w="5615" w:type="dxa"/>
        <w:jc w:val="left"/>
        <w:tblInd w:w="1440" w:type="dxa"/>
        <w:tblCellMar>
          <w:top w:w="0" w:type="dxa"/>
          <w:left w:w="0" w:type="dxa"/>
          <w:bottom w:w="0" w:type="dxa"/>
          <w:right w:w="0" w:type="dxa"/>
        </w:tblCellMar>
      </w:tblPr>
      <w:tblGrid>
        <w:gridCol w:w="3470"/>
        <w:gridCol w:w="110"/>
        <w:gridCol w:w="515"/>
        <w:gridCol w:w="110"/>
        <w:gridCol w:w="680"/>
        <w:gridCol w:w="110"/>
        <w:gridCol w:w="620"/>
      </w:tblGrid>
      <w:tr>
        <w:trPr/>
        <w:tc>
          <w:tcPr>
            <w:tcW w:w="34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34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34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35" w:type="dxa"/>
            <w:gridSpan w:val="5"/>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Year Ended December 31,</w:t>
            </w:r>
          </w:p>
        </w:tc>
      </w:tr>
      <w:tr>
        <w:trPr/>
        <w:tc>
          <w:tcPr>
            <w:tcW w:w="347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2010</w:t>
            </w:r>
          </w:p>
        </w:tc>
      </w:tr>
      <w:tr>
        <w:trPr/>
        <w:tc>
          <w:tcPr>
            <w:tcW w:w="347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Expected tax provision (benefit)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1,397 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8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(831)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554  </w:t>
            </w:r>
          </w:p>
        </w:tc>
      </w:tr>
      <w:tr>
        <w:trPr/>
        <w:tc>
          <w:tcPr>
            <w:tcW w:w="3470" w:type="dxa"/>
            <w:tcBorders/>
            <w:shd w:fill="FFFFFF" w:val="clear"/>
            <w:vAlign w:val="bottom"/>
          </w:tcPr>
          <w:p>
            <w:pPr>
              <w:pStyle w:val="TableContents"/>
              <w:spacing w:before="0" w:after="1"/>
              <w:ind w:left="0" w:right="0" w:hanging="0"/>
              <w:jc w:val="both"/>
              <w:rPr>
                <w:i/>
                <w:sz w:val="17"/>
              </w:rPr>
            </w:pPr>
            <w:r>
              <w:rPr>
                <w:i/>
                <w:sz w:val="17"/>
              </w:rPr>
              <w:t>Increase (decrease) in tax expense resulting from:</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1"/>
              <w:ind w:left="0" w:right="0" w:hanging="0"/>
              <w:jc w:val="both"/>
              <w:rPr/>
            </w:pPr>
            <w:r>
              <w:rPr/>
              <w:t> </w:t>
            </w:r>
          </w:p>
        </w:tc>
      </w:tr>
      <w:tr>
        <w:trPr/>
        <w:tc>
          <w:tcPr>
            <w:tcW w:w="3470" w:type="dxa"/>
            <w:tcBorders/>
            <w:shd w:fill="CCEEFF" w:val="clear"/>
            <w:vAlign w:val="bottom"/>
          </w:tcPr>
          <w:p>
            <w:pPr>
              <w:pStyle w:val="TableContents"/>
              <w:spacing w:before="0" w:after="1"/>
              <w:ind w:left="120" w:right="0" w:hanging="0"/>
              <w:jc w:val="both"/>
              <w:rPr>
                <w:sz w:val="17"/>
              </w:rPr>
            </w:pPr>
            <w:r>
              <w:rPr>
                <w:sz w:val="17"/>
              </w:rPr>
              <w:t>Change in valuation allowance</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(558) </w:t>
            </w:r>
          </w:p>
        </w:tc>
        <w:tc>
          <w:tcPr>
            <w:tcW w:w="110" w:type="dxa"/>
            <w:tcBorders/>
            <w:shd w:fill="CCEEFF" w:val="clear"/>
            <w:vAlign w:val="bottom"/>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283"/>
              <w:jc w:val="right"/>
              <w:rPr>
                <w:sz w:val="17"/>
              </w:rPr>
            </w:pPr>
            <w:r>
              <w:rPr>
                <w:sz w:val="17"/>
              </w:rPr>
              <w:t xml:space="preserve">(15,260)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(5,595) </w:t>
            </w:r>
          </w:p>
        </w:tc>
      </w:tr>
      <w:tr>
        <w:trPr/>
        <w:tc>
          <w:tcPr>
            <w:tcW w:w="3470" w:type="dxa"/>
            <w:tcBorders/>
            <w:shd w:fill="FFFFFF" w:val="clear"/>
            <w:vAlign w:val="bottom"/>
          </w:tcPr>
          <w:p>
            <w:pPr>
              <w:pStyle w:val="TableContents"/>
              <w:spacing w:before="0" w:after="1"/>
              <w:ind w:left="120" w:right="0" w:hanging="0"/>
              <w:jc w:val="both"/>
              <w:rPr>
                <w:sz w:val="17"/>
              </w:rPr>
            </w:pPr>
            <w:r>
              <w:rPr>
                <w:sz w:val="17"/>
              </w:rPr>
              <w:t>Expired foreign loss carry forward</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1,100 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1,816  </w:t>
            </w:r>
          </w:p>
        </w:tc>
      </w:tr>
      <w:tr>
        <w:trPr/>
        <w:tc>
          <w:tcPr>
            <w:tcW w:w="3470" w:type="dxa"/>
            <w:tcBorders/>
            <w:shd w:fill="CCEEFF" w:val="clear"/>
            <w:vAlign w:val="bottom"/>
          </w:tcPr>
          <w:p>
            <w:pPr>
              <w:pStyle w:val="TableContents"/>
              <w:spacing w:before="0" w:after="1"/>
              <w:ind w:left="120" w:right="0" w:hanging="0"/>
              <w:jc w:val="both"/>
              <w:rPr>
                <w:sz w:val="17"/>
              </w:rPr>
            </w:pPr>
            <w:r>
              <w:rPr>
                <w:sz w:val="17"/>
              </w:rPr>
              <w:t>Foreign tax provision</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3,356  </w:t>
            </w:r>
          </w:p>
        </w:tc>
        <w:tc>
          <w:tcPr>
            <w:tcW w:w="110" w:type="dxa"/>
            <w:tcBorders/>
            <w:shd w:fill="CCEEFF" w:val="clear"/>
            <w:vAlign w:val="bottom"/>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283"/>
              <w:jc w:val="right"/>
              <w:rPr>
                <w:sz w:val="17"/>
              </w:rPr>
            </w:pPr>
            <w:r>
              <w:rPr>
                <w:sz w:val="17"/>
              </w:rPr>
              <w:t xml:space="preserve">1,067 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1,291  </w:t>
            </w:r>
          </w:p>
        </w:tc>
      </w:tr>
      <w:tr>
        <w:trPr/>
        <w:tc>
          <w:tcPr>
            <w:tcW w:w="3470" w:type="dxa"/>
            <w:tcBorders/>
            <w:shd w:fill="FFFFFF" w:val="clear"/>
            <w:vAlign w:val="bottom"/>
          </w:tcPr>
          <w:p>
            <w:pPr>
              <w:pStyle w:val="TableContents"/>
              <w:spacing w:before="0" w:after="1"/>
              <w:ind w:left="120" w:right="0" w:hanging="0"/>
              <w:jc w:val="both"/>
              <w:rPr>
                <w:sz w:val="17"/>
              </w:rPr>
            </w:pPr>
            <w:r>
              <w:rPr>
                <w:sz w:val="17"/>
              </w:rPr>
              <w:t>Tax effect of foreign tax rates on current income</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(126) </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24 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(240) </w:t>
            </w:r>
          </w:p>
        </w:tc>
      </w:tr>
      <w:tr>
        <w:trPr/>
        <w:tc>
          <w:tcPr>
            <w:tcW w:w="3470" w:type="dxa"/>
            <w:tcBorders/>
            <w:shd w:fill="CCEEFF" w:val="clear"/>
            <w:vAlign w:val="bottom"/>
          </w:tcPr>
          <w:p>
            <w:pPr>
              <w:pStyle w:val="TableContents"/>
              <w:spacing w:before="0" w:after="1"/>
              <w:ind w:left="120" w:right="0" w:hanging="0"/>
              <w:jc w:val="both"/>
              <w:rPr>
                <w:sz w:val="17"/>
              </w:rPr>
            </w:pPr>
            <w:r>
              <w:rPr>
                <w:sz w:val="17"/>
              </w:rPr>
              <w:t>State and local tax provision</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283"/>
              <w:jc w:val="right"/>
              <w:rPr>
                <w:sz w:val="17"/>
              </w:rPr>
            </w:pPr>
            <w:r>
              <w:rPr>
                <w:sz w:val="17"/>
              </w:rPr>
              <w:t xml:space="preserve">408  </w:t>
            </w:r>
          </w:p>
        </w:tc>
        <w:tc>
          <w:tcPr>
            <w:tcW w:w="110" w:type="dxa"/>
            <w:tcBorders/>
            <w:shd w:fill="CCEEFF" w:val="clear"/>
            <w:vAlign w:val="bottom"/>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283"/>
              <w:jc w:val="right"/>
              <w:rPr>
                <w:sz w:val="17"/>
              </w:rPr>
            </w:pPr>
            <w:r>
              <w:rPr>
                <w:sz w:val="17"/>
              </w:rPr>
              <w:t xml:space="preserve">361 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440  </w:t>
            </w:r>
          </w:p>
        </w:tc>
      </w:tr>
      <w:tr>
        <w:trPr/>
        <w:tc>
          <w:tcPr>
            <w:tcW w:w="3470" w:type="dxa"/>
            <w:tcBorders/>
            <w:shd w:fill="FFFFFF" w:val="clear"/>
            <w:vAlign w:val="bottom"/>
          </w:tcPr>
          <w:p>
            <w:pPr>
              <w:pStyle w:val="TableContents"/>
              <w:spacing w:before="0" w:after="1"/>
              <w:ind w:left="120" w:right="0" w:hanging="0"/>
              <w:jc w:val="both"/>
              <w:rPr>
                <w:sz w:val="17"/>
              </w:rPr>
            </w:pPr>
            <w:r>
              <w:rPr>
                <w:sz w:val="17"/>
              </w:rPr>
              <w:t>Tax/Audit Litigation Settlement</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1,140  </w:t>
            </w:r>
          </w:p>
        </w:tc>
        <w:tc>
          <w:tcPr>
            <w:tcW w:w="110" w:type="dxa"/>
            <w:tcBorders/>
            <w:shd w:fill="FFFFFF" w:val="clear"/>
            <w:vAlign w:val="bottom"/>
          </w:tcPr>
          <w:p>
            <w:pPr>
              <w:pStyle w:val="TableContents"/>
              <w:spacing w:before="0" w:after="1"/>
              <w:ind w:left="0" w:right="0" w:hanging="0"/>
              <w:jc w:val="right"/>
              <w:rPr/>
            </w:pPr>
            <w:r>
              <w:rPr/>
              <w:t> </w:t>
            </w:r>
          </w:p>
        </w:tc>
        <w:tc>
          <w:tcPr>
            <w:tcW w:w="680" w:type="dxa"/>
            <w:tcBorders/>
            <w:shd w:fill="FFFFFF" w:val="clear"/>
            <w:vAlign w:val="bottom"/>
          </w:tcPr>
          <w:p>
            <w:pPr>
              <w:pStyle w:val="TableContents"/>
              <w:spacing w:before="0" w:after="283"/>
              <w:jc w:val="right"/>
              <w:rPr>
                <w:sz w:val="17"/>
              </w:rPr>
            </w:pPr>
            <w:r>
              <w:rPr>
                <w:sz w:val="17"/>
              </w:rPr>
              <w:t xml:space="preserve">1,375 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12,528  </w:t>
            </w:r>
          </w:p>
        </w:tc>
      </w:tr>
      <w:tr>
        <w:trPr/>
        <w:tc>
          <w:tcPr>
            <w:tcW w:w="3470" w:type="dxa"/>
            <w:tcBorders/>
            <w:shd w:fill="CCEEFF" w:val="clear"/>
            <w:vAlign w:val="bottom"/>
          </w:tcPr>
          <w:p>
            <w:pPr>
              <w:pStyle w:val="TableContents"/>
              <w:spacing w:before="0" w:after="1"/>
              <w:ind w:left="120" w:right="0" w:hanging="0"/>
              <w:jc w:val="both"/>
              <w:rPr>
                <w:sz w:val="17"/>
              </w:rPr>
            </w:pPr>
            <w:r>
              <w:rPr>
                <w:sz w:val="17"/>
              </w:rPr>
              <w:t>Effect of tax rate change</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68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3,422  </w:t>
            </w:r>
          </w:p>
        </w:tc>
      </w:tr>
      <w:tr>
        <w:trPr/>
        <w:tc>
          <w:tcPr>
            <w:tcW w:w="3470"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7"/>
              </w:rPr>
            </w:pPr>
            <w:r>
              <w:rPr>
                <w:sz w:val="17"/>
              </w:rPr>
              <w:t>Other items</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(713)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8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(166)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48  </w:t>
            </w:r>
          </w:p>
        </w:tc>
      </w:tr>
      <w:tr>
        <w:trPr/>
        <w:tc>
          <w:tcPr>
            <w:tcW w:w="34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Actual tax provision (benefit)</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4,904 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8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(12,330)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14,264  </w:t>
            </w:r>
          </w:p>
        </w:tc>
      </w:tr>
    </w:tbl>
    <w:p>
      <w:pPr>
        <w:pStyle w:val="TextBody"/>
        <w:spacing w:before="0" w:after="0"/>
        <w:ind w:left="1440" w:right="0" w:firstLine="720"/>
        <w:jc w:val="both"/>
        <w:rPr/>
      </w:pPr>
      <w:r>
        <w:rPr/>
        <w:t xml:space="preserve">  </w:t>
      </w:r>
    </w:p>
    <w:p>
      <w:pPr>
        <w:pStyle w:val="TextBody"/>
        <w:spacing w:before="0" w:after="200"/>
        <w:ind w:left="1440" w:right="0" w:firstLine="720"/>
        <w:jc w:val="both"/>
        <w:rPr>
          <w:sz w:val="17"/>
        </w:rPr>
      </w:pPr>
      <w:r>
        <w:rPr>
          <w:sz w:val="17"/>
        </w:rPr>
        <w:t xml:space="preserve">Pursuant to ASC 740-10, a provision should be made for the tax effect of earnings of foreign subsidiaries that are not permanently invested outside the United States.  Our intent is that earnings of our foreign subsidiaries are not permanently invested outside the United States.  Current earnings were available for distribution in the Reading Australia consolidated group of subsidiaries as of December 31, 2012.  There is no withholding tax on dividends paid by an Australian company to its 80% or more U.S. public company shareholder, thus we  have not provided foreign withholding taxes for these current retained earnings. We believe the U.S. tax impact of a dividend from our Australian subsidiary, net of loss carry forward and potential foreign tax credits, would not have a material effect on the tax provision as of December 31 2012. </w:t>
      </w:r>
    </w:p>
    <w:p>
      <w:pPr>
        <w:pStyle w:val="TextBody"/>
        <w:spacing w:before="0" w:after="200"/>
        <w:ind w:left="1440" w:right="0" w:firstLine="720"/>
        <w:jc w:val="both"/>
        <w:rPr>
          <w:sz w:val="17"/>
        </w:rPr>
      </w:pPr>
      <w:r>
        <w:rPr>
          <w:sz w:val="17"/>
        </w:rPr>
        <w:t xml:space="preserve">We have accrued $24.1 million in income tax liabilities as of December 31, 2012, of which $15.2 million has been classified as current taxes payable and $8.9 million have been classified as non-current tax liabilities.  As part of current taxes payable, we have accrued $8.0 million in connection with federal and state liabilities arising from the “Tax/Audit Litigation” matter which has now been settled (see Note 19 – </w:t>
      </w:r>
      <w:r>
        <w:rPr>
          <w:i/>
          <w:sz w:val="17"/>
        </w:rPr>
        <w:t>Commitments and Contingencies</w:t>
      </w:r>
      <w:r>
        <w:rPr>
          <w:sz w:val="17"/>
        </w:rPr>
        <w:t xml:space="preserve">).  As part of noncurrent tax liabilities, we have accrued an additional $6.5 million related to the “Tax Audit/Litigation” matter. Amounts assessed by the IRS and expected to be assessed by state income tax agencies in connection with the “Tax Audit/Litigation” matter are  no longer recorded under the cumulative probability approach prescribed by FASB ASC 740-10-25 but are  recorded as a fixed and determinable liability.  We believe the $24.1 million in tax liabilities represents an adequate provision for our income tax exposures. </w:t>
      </w:r>
    </w:p>
    <w:p>
      <w:pPr>
        <w:pStyle w:val="TextBody"/>
        <w:spacing w:before="0" w:after="200"/>
        <w:ind w:left="1440" w:right="0" w:firstLine="720"/>
        <w:jc w:val="both"/>
        <w:rPr>
          <w:sz w:val="17"/>
        </w:rPr>
      </w:pPr>
      <w:r>
        <w:rPr>
          <w:sz w:val="17"/>
        </w:rPr>
        <w:t xml:space="preserve">The following table is a summary of the activity related to unrecognized tax benefits, excluding interest and penalties, for the years ending December 31, 2012, December 31, 2011, and December 31, 2010 (dollars in thousands): </w:t>
      </w:r>
    </w:p>
    <w:p>
      <w:pPr>
        <w:pStyle w:val="TextBody"/>
        <w:spacing w:before="0" w:after="0"/>
        <w:ind w:left="1440" w:right="0" w:firstLine="720"/>
        <w:jc w:val="both"/>
        <w:rPr/>
      </w:pPr>
      <w:r>
        <w:rPr/>
        <w:t xml:space="preserve">  </w:t>
      </w:r>
    </w:p>
    <w:tbl>
      <w:tblPr>
        <w:tblW w:w="7085" w:type="dxa"/>
        <w:jc w:val="left"/>
        <w:tblInd w:w="1440" w:type="dxa"/>
        <w:tblCellMar>
          <w:top w:w="0" w:type="dxa"/>
          <w:left w:w="0" w:type="dxa"/>
          <w:bottom w:w="0" w:type="dxa"/>
          <w:right w:w="0" w:type="dxa"/>
        </w:tblCellMar>
      </w:tblPr>
      <w:tblGrid>
        <w:gridCol w:w="3710"/>
        <w:gridCol w:w="110"/>
        <w:gridCol w:w="1010"/>
        <w:gridCol w:w="110"/>
        <w:gridCol w:w="1010"/>
        <w:gridCol w:w="110"/>
        <w:gridCol w:w="1025"/>
      </w:tblGrid>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25" w:type="dxa"/>
            <w:tcBorders/>
            <w:shd w:fill="auto" w:val="clear"/>
          </w:tcPr>
          <w:p>
            <w:pPr>
              <w:pStyle w:val="TableContents"/>
              <w:spacing w:before="0" w:after="1"/>
              <w:ind w:left="0" w:right="0" w:hanging="0"/>
              <w:jc w:val="both"/>
              <w:rPr/>
            </w:pPr>
            <w:r>
              <w:rPr/>
              <w:t> </w:t>
            </w:r>
          </w:p>
        </w:tc>
      </w:tr>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25" w:type="dxa"/>
            <w:tcBorders/>
            <w:shd w:fill="auto" w:val="clear"/>
          </w:tcPr>
          <w:p>
            <w:pPr>
              <w:pStyle w:val="TableContents"/>
              <w:spacing w:before="0" w:after="1"/>
              <w:ind w:left="0" w:right="0" w:hanging="0"/>
              <w:jc w:val="center"/>
              <w:rPr/>
            </w:pPr>
            <w:r>
              <w:rPr/>
              <w:t> </w:t>
            </w:r>
          </w:p>
        </w:tc>
      </w:tr>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tcPr>
          <w:p>
            <w:pPr>
              <w:pStyle w:val="TableContents"/>
              <w:spacing w:before="0" w:after="1"/>
              <w:ind w:left="0" w:right="0" w:hanging="0"/>
              <w:jc w:val="center"/>
              <w:rPr>
                <w:b/>
                <w:sz w:val="17"/>
              </w:rPr>
            </w:pPr>
            <w:r>
              <w:rPr>
                <w:b/>
                <w:sz w:val="17"/>
              </w:rPr>
              <w:t>Year Ended</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tcPr>
          <w:p>
            <w:pPr>
              <w:pStyle w:val="TableContents"/>
              <w:spacing w:before="0" w:after="1"/>
              <w:ind w:left="0" w:right="0" w:hanging="0"/>
              <w:jc w:val="center"/>
              <w:rPr>
                <w:b/>
                <w:sz w:val="17"/>
              </w:rPr>
            </w:pPr>
            <w:r>
              <w:rPr>
                <w:b/>
                <w:sz w:val="17"/>
              </w:rPr>
              <w:t>Year Ended</w:t>
            </w:r>
          </w:p>
        </w:tc>
        <w:tc>
          <w:tcPr>
            <w:tcW w:w="110" w:type="dxa"/>
            <w:tcBorders/>
            <w:shd w:fill="auto" w:val="clear"/>
            <w:vAlign w:val="bottom"/>
          </w:tcPr>
          <w:p>
            <w:pPr>
              <w:pStyle w:val="TableContents"/>
              <w:spacing w:before="0" w:after="1"/>
              <w:ind w:left="0" w:right="0" w:hanging="0"/>
              <w:jc w:val="both"/>
              <w:rPr/>
            </w:pPr>
            <w:r>
              <w:rPr/>
              <w:t> </w:t>
            </w:r>
          </w:p>
        </w:tc>
        <w:tc>
          <w:tcPr>
            <w:tcW w:w="1025" w:type="dxa"/>
            <w:tcBorders/>
            <w:shd w:fill="auto" w:val="clear"/>
          </w:tcPr>
          <w:p>
            <w:pPr>
              <w:pStyle w:val="TableContents"/>
              <w:spacing w:before="0" w:after="1"/>
              <w:ind w:left="0" w:right="0" w:hanging="0"/>
              <w:jc w:val="center"/>
              <w:rPr>
                <w:b/>
                <w:sz w:val="17"/>
              </w:rPr>
            </w:pPr>
            <w:r>
              <w:rPr>
                <w:b/>
                <w:sz w:val="17"/>
              </w:rPr>
              <w:t>Year Ended</w:t>
            </w:r>
          </w:p>
        </w:tc>
      </w:tr>
      <w:tr>
        <w:trPr/>
        <w:tc>
          <w:tcPr>
            <w:tcW w:w="37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tcPr>
          <w:p>
            <w:pPr>
              <w:pStyle w:val="TableContents"/>
              <w:spacing w:before="0" w:after="1"/>
              <w:ind w:left="0" w:right="0" w:hanging="0"/>
              <w:jc w:val="center"/>
              <w:rPr>
                <w:b/>
                <w:sz w:val="17"/>
              </w:rPr>
            </w:pPr>
            <w:r>
              <w:rPr>
                <w:b/>
                <w:sz w:val="17"/>
              </w:rPr>
              <w:t>December 31,</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tcPr>
          <w:p>
            <w:pPr>
              <w:pStyle w:val="TableContents"/>
              <w:spacing w:before="0" w:after="1"/>
              <w:ind w:left="0" w:right="0" w:hanging="0"/>
              <w:jc w:val="center"/>
              <w:rPr>
                <w:b/>
                <w:sz w:val="17"/>
              </w:rPr>
            </w:pPr>
            <w:r>
              <w:rPr>
                <w:b/>
                <w:sz w:val="17"/>
              </w:rPr>
              <w:t>December 31,</w:t>
            </w:r>
          </w:p>
        </w:tc>
        <w:tc>
          <w:tcPr>
            <w:tcW w:w="110" w:type="dxa"/>
            <w:tcBorders/>
            <w:shd w:fill="auto" w:val="clear"/>
            <w:vAlign w:val="bottom"/>
          </w:tcPr>
          <w:p>
            <w:pPr>
              <w:pStyle w:val="TableContents"/>
              <w:spacing w:before="0" w:after="1"/>
              <w:ind w:left="0" w:right="0" w:hanging="0"/>
              <w:jc w:val="both"/>
              <w:rPr/>
            </w:pPr>
            <w:r>
              <w:rPr/>
              <w:t> </w:t>
            </w:r>
          </w:p>
        </w:tc>
        <w:tc>
          <w:tcPr>
            <w:tcW w:w="1025" w:type="dxa"/>
            <w:tcBorders/>
            <w:shd w:fill="auto" w:val="clear"/>
          </w:tcPr>
          <w:p>
            <w:pPr>
              <w:pStyle w:val="TableContents"/>
              <w:spacing w:before="0" w:after="1"/>
              <w:ind w:left="0" w:right="0" w:hanging="0"/>
              <w:jc w:val="center"/>
              <w:rPr>
                <w:b/>
                <w:sz w:val="17"/>
              </w:rPr>
            </w:pPr>
            <w:r>
              <w:rPr>
                <w:b/>
                <w:sz w:val="17"/>
              </w:rPr>
              <w:t>December 31,</w:t>
            </w:r>
          </w:p>
        </w:tc>
      </w:tr>
      <w:tr>
        <w:trPr/>
        <w:tc>
          <w:tcPr>
            <w:tcW w:w="37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010"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1010"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1025"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2010</w:t>
            </w:r>
          </w:p>
        </w:tc>
      </w:tr>
      <w:tr>
        <w:trPr/>
        <w:tc>
          <w:tcPr>
            <w:tcW w:w="3710"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Unrecognized tax benefits – gross beginning balance</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10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1,974  </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10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8,058  </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102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11,412  </w:t>
            </w:r>
          </w:p>
        </w:tc>
      </w:tr>
      <w:tr>
        <w:trPr/>
        <w:tc>
          <w:tcPr>
            <w:tcW w:w="3710" w:type="dxa"/>
            <w:tcBorders/>
            <w:shd w:fill="FFFFFF" w:val="clear"/>
          </w:tcPr>
          <w:p>
            <w:pPr>
              <w:pStyle w:val="TableContents"/>
              <w:spacing w:before="0" w:after="1"/>
              <w:ind w:left="0" w:right="0" w:hanging="0"/>
              <w:jc w:val="both"/>
              <w:rPr>
                <w:sz w:val="17"/>
              </w:rPr>
            </w:pPr>
            <w:r>
              <w:rPr>
                <w:sz w:val="17"/>
              </w:rPr>
              <w:t>Gross increases – prior period tax provisions</w:t>
            </w:r>
          </w:p>
        </w:tc>
        <w:tc>
          <w:tcPr>
            <w:tcW w:w="110" w:type="dxa"/>
            <w:tcBorders/>
            <w:shd w:fill="FFFFFF" w:val="clear"/>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283"/>
              <w:jc w:val="right"/>
              <w:rPr>
                <w:sz w:val="17"/>
              </w:rPr>
            </w:pPr>
            <w:r>
              <w:rPr>
                <w:sz w:val="17"/>
              </w:rPr>
              <w:t xml:space="preserve">197  </w:t>
            </w:r>
          </w:p>
        </w:tc>
        <w:tc>
          <w:tcPr>
            <w:tcW w:w="110" w:type="dxa"/>
            <w:tcBorders/>
            <w:shd w:fill="FFFFFF" w:val="clear"/>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tcPr>
          <w:p>
            <w:pPr>
              <w:pStyle w:val="TableContents"/>
              <w:spacing w:before="0" w:after="1"/>
              <w:ind w:left="0" w:right="0" w:hanging="0"/>
              <w:jc w:val="right"/>
              <w:rPr/>
            </w:pPr>
            <w:r>
              <w:rPr/>
              <w:t> </w:t>
            </w:r>
          </w:p>
        </w:tc>
        <w:tc>
          <w:tcPr>
            <w:tcW w:w="1025" w:type="dxa"/>
            <w:tcBorders/>
            <w:shd w:fill="FFFFFF" w:val="clear"/>
            <w:vAlign w:val="bottom"/>
          </w:tcPr>
          <w:p>
            <w:pPr>
              <w:pStyle w:val="TableContents"/>
              <w:spacing w:before="0" w:after="1"/>
              <w:ind w:left="0" w:right="65" w:hanging="0"/>
              <w:jc w:val="right"/>
              <w:rPr>
                <w:sz w:val="17"/>
              </w:rPr>
            </w:pPr>
            <w:r>
              <w:rPr>
                <w:sz w:val="17"/>
              </w:rPr>
              <w:t>--</w:t>
            </w:r>
          </w:p>
        </w:tc>
      </w:tr>
      <w:tr>
        <w:trPr/>
        <w:tc>
          <w:tcPr>
            <w:tcW w:w="3710" w:type="dxa"/>
            <w:tcBorders/>
            <w:shd w:fill="CCEEFF" w:val="clear"/>
          </w:tcPr>
          <w:p>
            <w:pPr>
              <w:pStyle w:val="TableContents"/>
              <w:spacing w:before="0" w:after="1"/>
              <w:ind w:left="0" w:right="0" w:hanging="0"/>
              <w:jc w:val="both"/>
              <w:rPr>
                <w:sz w:val="17"/>
              </w:rPr>
            </w:pPr>
            <w:r>
              <w:rPr>
                <w:sz w:val="17"/>
              </w:rPr>
              <w:t>Gross increases – current period tax positions</w:t>
            </w:r>
          </w:p>
        </w:tc>
        <w:tc>
          <w:tcPr>
            <w:tcW w:w="110" w:type="dxa"/>
            <w:tcBorders/>
            <w:shd w:fill="CCEEFF" w:val="clear"/>
          </w:tcPr>
          <w:p>
            <w:pPr>
              <w:pStyle w:val="TableContents"/>
              <w:spacing w:before="0" w:after="1"/>
              <w:ind w:left="0" w:right="0" w:hanging="0"/>
              <w:jc w:val="right"/>
              <w:rPr/>
            </w:pPr>
            <w:r>
              <w:rPr/>
              <w:t> </w:t>
            </w:r>
          </w:p>
        </w:tc>
        <w:tc>
          <w:tcPr>
            <w:tcW w:w="101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tcPr>
          <w:p>
            <w:pPr>
              <w:pStyle w:val="TableContents"/>
              <w:spacing w:before="0" w:after="1"/>
              <w:ind w:left="0" w:right="0" w:hanging="0"/>
              <w:jc w:val="right"/>
              <w:rPr/>
            </w:pPr>
            <w:r>
              <w:rPr/>
              <w:t> </w:t>
            </w:r>
          </w:p>
        </w:tc>
        <w:tc>
          <w:tcPr>
            <w:tcW w:w="1010" w:type="dxa"/>
            <w:tcBorders/>
            <w:shd w:fill="CCEEFF" w:val="clear"/>
            <w:vAlign w:val="bottom"/>
          </w:tcPr>
          <w:p>
            <w:pPr>
              <w:pStyle w:val="TableContents"/>
              <w:spacing w:before="0" w:after="283"/>
              <w:jc w:val="right"/>
              <w:rPr>
                <w:sz w:val="17"/>
              </w:rPr>
            </w:pPr>
            <w:r>
              <w:rPr>
                <w:sz w:val="17"/>
              </w:rPr>
              <w:t xml:space="preserve">151  </w:t>
            </w:r>
          </w:p>
        </w:tc>
        <w:tc>
          <w:tcPr>
            <w:tcW w:w="110" w:type="dxa"/>
            <w:tcBorders/>
            <w:shd w:fill="CCEEFF" w:val="clear"/>
          </w:tcPr>
          <w:p>
            <w:pPr>
              <w:pStyle w:val="TableContents"/>
              <w:spacing w:before="0" w:after="1"/>
              <w:ind w:left="0" w:right="0" w:hanging="0"/>
              <w:jc w:val="right"/>
              <w:rPr/>
            </w:pPr>
            <w:r>
              <w:rPr/>
              <w:t> </w:t>
            </w:r>
          </w:p>
        </w:tc>
        <w:tc>
          <w:tcPr>
            <w:tcW w:w="1025" w:type="dxa"/>
            <w:tcBorders/>
            <w:shd w:fill="CCEEFF" w:val="clear"/>
            <w:vAlign w:val="bottom"/>
          </w:tcPr>
          <w:p>
            <w:pPr>
              <w:pStyle w:val="TableContents"/>
              <w:spacing w:before="0" w:after="283"/>
              <w:jc w:val="right"/>
              <w:rPr>
                <w:sz w:val="17"/>
              </w:rPr>
            </w:pPr>
            <w:r>
              <w:rPr>
                <w:sz w:val="17"/>
              </w:rPr>
              <w:t xml:space="preserve">405  </w:t>
            </w:r>
          </w:p>
        </w:tc>
      </w:tr>
      <w:tr>
        <w:trPr/>
        <w:tc>
          <w:tcPr>
            <w:tcW w:w="3710" w:type="dxa"/>
            <w:tcBorders/>
            <w:shd w:fill="FFFFFF" w:val="clear"/>
          </w:tcPr>
          <w:p>
            <w:pPr>
              <w:pStyle w:val="TableContents"/>
              <w:spacing w:before="0" w:after="1"/>
              <w:ind w:left="0" w:right="0" w:hanging="0"/>
              <w:jc w:val="both"/>
              <w:rPr>
                <w:sz w:val="17"/>
              </w:rPr>
            </w:pPr>
            <w:r>
              <w:rPr>
                <w:sz w:val="17"/>
              </w:rPr>
              <w:t>Settlements</w:t>
            </w:r>
          </w:p>
        </w:tc>
        <w:tc>
          <w:tcPr>
            <w:tcW w:w="110" w:type="dxa"/>
            <w:tcBorders/>
            <w:shd w:fill="FFFFFF" w:val="clear"/>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283"/>
              <w:jc w:val="right"/>
              <w:rPr>
                <w:sz w:val="17"/>
              </w:rPr>
            </w:pPr>
            <w:r>
              <w:rPr>
                <w:sz w:val="17"/>
              </w:rPr>
              <w:t xml:space="preserve">(6,235) </w:t>
            </w:r>
          </w:p>
        </w:tc>
        <w:tc>
          <w:tcPr>
            <w:tcW w:w="110" w:type="dxa"/>
            <w:tcBorders/>
            <w:shd w:fill="FFFFFF" w:val="clear"/>
          </w:tcPr>
          <w:p>
            <w:pPr>
              <w:pStyle w:val="TableContents"/>
              <w:spacing w:before="0" w:after="1"/>
              <w:ind w:left="0" w:right="0" w:hanging="0"/>
              <w:jc w:val="right"/>
              <w:rPr/>
            </w:pPr>
            <w:r>
              <w:rPr/>
              <w:t> </w:t>
            </w:r>
          </w:p>
        </w:tc>
        <w:tc>
          <w:tcPr>
            <w:tcW w:w="1025" w:type="dxa"/>
            <w:tcBorders/>
            <w:shd w:fill="FFFFFF" w:val="clear"/>
            <w:vAlign w:val="bottom"/>
          </w:tcPr>
          <w:p>
            <w:pPr>
              <w:pStyle w:val="TableContents"/>
              <w:spacing w:before="0" w:after="283"/>
              <w:jc w:val="right"/>
              <w:rPr>
                <w:sz w:val="17"/>
              </w:rPr>
            </w:pPr>
            <w:r>
              <w:rPr>
                <w:sz w:val="17"/>
              </w:rPr>
              <w:t xml:space="preserve">(3,189) </w:t>
            </w:r>
          </w:p>
        </w:tc>
      </w:tr>
      <w:tr>
        <w:trPr/>
        <w:tc>
          <w:tcPr>
            <w:tcW w:w="3710" w:type="dxa"/>
            <w:tcBorders>
              <w:bottom w:val="single" w:sz="8" w:space="0" w:color="000000"/>
            </w:tcBorders>
            <w:shd w:fill="CCEEFF" w:val="clear"/>
            <w:tcMar>
              <w:bottom w:w="28" w:type="dxa"/>
            </w:tcMar>
          </w:tcPr>
          <w:p>
            <w:pPr>
              <w:pStyle w:val="TableContents"/>
              <w:spacing w:before="0" w:after="1"/>
              <w:ind w:left="0" w:right="0" w:hanging="0"/>
              <w:jc w:val="both"/>
              <w:rPr>
                <w:sz w:val="17"/>
              </w:rPr>
            </w:pPr>
            <w:r>
              <w:rPr>
                <w:sz w:val="17"/>
              </w:rPr>
              <w:t>Statute of limitations lapse</w:t>
            </w:r>
          </w:p>
        </w:tc>
        <w:tc>
          <w:tcPr>
            <w:tcW w:w="110" w:type="dxa"/>
            <w:tcBorders>
              <w:bottom w:val="single" w:sz="8" w:space="0" w:color="000000"/>
            </w:tcBorders>
            <w:shd w:fill="CCEEFF" w:val="clear"/>
            <w:tcMar>
              <w:bottom w:w="28" w:type="dxa"/>
            </w:tcMar>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tcPr>
          <w:p>
            <w:pPr>
              <w:pStyle w:val="TableContents"/>
              <w:spacing w:before="0" w:after="1"/>
              <w:ind w:left="0" w:right="0" w:hanging="0"/>
              <w:jc w:val="right"/>
              <w:rPr/>
            </w:pPr>
            <w:r>
              <w:rPr/>
              <w:t> </w:t>
            </w:r>
          </w:p>
        </w:tc>
        <w:tc>
          <w:tcPr>
            <w:tcW w:w="102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(570) </w:t>
            </w:r>
          </w:p>
        </w:tc>
      </w:tr>
      <w:tr>
        <w:trPr/>
        <w:tc>
          <w:tcPr>
            <w:tcW w:w="37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both"/>
              <w:rPr>
                <w:sz w:val="17"/>
              </w:rPr>
            </w:pPr>
            <w:r>
              <w:rPr>
                <w:sz w:val="17"/>
              </w:rPr>
              <w:t>Unrecognized tax benefits – gross ending balance</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2,171  </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1,974  </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102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8,058 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We adopted FASB ASC 740-10-25 – </w:t>
      </w:r>
      <w:r>
        <w:rPr>
          <w:i/>
          <w:sz w:val="17"/>
        </w:rPr>
        <w:t>Income Taxes</w:t>
      </w:r>
      <w:r>
        <w:rPr>
          <w:sz w:val="17"/>
        </w:rPr>
        <w:t xml:space="preserve"> - </w:t>
      </w:r>
      <w:r>
        <w:rPr>
          <w:i/>
          <w:sz w:val="17"/>
        </w:rPr>
        <w:t>Uncertain Tax Positions</w:t>
      </w:r>
      <w:r>
        <w:rPr>
          <w:sz w:val="17"/>
        </w:rPr>
        <w:t xml:space="preserve"> (“ASC 740-10-25”) on January 1, 2007.  In connection, we record interest and penalties related to income tax matters as part of income tax expense. </w:t>
      </w:r>
    </w:p>
    <w:p>
      <w:pPr>
        <w:pStyle w:val="TextBody"/>
        <w:spacing w:before="0" w:after="200"/>
        <w:ind w:left="1440" w:right="0" w:firstLine="720"/>
        <w:jc w:val="both"/>
        <w:rPr>
          <w:sz w:val="17"/>
        </w:rPr>
      </w:pPr>
      <w:r>
        <w:rPr>
          <w:sz w:val="17"/>
        </w:rPr>
        <w:t xml:space="preserve">We had approximately $10.8 million and $11.4 million of gross tax benefits as of the adoption date and December 31, 2007, respectively, plus $1.7 million and $2.3 million of tax interest unrecognized on the financial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statements as of each date, respectively.  The gross tax benefits mostly reflect operating loss carry forwards and the IRS Tax Audit/Litigation case described below.  </w:t>
      </w:r>
    </w:p>
    <w:p>
      <w:pPr>
        <w:pStyle w:val="TextBody"/>
        <w:spacing w:before="0" w:after="200"/>
        <w:ind w:left="1440" w:right="0" w:firstLine="720"/>
        <w:jc w:val="both"/>
        <w:rPr>
          <w:sz w:val="17"/>
        </w:rPr>
      </w:pPr>
      <w:r>
        <w:rPr>
          <w:sz w:val="17"/>
        </w:rPr>
        <w:t xml:space="preserve">We recorded a reduction to our gross unrecognized tax benefits of approximately $3.4 million and an increase to tax interest of approximately $8.8 million during the period January 1, 2010 to December 31, 2010, and the total balance at December 31, 2010 was approximately $20.6 million (of which approximately $12.6 million represents IRS interest).  Having settled the Tax Audit/Litigation matter described in Note 19 – </w:t>
      </w:r>
      <w:r>
        <w:rPr>
          <w:i/>
          <w:sz w:val="17"/>
        </w:rPr>
        <w:t>Commitments and Contingencies</w:t>
      </w:r>
      <w:r>
        <w:rPr>
          <w:sz w:val="17"/>
        </w:rPr>
        <w:t xml:space="preserve">, we further recorded a net reduction to our gross unrecognized tax benefits of approximately $6.1 million and a reduction to tax interest of approximately $10.4 million during the period January 1, 2011 to December 31, 2011, resulting in a total balance at December 31, 2011 of approximately $4.1 million, consisting of $1.9 million tax and $2.2 million interest.  Of the $4.1 million gross unrecognized tax benefit at December 31, 2011, approximately $3.0 million would impact the effective tax rate if recognized.  During the period January 1, 2012 to December 31, 2012 we recorded an increase of $0.2 million to our gross unrecognized tax benefits and an increase to tax interest of approximately $1.1 million, resulting in a total balance of $5.3 million consisting of $2.1 million in tax and $3.2 million in interest.  Of the $5.3 million gross unrecognized tax benefit at December 31, 2012, approximately $4.3 million would impact the effective rate if recognized. </w:t>
      </w:r>
    </w:p>
    <w:p>
      <w:pPr>
        <w:pStyle w:val="TextBody"/>
        <w:spacing w:before="0" w:after="200"/>
        <w:ind w:left="1440" w:right="0" w:firstLine="720"/>
        <w:jc w:val="both"/>
        <w:rPr>
          <w:sz w:val="17"/>
        </w:rPr>
      </w:pPr>
      <w:r>
        <w:rPr>
          <w:sz w:val="17"/>
        </w:rPr>
        <w:t xml:space="preserve">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$0.5 million to $1.5 million.  The reasons for such change include but are not limited to tax positions expected to be taken during 2013, revaluation of current uncertain tax positions, and expiring statutes of limitation. </w:t>
      </w:r>
    </w:p>
    <w:p>
      <w:pPr>
        <w:pStyle w:val="TextBody"/>
        <w:spacing w:before="0" w:after="200"/>
        <w:ind w:left="1440" w:right="0" w:firstLine="720"/>
        <w:jc w:val="both"/>
        <w:rPr>
          <w:sz w:val="17"/>
        </w:rPr>
      </w:pPr>
      <w:r>
        <w:rPr>
          <w:sz w:val="17"/>
        </w:rPr>
        <w:t xml:space="preserve">Our company and subsidiaries are subject to U.S. federal income tax, income tax in various U.S. states, and income tax in Australia, New Zealand, and Puerto Rico. </w:t>
      </w:r>
    </w:p>
    <w:p>
      <w:pPr>
        <w:pStyle w:val="TextBody"/>
        <w:spacing w:before="0" w:after="200"/>
        <w:ind w:left="1440" w:right="0" w:hanging="0"/>
        <w:jc w:val="both"/>
        <w:rPr/>
      </w:pPr>
      <w:r>
        <w:rPr/>
        <w:t>            </w:t>
      </w:r>
      <w:r>
        <w:rPr>
          <w:sz w:val="17"/>
        </w:rPr>
        <w:t xml:space="preserve">Generally, changes to our federal and most state income tax returns for the calendar year 2007 and earlier are barred by statutes of limitations.  Certain domestic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“Tax Audit/Litigation,” Note 19 – </w:t>
      </w:r>
      <w:r>
        <w:rPr>
          <w:i/>
          <w:sz w:val="17"/>
        </w:rPr>
        <w:t>Commitments and Contingencies</w:t>
      </w:r>
      <w:r>
        <w:rPr>
          <w:sz w:val="17"/>
        </w:rPr>
        <w:t xml:space="preserve">.  Our income tax returns for Australia filed since inception in 1995 are generally open for examination.  The income tax returns filed in New Zealand and Puerto Rico for calendar year 2006 and afterward remain open for examination as of December 31, 2012. </w:t>
      </w:r>
    </w:p>
    <w:p>
      <w:pPr>
        <w:pStyle w:val="TextBody"/>
        <w:spacing w:before="0" w:after="0"/>
        <w:ind w:left="1440" w:right="0" w:hanging="0"/>
        <w:jc w:val="both"/>
        <w:rPr/>
      </w:pPr>
      <w:r>
        <w:rPr>
          <w:u w:val="single"/>
        </w:rPr>
        <w:t> </w:t>
      </w: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b/>
          <w:sz w:val="17"/>
          <w:u w:val="single"/>
        </w:rPr>
        <w:t>Note 15 – Other Liabilities</w:t>
      </w:r>
      <w:r>
        <w:rPr>
          <w:sz w:val="17"/>
        </w:rPr>
        <w:t xml:space="preserve"> </w:t>
      </w:r>
    </w:p>
    <w:p>
      <w:pPr>
        <w:pStyle w:val="TextBody"/>
        <w:spacing w:before="0" w:after="200"/>
        <w:ind w:left="1440" w:right="0" w:firstLine="720"/>
        <w:jc w:val="both"/>
        <w:rPr>
          <w:sz w:val="17"/>
        </w:rPr>
      </w:pPr>
      <w:r>
        <w:rPr>
          <w:sz w:val="17"/>
        </w:rPr>
        <w:t xml:space="preserve">Other liabilities are summarized as follows (dollars in thousands): </w:t>
      </w:r>
    </w:p>
    <w:p>
      <w:pPr>
        <w:pStyle w:val="TextBody"/>
        <w:spacing w:before="0" w:after="0"/>
        <w:ind w:left="1440" w:right="0" w:firstLine="720"/>
        <w:jc w:val="both"/>
        <w:rPr/>
      </w:pPr>
      <w:r>
        <w:rPr/>
        <w:t xml:space="preserve">  </w:t>
      </w:r>
    </w:p>
    <w:tbl>
      <w:tblPr>
        <w:tblW w:w="3295" w:type="dxa"/>
        <w:jc w:val="left"/>
        <w:tblInd w:w="1440" w:type="dxa"/>
        <w:tblCellMar>
          <w:top w:w="0" w:type="dxa"/>
          <w:left w:w="0" w:type="dxa"/>
          <w:bottom w:w="0" w:type="dxa"/>
          <w:right w:w="0" w:type="dxa"/>
        </w:tblCellMar>
      </w:tblPr>
      <w:tblGrid>
        <w:gridCol w:w="1850"/>
        <w:gridCol w:w="110"/>
        <w:gridCol w:w="605"/>
        <w:gridCol w:w="110"/>
        <w:gridCol w:w="620"/>
      </w:tblGrid>
      <w:tr>
        <w:trPr/>
        <w:tc>
          <w:tcPr>
            <w:tcW w:w="18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18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18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33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185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1850" w:type="dxa"/>
            <w:tcBorders>
              <w:top w:val="single" w:sz="8" w:space="0" w:color="000000"/>
            </w:tcBorders>
            <w:shd w:fill="auto" w:val="clear"/>
            <w:tcMar>
              <w:top w:w="28" w:type="dxa"/>
            </w:tcMar>
            <w:vAlign w:val="bottom"/>
          </w:tcPr>
          <w:p>
            <w:pPr>
              <w:pStyle w:val="TableContents"/>
              <w:spacing w:before="0" w:after="1"/>
              <w:ind w:left="0" w:right="0" w:hanging="0"/>
              <w:jc w:val="both"/>
              <w:rPr>
                <w:b/>
                <w:sz w:val="17"/>
              </w:rPr>
            </w:pPr>
            <w:r>
              <w:rPr>
                <w:b/>
                <w:sz w:val="17"/>
              </w:rPr>
              <w:t>Current liabilities</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2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r>
      <w:tr>
        <w:trPr/>
        <w:tc>
          <w:tcPr>
            <w:tcW w:w="1850" w:type="dxa"/>
            <w:tcBorders/>
            <w:shd w:fill="CCEEFF" w:val="clear"/>
            <w:vAlign w:val="bottom"/>
          </w:tcPr>
          <w:p>
            <w:pPr>
              <w:pStyle w:val="TableContents"/>
              <w:spacing w:before="0" w:after="1"/>
              <w:ind w:left="0" w:right="0" w:hanging="0"/>
              <w:jc w:val="both"/>
              <w:rPr>
                <w:sz w:val="17"/>
              </w:rPr>
            </w:pPr>
            <w:r>
              <w:rPr>
                <w:sz w:val="17"/>
              </w:rPr>
              <w:t>Lease liability</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05" w:type="dxa"/>
            <w:tcBorders/>
            <w:shd w:fill="CCEEFF" w:val="clear"/>
            <w:vAlign w:val="bottom"/>
          </w:tcPr>
          <w:p>
            <w:pPr>
              <w:pStyle w:val="TableContents"/>
              <w:spacing w:before="0" w:after="283"/>
              <w:jc w:val="right"/>
              <w:rPr>
                <w:sz w:val="17"/>
              </w:rPr>
            </w:pPr>
            <w:r>
              <w:rPr>
                <w:sz w:val="17"/>
              </w:rPr>
              <w:t xml:space="preserve">5,855 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1"/>
              <w:ind w:left="0" w:right="65" w:hanging="0"/>
              <w:jc w:val="right"/>
              <w:rPr>
                <w:sz w:val="17"/>
              </w:rPr>
            </w:pPr>
            <w:r>
              <w:rPr>
                <w:sz w:val="17"/>
              </w:rPr>
              <w:t>--</w:t>
            </w:r>
          </w:p>
        </w:tc>
      </w:tr>
      <w:tr>
        <w:trPr/>
        <w:tc>
          <w:tcPr>
            <w:tcW w:w="1850" w:type="dxa"/>
            <w:tcBorders/>
            <w:shd w:fill="FFFFFF" w:val="clear"/>
            <w:vAlign w:val="bottom"/>
          </w:tcPr>
          <w:p>
            <w:pPr>
              <w:pStyle w:val="TableContents"/>
              <w:spacing w:before="0" w:after="1"/>
              <w:ind w:left="0" w:right="0" w:hanging="0"/>
              <w:jc w:val="both"/>
              <w:rPr>
                <w:sz w:val="17"/>
              </w:rPr>
            </w:pPr>
            <w:r>
              <w:rPr>
                <w:sz w:val="17"/>
              </w:rPr>
              <w:t>Security deposit payable</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174 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137  </w:t>
            </w:r>
          </w:p>
        </w:tc>
      </w:tr>
      <w:tr>
        <w:trPr/>
        <w:tc>
          <w:tcPr>
            <w:tcW w:w="18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Other</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r>
      <w:tr>
        <w:trPr/>
        <w:tc>
          <w:tcPr>
            <w:tcW w:w="18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Other current liabilities</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6,032 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137  </w:t>
            </w:r>
          </w:p>
        </w:tc>
      </w:tr>
      <w:tr>
        <w:trPr/>
        <w:tc>
          <w:tcPr>
            <w:tcW w:w="1850" w:type="dxa"/>
            <w:tcBorders>
              <w:top w:val="single" w:sz="12" w:space="0" w:color="000000"/>
            </w:tcBorders>
            <w:shd w:fill="CCEEFF" w:val="clear"/>
            <w:tcMar>
              <w:top w:w="28" w:type="dxa"/>
            </w:tcMar>
            <w:vAlign w:val="bottom"/>
          </w:tcPr>
          <w:p>
            <w:pPr>
              <w:pStyle w:val="TableContents"/>
              <w:spacing w:before="0" w:after="1"/>
              <w:ind w:left="0" w:right="0" w:hanging="0"/>
              <w:jc w:val="both"/>
              <w:rPr>
                <w:b/>
                <w:sz w:val="17"/>
              </w:rPr>
            </w:pPr>
            <w:r>
              <w:rPr>
                <w:b/>
                <w:sz w:val="17"/>
              </w:rPr>
              <w:t>Other liabilities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60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62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r>
      <w:tr>
        <w:trPr/>
        <w:tc>
          <w:tcPr>
            <w:tcW w:w="1850" w:type="dxa"/>
            <w:tcBorders/>
            <w:shd w:fill="FFFFFF" w:val="clear"/>
            <w:vAlign w:val="bottom"/>
          </w:tcPr>
          <w:p>
            <w:pPr>
              <w:pStyle w:val="TableContents"/>
              <w:spacing w:before="0" w:after="1"/>
              <w:ind w:left="0" w:right="0" w:hanging="0"/>
              <w:jc w:val="both"/>
              <w:rPr>
                <w:sz w:val="17"/>
              </w:rPr>
            </w:pPr>
            <w:r>
              <w:rPr>
                <w:sz w:val="17"/>
              </w:rPr>
              <w:t>Foreign withholding taxes</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05" w:type="dxa"/>
            <w:tcBorders/>
            <w:shd w:fill="FFFFFF" w:val="clear"/>
            <w:vAlign w:val="bottom"/>
          </w:tcPr>
          <w:p>
            <w:pPr>
              <w:pStyle w:val="TableContents"/>
              <w:spacing w:before="0" w:after="283"/>
              <w:jc w:val="right"/>
              <w:rPr>
                <w:sz w:val="17"/>
              </w:rPr>
            </w:pPr>
            <w:r>
              <w:rPr>
                <w:sz w:val="17"/>
              </w:rPr>
              <w:t xml:space="preserve">6,480 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6,212  </w:t>
            </w:r>
          </w:p>
        </w:tc>
      </w:tr>
      <w:tr>
        <w:trPr/>
        <w:tc>
          <w:tcPr>
            <w:tcW w:w="1850" w:type="dxa"/>
            <w:tcBorders/>
            <w:shd w:fill="CCEEFF" w:val="clear"/>
            <w:vAlign w:val="bottom"/>
          </w:tcPr>
          <w:p>
            <w:pPr>
              <w:pStyle w:val="TableContents"/>
              <w:spacing w:before="0" w:after="1"/>
              <w:ind w:left="0" w:right="0" w:hanging="0"/>
              <w:jc w:val="both"/>
              <w:rPr>
                <w:sz w:val="17"/>
              </w:rPr>
            </w:pPr>
            <w:r>
              <w:rPr>
                <w:sz w:val="17"/>
              </w:rPr>
              <w:t>Straight-line rent liability</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8,893 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8,067  </w:t>
            </w:r>
          </w:p>
        </w:tc>
      </w:tr>
      <w:tr>
        <w:trPr/>
        <w:tc>
          <w:tcPr>
            <w:tcW w:w="1850" w:type="dxa"/>
            <w:tcBorders/>
            <w:shd w:fill="FFFFFF" w:val="clear"/>
            <w:vAlign w:val="bottom"/>
          </w:tcPr>
          <w:p>
            <w:pPr>
              <w:pStyle w:val="TableContents"/>
              <w:spacing w:before="0" w:after="1"/>
              <w:ind w:left="0" w:right="0" w:hanging="0"/>
              <w:jc w:val="both"/>
              <w:rPr>
                <w:sz w:val="17"/>
              </w:rPr>
            </w:pPr>
            <w:r>
              <w:rPr>
                <w:sz w:val="17"/>
              </w:rPr>
              <w:t>Lease liability</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5,746  </w:t>
            </w:r>
          </w:p>
        </w:tc>
      </w:tr>
      <w:tr>
        <w:trPr/>
        <w:tc>
          <w:tcPr>
            <w:tcW w:w="1850" w:type="dxa"/>
            <w:tcBorders/>
            <w:shd w:fill="CCEEFF" w:val="clear"/>
            <w:vAlign w:val="bottom"/>
          </w:tcPr>
          <w:p>
            <w:pPr>
              <w:pStyle w:val="TableContents"/>
              <w:spacing w:before="0" w:after="1"/>
              <w:ind w:left="0" w:right="0" w:hanging="0"/>
              <w:jc w:val="both"/>
              <w:rPr>
                <w:sz w:val="17"/>
              </w:rPr>
            </w:pPr>
            <w:r>
              <w:rPr>
                <w:sz w:val="17"/>
              </w:rPr>
              <w:t>Environmental reserve</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1,656 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1,656  </w:t>
            </w:r>
          </w:p>
        </w:tc>
      </w:tr>
      <w:tr>
        <w:trPr/>
        <w:tc>
          <w:tcPr>
            <w:tcW w:w="1850" w:type="dxa"/>
            <w:tcBorders/>
            <w:shd w:fill="FFFFFF" w:val="clear"/>
            <w:vAlign w:val="bottom"/>
          </w:tcPr>
          <w:p>
            <w:pPr>
              <w:pStyle w:val="TableContents"/>
              <w:spacing w:before="0" w:after="1"/>
              <w:ind w:left="0" w:right="0" w:hanging="0"/>
              <w:jc w:val="both"/>
              <w:rPr>
                <w:sz w:val="17"/>
              </w:rPr>
            </w:pPr>
            <w:r>
              <w:rPr>
                <w:sz w:val="17"/>
              </w:rPr>
              <w:t>Accrued pension</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6,976 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4,289  </w:t>
            </w:r>
          </w:p>
        </w:tc>
      </w:tr>
      <w:tr>
        <w:trPr/>
        <w:tc>
          <w:tcPr>
            <w:tcW w:w="1850" w:type="dxa"/>
            <w:tcBorders/>
            <w:shd w:fill="CCEEFF" w:val="clear"/>
            <w:vAlign w:val="bottom"/>
          </w:tcPr>
          <w:p>
            <w:pPr>
              <w:pStyle w:val="TableContents"/>
              <w:spacing w:before="0" w:after="1"/>
              <w:ind w:left="0" w:right="0" w:hanging="0"/>
              <w:jc w:val="both"/>
              <w:rPr>
                <w:sz w:val="17"/>
              </w:rPr>
            </w:pPr>
            <w:r>
              <w:rPr>
                <w:sz w:val="17"/>
              </w:rPr>
              <w:t>Interest rate swap</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5,855 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4,722  </w:t>
            </w:r>
          </w:p>
        </w:tc>
      </w:tr>
      <w:tr>
        <w:trPr/>
        <w:tc>
          <w:tcPr>
            <w:tcW w:w="1850" w:type="dxa"/>
            <w:tcBorders/>
            <w:shd w:fill="FFFFFF" w:val="clear"/>
            <w:vAlign w:val="bottom"/>
          </w:tcPr>
          <w:p>
            <w:pPr>
              <w:pStyle w:val="TableContents"/>
              <w:spacing w:before="0" w:after="1"/>
              <w:ind w:left="0" w:right="0" w:hanging="0"/>
              <w:jc w:val="both"/>
              <w:rPr>
                <w:sz w:val="17"/>
              </w:rPr>
            </w:pPr>
            <w:r>
              <w:rPr>
                <w:sz w:val="17"/>
              </w:rPr>
              <w:t>Acquired leases</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2,078  </w:t>
            </w:r>
          </w:p>
        </w:tc>
        <w:tc>
          <w:tcPr>
            <w:tcW w:w="110"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7"/>
              </w:rPr>
            </w:pPr>
            <w:r>
              <w:rPr>
                <w:sz w:val="17"/>
              </w:rPr>
              <w:t xml:space="preserve">2,742  </w:t>
            </w:r>
          </w:p>
        </w:tc>
      </w:tr>
      <w:tr>
        <w:trPr/>
        <w:tc>
          <w:tcPr>
            <w:tcW w:w="1850" w:type="dxa"/>
            <w:tcBorders/>
            <w:shd w:fill="CCEEFF" w:val="clear"/>
            <w:vAlign w:val="bottom"/>
          </w:tcPr>
          <w:p>
            <w:pPr>
              <w:pStyle w:val="TableContents"/>
              <w:spacing w:before="0" w:after="1"/>
              <w:ind w:left="0" w:right="0" w:hanging="0"/>
              <w:jc w:val="both"/>
              <w:rPr>
                <w:sz w:val="17"/>
              </w:rPr>
            </w:pPr>
            <w:r>
              <w:rPr>
                <w:sz w:val="17"/>
              </w:rPr>
              <w:t>Other payable</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1,191  </w:t>
            </w:r>
          </w:p>
        </w:tc>
        <w:tc>
          <w:tcPr>
            <w:tcW w:w="110"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7"/>
              </w:rPr>
            </w:pPr>
            <w:r>
              <w:rPr>
                <w:sz w:val="17"/>
              </w:rPr>
              <w:t xml:space="preserve">1,243  </w:t>
            </w:r>
          </w:p>
        </w:tc>
      </w:tr>
      <w:tr>
        <w:trPr/>
        <w:tc>
          <w:tcPr>
            <w:tcW w:w="185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Other</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630 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962  </w:t>
            </w:r>
          </w:p>
        </w:tc>
      </w:tr>
      <w:tr>
        <w:trPr/>
        <w:tc>
          <w:tcPr>
            <w:tcW w:w="18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Other liabilities</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33,759 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35,639 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Village East Purchase Option</w:t>
      </w:r>
      <w:r>
        <w:rPr>
          <w:sz w:val="17"/>
        </w:rPr>
        <w:t xml:space="preserve"> </w:t>
      </w:r>
    </w:p>
    <w:p>
      <w:pPr>
        <w:pStyle w:val="TextBody"/>
        <w:spacing w:before="0" w:after="200"/>
        <w:ind w:left="1440" w:right="0" w:hanging="0"/>
        <w:jc w:val="both"/>
        <w:rPr/>
      </w:pPr>
      <w:r>
        <w:rPr/>
        <w:t>            </w:t>
      </w:r>
      <w:r>
        <w:rPr>
          <w:sz w:val="17"/>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1,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lease liability of $5.9 million presented under other liabilities which accretes up to the $5.9 million liability till July 1, 2013 (see Note 25 – </w:t>
      </w:r>
      <w:r>
        <w:rPr>
          <w:i/>
          <w:sz w:val="17"/>
        </w:rPr>
        <w:t>Related Parties and Transactions</w:t>
      </w:r>
      <w:r>
        <w:rPr>
          <w:sz w:val="17"/>
        </w:rPr>
        <w:t xml:space="preserve">).  As the option can be exercised starting on July 1, 2013, we have classified the $5.9 million lease liability as a current liability. </w:t>
      </w:r>
    </w:p>
    <w:p>
      <w:pPr>
        <w:pStyle w:val="TextBody"/>
        <w:spacing w:before="0" w:after="200"/>
        <w:ind w:left="1440" w:right="0" w:hanging="0"/>
        <w:jc w:val="both"/>
        <w:rPr>
          <w:sz w:val="17"/>
        </w:rPr>
      </w:pPr>
      <w:r>
        <w:rPr>
          <w:b/>
          <w:sz w:val="17"/>
          <w:u w:val="single"/>
        </w:rPr>
        <w:t>Note 16 – Fair Value of Financial Instruments</w:t>
      </w:r>
      <w:r>
        <w:rPr>
          <w:sz w:val="17"/>
        </w:rPr>
        <w:t xml:space="preserve"> </w:t>
      </w:r>
    </w:p>
    <w:p>
      <w:pPr>
        <w:pStyle w:val="TextBody"/>
        <w:spacing w:before="0" w:after="200"/>
        <w:ind w:left="1440" w:right="0" w:firstLine="720"/>
        <w:jc w:val="both"/>
        <w:rPr>
          <w:sz w:val="17"/>
        </w:rPr>
      </w:pPr>
      <w:r>
        <w:rPr>
          <w:sz w:val="17"/>
        </w:rPr>
        <w:t xml:space="preserve">ASC 820-10 applies to existing accounting pronouncements in which fair value measurements are already required and defines fair value, establishes a framework for measuring fair value in accordance with accounting principles generally accepted in the United States, and expands disclosures about fair value measurements.  </w:t>
      </w:r>
    </w:p>
    <w:p>
      <w:pPr>
        <w:pStyle w:val="TextBody"/>
        <w:spacing w:before="0" w:after="200"/>
        <w:ind w:left="1440" w:right="0" w:firstLine="720"/>
        <w:jc w:val="both"/>
        <w:rPr>
          <w:sz w:val="17"/>
        </w:rPr>
      </w:pPr>
      <w:r>
        <w:rPr>
          <w:sz w:val="17"/>
        </w:rPr>
        <w:t>ASC 820-10 (see Note 2 –</w:t>
      </w:r>
      <w:r>
        <w:rPr>
          <w:i/>
          <w:sz w:val="17"/>
        </w:rPr>
        <w:t>Summary of Significant Accounting Policies</w:t>
      </w:r>
      <w:r>
        <w:rPr>
          <w:sz w:val="17"/>
        </w:rPr>
        <w:t xml:space="preserve">) establishes a fair value hierarchy that prioritizes the inputs to valuation techniques used to measure fair value.  The statement requires that assets and liabilities carried at fair value be classified and disclosed in one of the following three categories: </w:t>
      </w:r>
    </w:p>
    <w:p>
      <w:pPr>
        <w:pStyle w:val="TextBody"/>
        <w:spacing w:before="0" w:after="200"/>
        <w:ind w:left="1440" w:right="0" w:firstLine="720"/>
        <w:jc w:val="both"/>
        <w:rPr>
          <w:sz w:val="17"/>
        </w:rPr>
      </w:pPr>
      <w:r>
        <w:rPr>
          <w:sz w:val="17"/>
        </w:rPr>
        <w:t xml:space="preserve">Level 1: Quoted market prices in active markets for identical assets or liabilities. </w:t>
      </w:r>
    </w:p>
    <w:p>
      <w:pPr>
        <w:pStyle w:val="TextBody"/>
        <w:spacing w:before="0" w:after="200"/>
        <w:ind w:left="1440" w:right="0" w:firstLine="720"/>
        <w:jc w:val="both"/>
        <w:rPr>
          <w:sz w:val="17"/>
        </w:rPr>
      </w:pPr>
      <w:r>
        <w:rPr>
          <w:sz w:val="17"/>
        </w:rPr>
        <w:t xml:space="preserve">Level 2: Observable market based inputs or unobservable inputs that are corroborated by market data. </w:t>
      </w:r>
    </w:p>
    <w:p>
      <w:pPr>
        <w:pStyle w:val="TextBody"/>
        <w:spacing w:before="0" w:after="200"/>
        <w:ind w:left="1440" w:right="0" w:firstLine="720"/>
        <w:jc w:val="both"/>
        <w:rPr>
          <w:sz w:val="17"/>
        </w:rPr>
      </w:pPr>
      <w:r>
        <w:rPr>
          <w:sz w:val="17"/>
        </w:rPr>
        <w:t xml:space="preserve">Level 3: Unobservable inputs that are not corroborated by market data.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89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We use appropriate valuation techniques based on the available inputs to measure the fair values of our assets and liabilities.  When available, we measure fair value using Level 1 inputs because they generally provide the most reliable evidence of fair value. </w:t>
      </w:r>
    </w:p>
    <w:p>
      <w:pPr>
        <w:pStyle w:val="TextBody"/>
        <w:spacing w:before="0" w:after="200"/>
        <w:ind w:left="1440" w:right="0" w:firstLine="720"/>
        <w:jc w:val="both"/>
        <w:rPr>
          <w:sz w:val="17"/>
        </w:rPr>
      </w:pPr>
      <w:r>
        <w:rPr>
          <w:sz w:val="17"/>
        </w:rPr>
        <w:t xml:space="preserve">We used the following methods and assumptions to estimate the fair values of the assets and liabilities in the table above. </w:t>
      </w:r>
    </w:p>
    <w:p>
      <w:pPr>
        <w:pStyle w:val="TextBody"/>
        <w:spacing w:before="0" w:after="200"/>
        <w:ind w:left="1440" w:right="0" w:hanging="0"/>
        <w:jc w:val="both"/>
        <w:rPr>
          <w:sz w:val="17"/>
        </w:rPr>
      </w:pPr>
      <w:r>
        <w:rPr>
          <w:sz w:val="17"/>
          <w:u w:val="single"/>
        </w:rPr>
        <w:t>Level 1 Fair Value Measurements</w:t>
      </w:r>
      <w:r>
        <w:rPr>
          <w:sz w:val="17"/>
        </w:rPr>
        <w:t xml:space="preserve"> – are based on market quotes of our marketable securities. </w:t>
      </w:r>
    </w:p>
    <w:p>
      <w:pPr>
        <w:pStyle w:val="TextBody"/>
        <w:spacing w:before="0" w:after="200"/>
        <w:ind w:left="1440" w:right="0" w:hanging="0"/>
        <w:jc w:val="both"/>
        <w:rPr>
          <w:sz w:val="17"/>
        </w:rPr>
      </w:pPr>
      <w:r>
        <w:rPr>
          <w:sz w:val="17"/>
          <w:u w:val="single"/>
        </w:rPr>
        <w:t>Level 2 Fair Value Measurements</w:t>
      </w:r>
      <w:r>
        <w:rPr>
          <w:sz w:val="17"/>
        </w:rPr>
        <w:t xml:space="preserve"> – </w:t>
      </w:r>
      <w:r>
        <w:rPr>
          <w:i/>
          <w:sz w:val="17"/>
        </w:rPr>
        <w:t>Interest Rate Swaps</w:t>
      </w:r>
      <w:r>
        <w:rPr>
          <w:sz w:val="17"/>
        </w:rPr>
        <w:t xml:space="preserve"> – The fair value of interest rate swaps are estimated using internal discounted cash flow calculations based upon forward interest rate curves, which are corroborated by market data, and quotes obtained from counterparties to the agreements. </w:t>
      </w:r>
    </w:p>
    <w:p>
      <w:pPr>
        <w:pStyle w:val="TextBody"/>
        <w:spacing w:before="0" w:after="200"/>
        <w:ind w:left="1440" w:right="0" w:hanging="0"/>
        <w:jc w:val="both"/>
        <w:rPr>
          <w:sz w:val="17"/>
        </w:rPr>
      </w:pPr>
      <w:r>
        <w:rPr>
          <w:sz w:val="17"/>
          <w:u w:val="single"/>
        </w:rPr>
        <w:t>Level 3 Fair Value Measurements</w:t>
      </w:r>
      <w:r>
        <w:rPr>
          <w:sz w:val="17"/>
        </w:rPr>
        <w:t xml:space="preserve"> – </w:t>
      </w:r>
      <w:r>
        <w:rPr>
          <w:i/>
          <w:sz w:val="17"/>
        </w:rPr>
        <w:t>Impaired Property</w:t>
      </w:r>
      <w:r>
        <w:rPr>
          <w:sz w:val="17"/>
        </w:rPr>
        <w:t xml:space="preserve"> – For assets measured on a non-recurring basis, such as real estate assets that are required to be recorded at fair value as a result of an impairment, our estimates of fair value are based on management’s best estimate derived from evaluating market sales data for comparable properties developed by a third party appraiser and arriving at management’s estimate of fair value based on such comparable data primarily based on properties with similar characteristics.  For the years ended December 31, 2012, 2011, and 2010, the fair value of our impaired properties was estimated to be $4.1 million, $1.9 million, and $1.8 million, respectively, which we used to record our impairment expense and was based on level 3 inputs in developing management’s estimate of fair value.  For the year ended December 31, 2011, the fair value of our Rialto Cinemas investment was $1.6 million (NZ$2.0 million) resulting in an impairment charge of $2.9 million (NZ$3.8 million). </w:t>
      </w:r>
    </w:p>
    <w:p>
      <w:pPr>
        <w:pStyle w:val="TextBody"/>
        <w:spacing w:before="0" w:after="200"/>
        <w:ind w:left="1440" w:right="0" w:firstLine="720"/>
        <w:jc w:val="both"/>
        <w:rPr>
          <w:sz w:val="17"/>
        </w:rPr>
      </w:pPr>
      <w:r>
        <w:rPr>
          <w:sz w:val="17"/>
        </w:rPr>
        <w:t xml:space="preserve">As of December 31, 2012, we held certain items that are required to be measured at fair value on a recurring basis.  These included available for sale securities and interest rate derivative contracts.    Derivative instruments are related to our economic hedge of interest rates.  Our available-for-sale securities primarily consist of investments associated with the ownership of marketable securities in Australia. </w:t>
      </w:r>
    </w:p>
    <w:p>
      <w:pPr>
        <w:pStyle w:val="TextBody"/>
        <w:spacing w:before="0" w:after="200"/>
        <w:ind w:left="1440" w:right="0" w:firstLine="720"/>
        <w:jc w:val="both"/>
        <w:rPr>
          <w:sz w:val="17"/>
        </w:rPr>
      </w:pPr>
      <w:r>
        <w:rPr>
          <w:sz w:val="17"/>
        </w:rPr>
        <w:t xml:space="preserve">The fair values of the interest rate swap agreements are determined using the market standard methodology of discounting the future expected cash receipts or payments that would occur if variable interest rate fell above or below the strike rate of the interest rate swap agreement.  The variable interest rates used in the calculation of projected receipts or payments on the interest rate swap and cap agreements are based on an expectation of future interest rates derived from observable market interest rate curves and volatilities.  To comply with the provisions of ASC 820-10, we incorporate credit valuation adjustments to appropriately reflect both our own nonperformance risk and the respective counterparty's nonperformance risk in the fair value measurements.  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2012, we have assessed the significance of the impact of the credit valuation adjustments on the overall valuation and determined that the credit valuation adjustments are not significant to the overall valuation of our derivatives.  As a result, we have determined that our derivative valuations in their entirety are classified in Level 2 of the fair value hierarchy.  We have consistently applied these valuation techniques in all periods presented and believe we have obtained the most accurate information available for the types of derivative contracts we hold. </w:t>
      </w:r>
    </w:p>
    <w:p>
      <w:pPr>
        <w:pStyle w:val="TextBody"/>
        <w:spacing w:before="0" w:after="200"/>
        <w:ind w:left="1440" w:right="0" w:firstLine="720"/>
        <w:jc w:val="both"/>
        <w:rPr>
          <w:sz w:val="17"/>
        </w:rPr>
      </w:pPr>
      <w:r>
        <w:rPr>
          <w:sz w:val="17"/>
        </w:rPr>
        <w:t xml:space="preserve">The following items are measured at fair value on a recurring basis subject to the disclosure requirements of ASC 820-10 at December 31, 2012 and 2011, respectively (dollars in thousands): </w:t>
      </w:r>
    </w:p>
    <w:p>
      <w:pPr>
        <w:pStyle w:val="TextBody"/>
        <w:spacing w:lineRule="auto" w:line="240" w:before="0" w:after="0"/>
        <w:ind w:left="1440" w:right="0" w:hanging="0"/>
        <w:jc w:val="both"/>
        <w:rPr/>
      </w:pPr>
      <w:r>
        <w:rPr>
          <w:u w:val="single"/>
        </w:rPr>
        <w:t> </w:t>
      </w:r>
      <w:r>
        <w:rPr/>
        <w:t xml:space="preserve"> </w:t>
      </w:r>
    </w:p>
    <w:tbl>
      <w:tblPr>
        <w:tblW w:w="6050" w:type="dxa"/>
        <w:jc w:val="left"/>
        <w:tblInd w:w="1440" w:type="dxa"/>
        <w:tblCellMar>
          <w:top w:w="0" w:type="dxa"/>
          <w:left w:w="0" w:type="dxa"/>
          <w:bottom w:w="0" w:type="dxa"/>
          <w:right w:w="0" w:type="dxa"/>
        </w:tblCellMar>
      </w:tblPr>
      <w:tblGrid>
        <w:gridCol w:w="2465"/>
        <w:gridCol w:w="410"/>
        <w:gridCol w:w="110"/>
        <w:gridCol w:w="680"/>
        <w:gridCol w:w="110"/>
        <w:gridCol w:w="680"/>
        <w:gridCol w:w="110"/>
        <w:gridCol w:w="680"/>
        <w:gridCol w:w="110"/>
        <w:gridCol w:w="695"/>
      </w:tblGrid>
      <w:tr>
        <w:trPr/>
        <w:tc>
          <w:tcPr>
            <w:tcW w:w="2465" w:type="dxa"/>
            <w:tcBorders/>
            <w:shd w:fill="auto" w:val="clear"/>
            <w:vAlign w:val="bottom"/>
          </w:tcPr>
          <w:p>
            <w:pPr>
              <w:pStyle w:val="TableContents"/>
              <w:spacing w:before="0" w:after="1"/>
              <w:ind w:left="0" w:right="0" w:hanging="0"/>
              <w:jc w:val="both"/>
              <w:rPr/>
            </w:pPr>
            <w:r>
              <w:rPr/>
              <w:t> </w:t>
            </w:r>
          </w:p>
        </w:tc>
        <w:tc>
          <w:tcPr>
            <w:tcW w:w="4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r>
      <w:tr>
        <w:trPr/>
        <w:tc>
          <w:tcPr>
            <w:tcW w:w="2465" w:type="dxa"/>
            <w:tcBorders/>
            <w:shd w:fill="auto" w:val="clear"/>
            <w:vAlign w:val="bottom"/>
          </w:tcPr>
          <w:p>
            <w:pPr>
              <w:pStyle w:val="TableContents"/>
              <w:spacing w:before="0" w:after="1"/>
              <w:ind w:left="0" w:right="0" w:hanging="0"/>
              <w:jc w:val="both"/>
              <w:rPr/>
            </w:pPr>
            <w:r>
              <w:rPr/>
              <w:t> </w:t>
            </w:r>
          </w:p>
        </w:tc>
        <w:tc>
          <w:tcPr>
            <w:tcW w:w="4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8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r>
      <w:tr>
        <w:trPr/>
        <w:tc>
          <w:tcPr>
            <w:tcW w:w="2465" w:type="dxa"/>
            <w:tcBorders/>
            <w:shd w:fill="auto" w:val="clear"/>
            <w:vAlign w:val="bottom"/>
          </w:tcPr>
          <w:p>
            <w:pPr>
              <w:pStyle w:val="TableContents"/>
              <w:spacing w:before="0" w:after="1"/>
              <w:ind w:left="0" w:right="0" w:hanging="0"/>
              <w:jc w:val="both"/>
              <w:rPr/>
            </w:pPr>
            <w:r>
              <w:rPr/>
              <w:t> </w:t>
            </w:r>
          </w:p>
        </w:tc>
        <w:tc>
          <w:tcPr>
            <w:tcW w:w="4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70"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Book Value</w:t>
            </w:r>
          </w:p>
        </w:tc>
        <w:tc>
          <w:tcPr>
            <w:tcW w:w="110" w:type="dxa"/>
            <w:tcBorders/>
            <w:shd w:fill="auto" w:val="clear"/>
            <w:vAlign w:val="bottom"/>
          </w:tcPr>
          <w:p>
            <w:pPr>
              <w:pStyle w:val="TableContents"/>
              <w:spacing w:before="0" w:after="1"/>
              <w:ind w:left="0" w:right="0" w:hanging="0"/>
              <w:jc w:val="center"/>
              <w:rPr/>
            </w:pPr>
            <w:r>
              <w:rPr/>
              <w:t> </w:t>
            </w:r>
          </w:p>
        </w:tc>
        <w:tc>
          <w:tcPr>
            <w:tcW w:w="148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Fair Value</w:t>
            </w:r>
          </w:p>
        </w:tc>
      </w:tr>
      <w:tr>
        <w:trPr/>
        <w:tc>
          <w:tcPr>
            <w:tcW w:w="246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Financial Instrument</w:t>
            </w:r>
          </w:p>
        </w:tc>
        <w:tc>
          <w:tcPr>
            <w:tcW w:w="4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Level</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2465"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Investment in marketable securities</w:t>
            </w:r>
          </w:p>
        </w:tc>
        <w:tc>
          <w:tcPr>
            <w:tcW w:w="410" w:type="dxa"/>
            <w:tcBorders>
              <w:top w:val="single" w:sz="8" w:space="0" w:color="000000"/>
            </w:tcBorders>
            <w:shd w:fill="auto" w:val="clear"/>
            <w:tcMar>
              <w:top w:w="28" w:type="dxa"/>
            </w:tcMar>
            <w:vAlign w:val="bottom"/>
          </w:tcPr>
          <w:p>
            <w:pPr>
              <w:pStyle w:val="TableContents"/>
              <w:spacing w:before="0" w:after="1"/>
              <w:ind w:left="0" w:right="0" w:hanging="0"/>
              <w:jc w:val="center"/>
              <w:rPr>
                <w:sz w:val="17"/>
              </w:rPr>
            </w:pPr>
            <w:r>
              <w:rPr>
                <w:sz w:val="17"/>
              </w:rPr>
              <w:t>1</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680" w:type="dxa"/>
            <w:tcBorders>
              <w:top w:val="single" w:sz="8" w:space="0" w:color="000000"/>
            </w:tcBorders>
            <w:shd w:fill="auto" w:val="clear"/>
            <w:tcMar>
              <w:top w:w="28" w:type="dxa"/>
            </w:tcMar>
            <w:vAlign w:val="bottom"/>
          </w:tcPr>
          <w:p>
            <w:pPr>
              <w:pStyle w:val="TableContents"/>
              <w:spacing w:before="0" w:after="283"/>
              <w:rPr/>
            </w:pPr>
            <w:r>
              <w:rPr/>
              <w:t xml:space="preserve">55 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680" w:type="dxa"/>
            <w:tcBorders>
              <w:top w:val="single" w:sz="8" w:space="0" w:color="000000"/>
            </w:tcBorders>
            <w:shd w:fill="auto" w:val="clear"/>
            <w:tcMar>
              <w:top w:w="28" w:type="dxa"/>
            </w:tcMar>
            <w:vAlign w:val="bottom"/>
          </w:tcPr>
          <w:p>
            <w:pPr>
              <w:pStyle w:val="TableContents"/>
              <w:spacing w:before="0" w:after="283"/>
              <w:rPr/>
            </w:pPr>
            <w:r>
              <w:rPr/>
              <w:t xml:space="preserve">2,874 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680" w:type="dxa"/>
            <w:tcBorders>
              <w:top w:val="single" w:sz="8" w:space="0" w:color="000000"/>
            </w:tcBorders>
            <w:shd w:fill="auto" w:val="clear"/>
            <w:tcMar>
              <w:top w:w="28" w:type="dxa"/>
            </w:tcMar>
            <w:vAlign w:val="bottom"/>
          </w:tcPr>
          <w:p>
            <w:pPr>
              <w:pStyle w:val="TableContents"/>
              <w:spacing w:before="0" w:after="283"/>
              <w:rPr/>
            </w:pPr>
            <w:r>
              <w:rPr/>
              <w:t xml:space="preserve">55 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tcBorders>
            <w:shd w:fill="auto" w:val="clear"/>
            <w:tcMar>
              <w:top w:w="28" w:type="dxa"/>
            </w:tcMar>
            <w:vAlign w:val="bottom"/>
          </w:tcPr>
          <w:p>
            <w:pPr>
              <w:pStyle w:val="TableContents"/>
              <w:spacing w:before="0" w:after="283"/>
              <w:rPr/>
            </w:pPr>
            <w:r>
              <w:rPr/>
              <w:t xml:space="preserve">2,874  </w:t>
            </w:r>
          </w:p>
        </w:tc>
      </w:tr>
      <w:tr>
        <w:trPr/>
        <w:tc>
          <w:tcPr>
            <w:tcW w:w="2465" w:type="dxa"/>
            <w:tcBorders/>
            <w:shd w:fill="auto" w:val="clear"/>
            <w:vAlign w:val="bottom"/>
          </w:tcPr>
          <w:p>
            <w:pPr>
              <w:pStyle w:val="TableContents"/>
              <w:spacing w:before="0" w:after="1"/>
              <w:ind w:left="0" w:right="0" w:hanging="0"/>
              <w:jc w:val="both"/>
              <w:rPr>
                <w:sz w:val="17"/>
              </w:rPr>
            </w:pPr>
            <w:r>
              <w:rPr>
                <w:sz w:val="17"/>
              </w:rPr>
              <w:t xml:space="preserve">Interest rate swaps liability </w:t>
            </w:r>
          </w:p>
        </w:tc>
        <w:tc>
          <w:tcPr>
            <w:tcW w:w="410" w:type="dxa"/>
            <w:tcBorders/>
            <w:shd w:fill="auto" w:val="clear"/>
            <w:vAlign w:val="bottom"/>
          </w:tcPr>
          <w:p>
            <w:pPr>
              <w:pStyle w:val="TableContents"/>
              <w:spacing w:before="0" w:after="1"/>
              <w:ind w:left="0" w:right="0" w:hanging="0"/>
              <w:jc w:val="center"/>
              <w:rPr>
                <w:sz w:val="17"/>
              </w:rPr>
            </w:pPr>
            <w:r>
              <w:rPr>
                <w:sz w:val="17"/>
              </w:rPr>
              <w:t>2</w:t>
            </w:r>
          </w:p>
        </w:tc>
        <w:tc>
          <w:tcPr>
            <w:tcW w:w="110" w:type="dxa"/>
            <w:tcBorders/>
            <w:shd w:fill="auto" w:val="clear"/>
            <w:vAlign w:val="bottom"/>
          </w:tcPr>
          <w:p>
            <w:pPr>
              <w:pStyle w:val="TableContents"/>
              <w:spacing w:before="0" w:after="1"/>
              <w:ind w:left="0" w:right="0" w:hanging="0"/>
              <w:jc w:val="right"/>
              <w:rPr>
                <w:sz w:val="17"/>
              </w:rPr>
            </w:pPr>
            <w:r>
              <w:rPr>
                <w:sz w:val="17"/>
              </w:rPr>
              <w:t>$</w:t>
            </w:r>
          </w:p>
        </w:tc>
        <w:tc>
          <w:tcPr>
            <w:tcW w:w="680" w:type="dxa"/>
            <w:tcBorders/>
            <w:shd w:fill="auto" w:val="clear"/>
            <w:vAlign w:val="bottom"/>
          </w:tcPr>
          <w:p>
            <w:pPr>
              <w:pStyle w:val="TableContents"/>
              <w:spacing w:before="0" w:after="283"/>
              <w:rPr/>
            </w:pPr>
            <w:r>
              <w:rPr/>
              <w:t xml:space="preserve">5,855  </w:t>
            </w:r>
          </w:p>
        </w:tc>
        <w:tc>
          <w:tcPr>
            <w:tcW w:w="110" w:type="dxa"/>
            <w:tcBorders/>
            <w:shd w:fill="auto" w:val="clear"/>
            <w:vAlign w:val="bottom"/>
          </w:tcPr>
          <w:p>
            <w:pPr>
              <w:pStyle w:val="TableContents"/>
              <w:spacing w:before="0" w:after="1"/>
              <w:ind w:left="0" w:right="0" w:hanging="0"/>
              <w:jc w:val="right"/>
              <w:rPr>
                <w:sz w:val="17"/>
              </w:rPr>
            </w:pPr>
            <w:r>
              <w:rPr>
                <w:sz w:val="17"/>
              </w:rPr>
              <w:t>$</w:t>
            </w:r>
          </w:p>
        </w:tc>
        <w:tc>
          <w:tcPr>
            <w:tcW w:w="680" w:type="dxa"/>
            <w:tcBorders/>
            <w:shd w:fill="auto" w:val="clear"/>
            <w:vAlign w:val="bottom"/>
          </w:tcPr>
          <w:p>
            <w:pPr>
              <w:pStyle w:val="TableContents"/>
              <w:spacing w:before="0" w:after="283"/>
              <w:rPr/>
            </w:pPr>
            <w:r>
              <w:rPr/>
              <w:t xml:space="preserve">4,722  </w:t>
            </w:r>
          </w:p>
        </w:tc>
        <w:tc>
          <w:tcPr>
            <w:tcW w:w="110" w:type="dxa"/>
            <w:tcBorders/>
            <w:shd w:fill="auto" w:val="clear"/>
            <w:vAlign w:val="bottom"/>
          </w:tcPr>
          <w:p>
            <w:pPr>
              <w:pStyle w:val="TableContents"/>
              <w:spacing w:before="0" w:after="1"/>
              <w:ind w:left="0" w:right="0" w:hanging="0"/>
              <w:jc w:val="right"/>
              <w:rPr>
                <w:sz w:val="17"/>
              </w:rPr>
            </w:pPr>
            <w:r>
              <w:rPr>
                <w:sz w:val="17"/>
              </w:rPr>
              <w:t>$</w:t>
            </w:r>
          </w:p>
        </w:tc>
        <w:tc>
          <w:tcPr>
            <w:tcW w:w="680" w:type="dxa"/>
            <w:tcBorders/>
            <w:shd w:fill="auto" w:val="clear"/>
            <w:vAlign w:val="bottom"/>
          </w:tcPr>
          <w:p>
            <w:pPr>
              <w:pStyle w:val="TableContents"/>
              <w:spacing w:before="0" w:after="283"/>
              <w:rPr/>
            </w:pPr>
            <w:r>
              <w:rPr/>
              <w:t xml:space="preserve">5,855  </w:t>
            </w:r>
          </w:p>
        </w:tc>
        <w:tc>
          <w:tcPr>
            <w:tcW w:w="110" w:type="dxa"/>
            <w:tcBorders/>
            <w:shd w:fill="auto" w:val="clear"/>
            <w:vAlign w:val="bottom"/>
          </w:tcPr>
          <w:p>
            <w:pPr>
              <w:pStyle w:val="TableContents"/>
              <w:spacing w:before="0" w:after="1"/>
              <w:ind w:left="0" w:right="0" w:hanging="0"/>
              <w:jc w:val="right"/>
              <w:rPr>
                <w:sz w:val="17"/>
              </w:rPr>
            </w:pPr>
            <w:r>
              <w:rPr>
                <w:sz w:val="17"/>
              </w:rPr>
              <w:t>$</w:t>
            </w:r>
          </w:p>
        </w:tc>
        <w:tc>
          <w:tcPr>
            <w:tcW w:w="695" w:type="dxa"/>
            <w:tcBorders/>
            <w:shd w:fill="auto" w:val="clear"/>
            <w:vAlign w:val="bottom"/>
          </w:tcPr>
          <w:p>
            <w:pPr>
              <w:pStyle w:val="TableContents"/>
              <w:spacing w:before="0" w:after="283"/>
              <w:rPr/>
            </w:pPr>
            <w:r>
              <w:rPr/>
              <w:t xml:space="preserve">4,722 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u w:val="single"/>
        </w:rPr>
        <w:t>Financial Instruments Disclosed at Fair Value</w:t>
      </w:r>
      <w:r>
        <w:rPr>
          <w:sz w:val="17"/>
        </w:rPr>
        <w:t xml:space="preserve"> </w:t>
      </w:r>
    </w:p>
    <w:p>
      <w:pPr>
        <w:pStyle w:val="TextBody"/>
        <w:spacing w:before="0" w:after="200"/>
        <w:ind w:left="1440" w:right="0" w:firstLine="720"/>
        <w:jc w:val="both"/>
        <w:rPr>
          <w:sz w:val="17"/>
        </w:rPr>
      </w:pPr>
      <w:r>
        <w:rPr>
          <w:sz w:val="17"/>
        </w:rPr>
        <w:t xml:space="preserve">The following table sets forth the carrying value and the fair value of our financial assets and liabilities at December 31, 2012 and 2011 (dollars in thousands): </w:t>
      </w:r>
    </w:p>
    <w:p>
      <w:pPr>
        <w:pStyle w:val="TextBody"/>
        <w:spacing w:lineRule="auto" w:line="240" w:before="0" w:after="0"/>
        <w:ind w:left="1440" w:right="0" w:firstLine="720"/>
        <w:jc w:val="both"/>
        <w:rPr/>
      </w:pPr>
      <w:r>
        <w:rPr/>
        <w:t xml:space="preserve">  </w:t>
      </w:r>
    </w:p>
    <w:tbl>
      <w:tblPr>
        <w:tblW w:w="5855" w:type="dxa"/>
        <w:jc w:val="left"/>
        <w:tblInd w:w="1440" w:type="dxa"/>
        <w:tblCellMar>
          <w:top w:w="0" w:type="dxa"/>
          <w:left w:w="0" w:type="dxa"/>
          <w:bottom w:w="0" w:type="dxa"/>
          <w:right w:w="0" w:type="dxa"/>
        </w:tblCellMar>
      </w:tblPr>
      <w:tblGrid>
        <w:gridCol w:w="2210"/>
        <w:gridCol w:w="410"/>
        <w:gridCol w:w="110"/>
        <w:gridCol w:w="695"/>
        <w:gridCol w:w="110"/>
        <w:gridCol w:w="695"/>
        <w:gridCol w:w="110"/>
        <w:gridCol w:w="695"/>
        <w:gridCol w:w="110"/>
        <w:gridCol w:w="710"/>
      </w:tblGrid>
      <w:tr>
        <w:trPr/>
        <w:tc>
          <w:tcPr>
            <w:tcW w:w="2210" w:type="dxa"/>
            <w:tcBorders/>
            <w:shd w:fill="auto" w:val="clear"/>
            <w:vAlign w:val="bottom"/>
          </w:tcPr>
          <w:p>
            <w:pPr>
              <w:pStyle w:val="TableContents"/>
              <w:spacing w:before="0" w:after="1"/>
              <w:ind w:left="0" w:right="0" w:hanging="0"/>
              <w:jc w:val="both"/>
              <w:rPr/>
            </w:pPr>
            <w:r>
              <w:rPr/>
              <w:t> </w:t>
            </w:r>
          </w:p>
        </w:tc>
        <w:tc>
          <w:tcPr>
            <w:tcW w:w="4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210" w:type="dxa"/>
            <w:tcBorders/>
            <w:shd w:fill="auto" w:val="clear"/>
            <w:vAlign w:val="bottom"/>
          </w:tcPr>
          <w:p>
            <w:pPr>
              <w:pStyle w:val="TableContents"/>
              <w:spacing w:before="0" w:after="1"/>
              <w:ind w:left="0" w:right="0" w:hanging="0"/>
              <w:jc w:val="both"/>
              <w:rPr/>
            </w:pPr>
            <w:r>
              <w:rPr/>
              <w:t> </w:t>
            </w:r>
          </w:p>
        </w:tc>
        <w:tc>
          <w:tcPr>
            <w:tcW w:w="41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2210" w:type="dxa"/>
            <w:tcBorders/>
            <w:shd w:fill="auto" w:val="clear"/>
            <w:vAlign w:val="bottom"/>
          </w:tcPr>
          <w:p>
            <w:pPr>
              <w:pStyle w:val="TableContents"/>
              <w:spacing w:before="0" w:after="1"/>
              <w:ind w:left="0" w:right="0" w:hanging="0"/>
              <w:jc w:val="both"/>
              <w:rPr/>
            </w:pPr>
            <w:r>
              <w:rPr/>
              <w:t> </w:t>
            </w:r>
          </w:p>
        </w:tc>
        <w:tc>
          <w:tcPr>
            <w:tcW w:w="410" w:type="dxa"/>
            <w:tcBorders/>
            <w:shd w:fill="auto" w:val="clear"/>
            <w:vAlign w:val="bottom"/>
          </w:tcPr>
          <w:p>
            <w:pPr>
              <w:pStyle w:val="TableContents"/>
              <w:spacing w:before="0" w:after="1"/>
              <w:ind w:left="0" w:right="0" w:hanging="0"/>
              <w:jc w:val="both"/>
              <w:rPr/>
            </w:pPr>
            <w:r>
              <w:rPr/>
              <w:t> </w:t>
            </w:r>
          </w:p>
        </w:tc>
        <w:tc>
          <w:tcPr>
            <w:tcW w:w="1610" w:type="dxa"/>
            <w:gridSpan w:val="4"/>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Book Value</w:t>
            </w:r>
          </w:p>
        </w:tc>
        <w:tc>
          <w:tcPr>
            <w:tcW w:w="1625" w:type="dxa"/>
            <w:gridSpan w:val="4"/>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Fair Value</w:t>
            </w:r>
          </w:p>
        </w:tc>
      </w:tr>
      <w:tr>
        <w:trPr/>
        <w:tc>
          <w:tcPr>
            <w:tcW w:w="2210"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Financial Instrument</w:t>
            </w:r>
          </w:p>
        </w:tc>
        <w:tc>
          <w:tcPr>
            <w:tcW w:w="4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Level</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6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7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221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Cash</w:t>
            </w:r>
          </w:p>
        </w:tc>
        <w:tc>
          <w:tcPr>
            <w:tcW w:w="410"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1</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38,531 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31,597 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38,531 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31,597  </w:t>
            </w:r>
          </w:p>
        </w:tc>
      </w:tr>
      <w:tr>
        <w:trPr/>
        <w:tc>
          <w:tcPr>
            <w:tcW w:w="2210" w:type="dxa"/>
            <w:tcBorders/>
            <w:shd w:fill="FFFFFF" w:val="clear"/>
            <w:vAlign w:val="bottom"/>
          </w:tcPr>
          <w:p>
            <w:pPr>
              <w:pStyle w:val="TableContents"/>
              <w:spacing w:before="0" w:after="1"/>
              <w:ind w:left="0" w:right="0" w:hanging="0"/>
              <w:jc w:val="both"/>
              <w:rPr>
                <w:sz w:val="17"/>
              </w:rPr>
            </w:pPr>
            <w:r>
              <w:rPr>
                <w:sz w:val="17"/>
              </w:rPr>
              <w:t>Time deposits</w:t>
            </w:r>
          </w:p>
        </w:tc>
        <w:tc>
          <w:tcPr>
            <w:tcW w:w="410" w:type="dxa"/>
            <w:tcBorders/>
            <w:shd w:fill="FFFFFF" w:val="clear"/>
            <w:vAlign w:val="bottom"/>
          </w:tcPr>
          <w:p>
            <w:pPr>
              <w:pStyle w:val="TableContents"/>
              <w:spacing w:before="0" w:after="1"/>
              <w:ind w:left="0" w:right="0" w:hanging="0"/>
              <w:jc w:val="center"/>
              <w:rPr>
                <w:sz w:val="17"/>
              </w:rPr>
            </w:pPr>
            <w:r>
              <w:rPr>
                <w:sz w:val="17"/>
              </w:rPr>
              <w:t>1</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8,000 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8,000 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710" w:type="dxa"/>
            <w:tcBorders/>
            <w:shd w:fill="FFFFFF" w:val="clear"/>
            <w:vAlign w:val="bottom"/>
          </w:tcPr>
          <w:p>
            <w:pPr>
              <w:pStyle w:val="TableContents"/>
              <w:spacing w:before="0" w:after="1"/>
              <w:ind w:left="0" w:right="65" w:hanging="0"/>
              <w:jc w:val="right"/>
              <w:rPr>
                <w:sz w:val="17"/>
              </w:rPr>
            </w:pPr>
            <w:r>
              <w:rPr>
                <w:sz w:val="17"/>
              </w:rPr>
              <w:t>--</w:t>
            </w:r>
          </w:p>
        </w:tc>
      </w:tr>
      <w:tr>
        <w:trPr/>
        <w:tc>
          <w:tcPr>
            <w:tcW w:w="2210" w:type="dxa"/>
            <w:tcBorders/>
            <w:shd w:fill="CCEEFF" w:val="clear"/>
            <w:vAlign w:val="bottom"/>
          </w:tcPr>
          <w:p>
            <w:pPr>
              <w:pStyle w:val="TableContents"/>
              <w:spacing w:before="0" w:after="1"/>
              <w:ind w:left="0" w:right="0" w:hanging="0"/>
              <w:jc w:val="both"/>
              <w:rPr>
                <w:sz w:val="17"/>
              </w:rPr>
            </w:pPr>
            <w:r>
              <w:rPr>
                <w:sz w:val="17"/>
              </w:rPr>
              <w:t>Accounts receivable</w:t>
            </w:r>
          </w:p>
        </w:tc>
        <w:tc>
          <w:tcPr>
            <w:tcW w:w="410" w:type="dxa"/>
            <w:tcBorders/>
            <w:shd w:fill="CCEEFF" w:val="clear"/>
            <w:vAlign w:val="bottom"/>
          </w:tcPr>
          <w:p>
            <w:pPr>
              <w:pStyle w:val="TableContents"/>
              <w:spacing w:before="0" w:after="1"/>
              <w:ind w:left="0" w:right="0" w:hanging="0"/>
              <w:jc w:val="center"/>
              <w:rPr>
                <w:sz w:val="17"/>
              </w:rPr>
            </w:pPr>
            <w:r>
              <w:rPr>
                <w:sz w:val="17"/>
              </w:rPr>
              <w:t>1</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8,514 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6,973 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8,514 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710" w:type="dxa"/>
            <w:tcBorders/>
            <w:shd w:fill="CCEEFF" w:val="clear"/>
            <w:vAlign w:val="bottom"/>
          </w:tcPr>
          <w:p>
            <w:pPr>
              <w:pStyle w:val="TableContents"/>
              <w:spacing w:before="0" w:after="283"/>
              <w:jc w:val="right"/>
              <w:rPr>
                <w:sz w:val="17"/>
              </w:rPr>
            </w:pPr>
            <w:r>
              <w:rPr>
                <w:sz w:val="17"/>
              </w:rPr>
              <w:t xml:space="preserve">6,973  </w:t>
            </w:r>
          </w:p>
        </w:tc>
      </w:tr>
      <w:tr>
        <w:trPr/>
        <w:tc>
          <w:tcPr>
            <w:tcW w:w="2210" w:type="dxa"/>
            <w:tcBorders/>
            <w:shd w:fill="FFFFFF" w:val="clear"/>
            <w:vAlign w:val="bottom"/>
          </w:tcPr>
          <w:p>
            <w:pPr>
              <w:pStyle w:val="TableContents"/>
              <w:spacing w:before="0" w:after="1"/>
              <w:ind w:left="0" w:right="0" w:hanging="0"/>
              <w:jc w:val="both"/>
              <w:rPr>
                <w:sz w:val="17"/>
              </w:rPr>
            </w:pPr>
            <w:r>
              <w:rPr>
                <w:sz w:val="17"/>
              </w:rPr>
              <w:t>Other assets - notes receivable</w:t>
            </w:r>
          </w:p>
        </w:tc>
        <w:tc>
          <w:tcPr>
            <w:tcW w:w="410" w:type="dxa"/>
            <w:tcBorders/>
            <w:shd w:fill="FFFFFF" w:val="clear"/>
            <w:vAlign w:val="bottom"/>
          </w:tcPr>
          <w:p>
            <w:pPr>
              <w:pStyle w:val="TableContents"/>
              <w:spacing w:before="0" w:after="1"/>
              <w:ind w:left="0" w:right="0" w:hanging="0"/>
              <w:jc w:val="center"/>
              <w:rPr>
                <w:sz w:val="17"/>
              </w:rPr>
            </w:pPr>
            <w:r>
              <w:rPr>
                <w:sz w:val="17"/>
              </w:rPr>
              <w:t>1</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2,000 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851 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2,000 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710" w:type="dxa"/>
            <w:tcBorders/>
            <w:shd w:fill="FFFFFF" w:val="clear"/>
            <w:vAlign w:val="bottom"/>
          </w:tcPr>
          <w:p>
            <w:pPr>
              <w:pStyle w:val="TableContents"/>
              <w:spacing w:before="0" w:after="283"/>
              <w:jc w:val="right"/>
              <w:rPr>
                <w:sz w:val="17"/>
              </w:rPr>
            </w:pPr>
            <w:r>
              <w:rPr>
                <w:sz w:val="17"/>
              </w:rPr>
              <w:t xml:space="preserve">851  </w:t>
            </w:r>
          </w:p>
        </w:tc>
      </w:tr>
      <w:tr>
        <w:trPr/>
        <w:tc>
          <w:tcPr>
            <w:tcW w:w="2210" w:type="dxa"/>
            <w:tcBorders/>
            <w:shd w:fill="CCEEFF" w:val="clear"/>
            <w:vAlign w:val="bottom"/>
          </w:tcPr>
          <w:p>
            <w:pPr>
              <w:pStyle w:val="TableContents"/>
              <w:spacing w:before="0" w:after="1"/>
              <w:ind w:left="0" w:right="0" w:hanging="0"/>
              <w:jc w:val="both"/>
              <w:rPr>
                <w:sz w:val="17"/>
              </w:rPr>
            </w:pPr>
            <w:r>
              <w:rPr>
                <w:sz w:val="17"/>
              </w:rPr>
              <w:t>Restricted cash</w:t>
            </w:r>
          </w:p>
        </w:tc>
        <w:tc>
          <w:tcPr>
            <w:tcW w:w="410" w:type="dxa"/>
            <w:tcBorders/>
            <w:shd w:fill="CCEEFF" w:val="clear"/>
            <w:vAlign w:val="bottom"/>
          </w:tcPr>
          <w:p>
            <w:pPr>
              <w:pStyle w:val="TableContents"/>
              <w:spacing w:before="0" w:after="1"/>
              <w:ind w:left="0" w:right="0" w:hanging="0"/>
              <w:jc w:val="center"/>
              <w:rPr>
                <w:sz w:val="17"/>
              </w:rPr>
            </w:pPr>
            <w:r>
              <w:rPr>
                <w:sz w:val="17"/>
              </w:rPr>
              <w:t>1</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2,465 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2,379 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2,465 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710" w:type="dxa"/>
            <w:tcBorders/>
            <w:shd w:fill="CCEEFF" w:val="clear"/>
            <w:vAlign w:val="bottom"/>
          </w:tcPr>
          <w:p>
            <w:pPr>
              <w:pStyle w:val="TableContents"/>
              <w:spacing w:before="0" w:after="283"/>
              <w:jc w:val="right"/>
              <w:rPr>
                <w:sz w:val="17"/>
              </w:rPr>
            </w:pPr>
            <w:r>
              <w:rPr>
                <w:sz w:val="17"/>
              </w:rPr>
              <w:t xml:space="preserve">2,379  </w:t>
            </w:r>
          </w:p>
        </w:tc>
      </w:tr>
      <w:tr>
        <w:trPr/>
        <w:tc>
          <w:tcPr>
            <w:tcW w:w="2210" w:type="dxa"/>
            <w:tcBorders/>
            <w:shd w:fill="FFFFFF" w:val="clear"/>
            <w:vAlign w:val="bottom"/>
          </w:tcPr>
          <w:p>
            <w:pPr>
              <w:pStyle w:val="TableContents"/>
              <w:spacing w:before="0" w:after="1"/>
              <w:ind w:left="0" w:right="0" w:hanging="0"/>
              <w:jc w:val="both"/>
              <w:rPr>
                <w:sz w:val="17"/>
              </w:rPr>
            </w:pPr>
            <w:r>
              <w:rPr>
                <w:sz w:val="17"/>
              </w:rPr>
              <w:t>Accounts and film rent payable</w:t>
            </w:r>
          </w:p>
        </w:tc>
        <w:tc>
          <w:tcPr>
            <w:tcW w:w="410" w:type="dxa"/>
            <w:tcBorders/>
            <w:shd w:fill="FFFFFF" w:val="clear"/>
            <w:vAlign w:val="bottom"/>
          </w:tcPr>
          <w:p>
            <w:pPr>
              <w:pStyle w:val="TableContents"/>
              <w:spacing w:before="0" w:after="1"/>
              <w:ind w:left="0" w:right="0" w:hanging="0"/>
              <w:jc w:val="center"/>
              <w:rPr>
                <w:sz w:val="17"/>
              </w:rPr>
            </w:pPr>
            <w:r>
              <w:rPr>
                <w:sz w:val="17"/>
              </w:rPr>
              <w:t>1</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25,566 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23,067 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25,566 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710" w:type="dxa"/>
            <w:tcBorders/>
            <w:shd w:fill="FFFFFF" w:val="clear"/>
            <w:vAlign w:val="bottom"/>
          </w:tcPr>
          <w:p>
            <w:pPr>
              <w:pStyle w:val="TableContents"/>
              <w:spacing w:before="0" w:after="283"/>
              <w:jc w:val="right"/>
              <w:rPr>
                <w:sz w:val="17"/>
              </w:rPr>
            </w:pPr>
            <w:r>
              <w:rPr>
                <w:sz w:val="17"/>
              </w:rPr>
              <w:t xml:space="preserve">23,067  </w:t>
            </w:r>
          </w:p>
        </w:tc>
      </w:tr>
      <w:tr>
        <w:trPr/>
        <w:tc>
          <w:tcPr>
            <w:tcW w:w="2210" w:type="dxa"/>
            <w:tcBorders/>
            <w:shd w:fill="CCEEFF" w:val="clear"/>
            <w:vAlign w:val="bottom"/>
          </w:tcPr>
          <w:p>
            <w:pPr>
              <w:pStyle w:val="TableContents"/>
              <w:spacing w:before="0" w:after="1"/>
              <w:ind w:left="0" w:right="0" w:hanging="0"/>
              <w:jc w:val="both"/>
              <w:rPr>
                <w:sz w:val="17"/>
              </w:rPr>
            </w:pPr>
            <w:r>
              <w:rPr>
                <w:sz w:val="17"/>
              </w:rPr>
              <w:t>Notes payable</w:t>
            </w:r>
          </w:p>
        </w:tc>
        <w:tc>
          <w:tcPr>
            <w:tcW w:w="410" w:type="dxa"/>
            <w:tcBorders/>
            <w:shd w:fill="CCEEFF" w:val="clear"/>
            <w:vAlign w:val="bottom"/>
          </w:tcPr>
          <w:p>
            <w:pPr>
              <w:pStyle w:val="TableContents"/>
              <w:spacing w:before="0" w:after="1"/>
              <w:ind w:left="0" w:right="0" w:hanging="0"/>
              <w:jc w:val="center"/>
              <w:rPr>
                <w:sz w:val="17"/>
              </w:rPr>
            </w:pPr>
            <w:r>
              <w:rPr>
                <w:sz w:val="17"/>
              </w:rPr>
              <w:t>3</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159,684 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172,701 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154,795 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710" w:type="dxa"/>
            <w:tcBorders/>
            <w:shd w:fill="CCEEFF" w:val="clear"/>
            <w:vAlign w:val="bottom"/>
          </w:tcPr>
          <w:p>
            <w:pPr>
              <w:pStyle w:val="TableContents"/>
              <w:spacing w:before="0" w:after="283"/>
              <w:jc w:val="right"/>
              <w:rPr>
                <w:sz w:val="17"/>
              </w:rPr>
            </w:pPr>
            <w:r>
              <w:rPr>
                <w:sz w:val="17"/>
              </w:rPr>
              <w:t xml:space="preserve">166,152  </w:t>
            </w:r>
          </w:p>
        </w:tc>
      </w:tr>
      <w:tr>
        <w:trPr/>
        <w:tc>
          <w:tcPr>
            <w:tcW w:w="2210" w:type="dxa"/>
            <w:tcBorders/>
            <w:shd w:fill="FFFFFF" w:val="clear"/>
            <w:vAlign w:val="bottom"/>
          </w:tcPr>
          <w:p>
            <w:pPr>
              <w:pStyle w:val="TableContents"/>
              <w:spacing w:before="0" w:after="1"/>
              <w:ind w:left="0" w:right="0" w:hanging="0"/>
              <w:jc w:val="both"/>
              <w:rPr>
                <w:sz w:val="17"/>
              </w:rPr>
            </w:pPr>
            <w:r>
              <w:rPr>
                <w:sz w:val="17"/>
              </w:rPr>
              <w:t>Notes payable to related party</w:t>
            </w:r>
          </w:p>
        </w:tc>
        <w:tc>
          <w:tcPr>
            <w:tcW w:w="410" w:type="dxa"/>
            <w:tcBorders/>
            <w:shd w:fill="FFFFFF" w:val="clear"/>
            <w:vAlign w:val="bottom"/>
          </w:tcPr>
          <w:p>
            <w:pPr>
              <w:pStyle w:val="TableContents"/>
              <w:spacing w:before="0" w:after="1"/>
              <w:ind w:left="0" w:right="0" w:hanging="0"/>
              <w:jc w:val="center"/>
              <w:rPr>
                <w:sz w:val="17"/>
              </w:rPr>
            </w:pPr>
            <w:r>
              <w:rPr>
                <w:sz w:val="17"/>
              </w:rPr>
              <w:t>N/A</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9,000 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283"/>
              <w:jc w:val="right"/>
              <w:rPr>
                <w:sz w:val="17"/>
              </w:rPr>
            </w:pPr>
            <w:r>
              <w:rPr>
                <w:sz w:val="17"/>
              </w:rPr>
              <w:t xml:space="preserve">9,000 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95" w:type="dxa"/>
            <w:tcBorders/>
            <w:shd w:fill="FFFFFF" w:val="clear"/>
            <w:vAlign w:val="bottom"/>
          </w:tcPr>
          <w:p>
            <w:pPr>
              <w:pStyle w:val="TableContents"/>
              <w:spacing w:before="0" w:after="1"/>
              <w:ind w:left="0" w:right="0" w:hanging="0"/>
              <w:jc w:val="right"/>
              <w:rPr>
                <w:sz w:val="17"/>
              </w:rPr>
            </w:pPr>
            <w:r>
              <w:rPr>
                <w:sz w:val="17"/>
              </w:rPr>
              <w:t>N/A</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710" w:type="dxa"/>
            <w:tcBorders/>
            <w:shd w:fill="FFFFFF" w:val="clear"/>
            <w:vAlign w:val="bottom"/>
          </w:tcPr>
          <w:p>
            <w:pPr>
              <w:pStyle w:val="TableContents"/>
              <w:spacing w:before="0" w:after="1"/>
              <w:ind w:left="0" w:right="0" w:hanging="0"/>
              <w:jc w:val="right"/>
              <w:rPr>
                <w:sz w:val="17"/>
              </w:rPr>
            </w:pPr>
            <w:r>
              <w:rPr>
                <w:sz w:val="17"/>
              </w:rPr>
              <w:t>N/A</w:t>
            </w:r>
          </w:p>
        </w:tc>
      </w:tr>
      <w:tr>
        <w:trPr/>
        <w:tc>
          <w:tcPr>
            <w:tcW w:w="2210" w:type="dxa"/>
            <w:tcBorders/>
            <w:shd w:fill="CCEEFF" w:val="clear"/>
            <w:vAlign w:val="bottom"/>
          </w:tcPr>
          <w:p>
            <w:pPr>
              <w:pStyle w:val="TableContents"/>
              <w:spacing w:before="0" w:after="1"/>
              <w:ind w:left="0" w:right="0" w:hanging="0"/>
              <w:jc w:val="both"/>
              <w:rPr>
                <w:sz w:val="17"/>
              </w:rPr>
            </w:pPr>
            <w:r>
              <w:rPr>
                <w:sz w:val="17"/>
              </w:rPr>
              <w:t>Subordinated debt</w:t>
            </w:r>
          </w:p>
        </w:tc>
        <w:tc>
          <w:tcPr>
            <w:tcW w:w="410" w:type="dxa"/>
            <w:tcBorders/>
            <w:shd w:fill="CCEEFF" w:val="clear"/>
            <w:vAlign w:val="bottom"/>
          </w:tcPr>
          <w:p>
            <w:pPr>
              <w:pStyle w:val="TableContents"/>
              <w:spacing w:before="0" w:after="1"/>
              <w:ind w:left="0" w:right="0" w:hanging="0"/>
              <w:jc w:val="center"/>
              <w:rPr>
                <w:sz w:val="17"/>
              </w:rPr>
            </w:pPr>
            <w:r>
              <w:rPr>
                <w:sz w:val="17"/>
              </w:rPr>
              <w:t>3</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27,913 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27,913 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95" w:type="dxa"/>
            <w:tcBorders/>
            <w:shd w:fill="CCEEFF" w:val="clear"/>
            <w:vAlign w:val="bottom"/>
          </w:tcPr>
          <w:p>
            <w:pPr>
              <w:pStyle w:val="TableContents"/>
              <w:spacing w:before="0" w:after="283"/>
              <w:jc w:val="right"/>
              <w:rPr>
                <w:sz w:val="17"/>
              </w:rPr>
            </w:pPr>
            <w:r>
              <w:rPr>
                <w:sz w:val="17"/>
              </w:rPr>
              <w:t xml:space="preserve">12,268 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710" w:type="dxa"/>
            <w:tcBorders/>
            <w:shd w:fill="CCEEFF" w:val="clear"/>
            <w:vAlign w:val="bottom"/>
          </w:tcPr>
          <w:p>
            <w:pPr>
              <w:pStyle w:val="TableContents"/>
              <w:spacing w:before="0" w:after="283"/>
              <w:jc w:val="right"/>
              <w:rPr>
                <w:sz w:val="17"/>
              </w:rPr>
            </w:pPr>
            <w:r>
              <w:rPr>
                <w:sz w:val="17"/>
              </w:rPr>
              <w:t xml:space="preserve">20,544  </w:t>
            </w:r>
          </w:p>
        </w:tc>
      </w:tr>
    </w:tbl>
    <w:p>
      <w:pPr>
        <w:pStyle w:val="TextBody"/>
        <w:spacing w:before="0" w:after="200"/>
        <w:ind w:left="1440" w:right="0" w:hanging="0"/>
        <w:jc w:val="both"/>
        <w:rPr>
          <w:sz w:val="17"/>
        </w:rPr>
      </w:pPr>
      <w:r>
        <w:rPr>
          <w:sz w:val="17"/>
        </w:rPr>
        <w:br/>
        <w:t xml:space="preserve">            For purposes of this fair value disclosure, we based our fair value estimate for notes payable and subordinated debt on our internal valuation whereby we apply the discounted cash flow method to our expected cash flow payments due under our existing debt agreements based on a representative sample of our lenders’ market interest rate quotes as of December 31, 2012 and 2012, respectively, for debt with similar risk characteristics and maturities. </w:t>
      </w:r>
    </w:p>
    <w:p>
      <w:pPr>
        <w:pStyle w:val="TextBody"/>
        <w:spacing w:before="0" w:after="200"/>
        <w:ind w:left="1440" w:right="0" w:hanging="0"/>
        <w:jc w:val="both"/>
        <w:rPr>
          <w:sz w:val="17"/>
        </w:rPr>
      </w:pPr>
      <w:r>
        <w:rPr>
          <w:b/>
          <w:sz w:val="17"/>
          <w:u w:val="single"/>
        </w:rPr>
        <w:t>Note 17 – Lease Agreements</w:t>
      </w:r>
      <w:r>
        <w:rPr>
          <w:sz w:val="17"/>
        </w:rPr>
        <w:t xml:space="preserve"> </w:t>
      </w:r>
    </w:p>
    <w:p>
      <w:pPr>
        <w:pStyle w:val="TextBody"/>
        <w:spacing w:before="0" w:after="200"/>
        <w:ind w:left="1440" w:right="0" w:firstLine="720"/>
        <w:jc w:val="both"/>
        <w:rPr>
          <w:sz w:val="17"/>
        </w:rPr>
      </w:pPr>
      <w:r>
        <w:rPr>
          <w:sz w:val="17"/>
        </w:rPr>
        <w:t xml:space="preserve">Most of our cinemas conduct their operations in leased facilities.  Thirteen of our eighteen operating multiplexes in Australia, four of our eight cinemas in New Zealand, and all but one of our cinemas in the United States are in leased facilities.  These cinema leases have remaining terms inclusive of options of 1 to 38 years.  Certain of our cinema leases provide for contingent rentals based upon a specified percentage of theater revenue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that require capitalization. </w:t>
      </w:r>
    </w:p>
    <w:p>
      <w:pPr>
        <w:pStyle w:val="TextBody"/>
        <w:spacing w:before="0" w:after="200"/>
        <w:ind w:left="1440" w:right="0" w:firstLine="720"/>
        <w:jc w:val="both"/>
        <w:rPr>
          <w:sz w:val="17"/>
        </w:rPr>
      </w:pPr>
      <w:r>
        <w:rPr>
          <w:sz w:val="17"/>
        </w:rPr>
        <w:t xml:space="preserve">We determine the annual base rent expense of our cinemas by amortizing total minimum lease obligations on a straight-line basis over the lease terms.  Base rent expense and contingent rental expense under the operating leases totaled approximately $32.6 million and $1.7 million for 2012, respectively; $31.2 million and $1.6 million for 2011, respectively; and $30.9 million and $1.1 million for 2010, respectively.  Future minimum lease payments by year and, in the aggregate, under non-cancelable operating leases consisted of the following at December 31, 2012 (dollars in thousands): </w:t>
      </w:r>
    </w:p>
    <w:p>
      <w:pPr>
        <w:pStyle w:val="TextBody"/>
        <w:spacing w:before="0" w:after="0"/>
        <w:ind w:left="1440" w:right="0" w:hanging="0"/>
        <w:jc w:val="both"/>
        <w:rPr/>
      </w:pPr>
      <w:r>
        <w:rPr/>
        <w:t xml:space="preserve">  </w:t>
      </w:r>
    </w:p>
    <w:tbl>
      <w:tblPr>
        <w:tblW w:w="6645" w:type="dxa"/>
        <w:jc w:val="left"/>
        <w:tblInd w:w="1440" w:type="dxa"/>
        <w:tblCellMar>
          <w:top w:w="0" w:type="dxa"/>
          <w:left w:w="0" w:type="dxa"/>
          <w:bottom w:w="0" w:type="dxa"/>
          <w:right w:w="0" w:type="dxa"/>
        </w:tblCellMar>
      </w:tblPr>
      <w:tblGrid>
        <w:gridCol w:w="1940"/>
        <w:gridCol w:w="95"/>
        <w:gridCol w:w="1235"/>
        <w:gridCol w:w="95"/>
        <w:gridCol w:w="1265"/>
        <w:gridCol w:w="95"/>
        <w:gridCol w:w="755"/>
        <w:gridCol w:w="95"/>
        <w:gridCol w:w="1070"/>
      </w:tblGrid>
      <w:tr>
        <w:trPr/>
        <w:tc>
          <w:tcPr>
            <w:tcW w:w="194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23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2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75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070" w:type="dxa"/>
            <w:tcBorders/>
            <w:shd w:fill="auto" w:val="clear"/>
            <w:vAlign w:val="bottom"/>
          </w:tcPr>
          <w:p>
            <w:pPr>
              <w:pStyle w:val="TableContents"/>
              <w:spacing w:before="0" w:after="1"/>
              <w:ind w:left="0" w:right="0" w:hanging="0"/>
              <w:jc w:val="both"/>
              <w:rPr/>
            </w:pPr>
            <w:r>
              <w:rPr/>
              <w:t> </w:t>
            </w:r>
          </w:p>
        </w:tc>
      </w:tr>
      <w:tr>
        <w:trPr/>
        <w:tc>
          <w:tcPr>
            <w:tcW w:w="194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23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26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75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070" w:type="dxa"/>
            <w:tcBorders/>
            <w:shd w:fill="auto" w:val="clear"/>
            <w:vAlign w:val="bottom"/>
          </w:tcPr>
          <w:p>
            <w:pPr>
              <w:pStyle w:val="TableContents"/>
              <w:spacing w:before="0" w:after="1"/>
              <w:ind w:left="0" w:right="0" w:hanging="0"/>
              <w:jc w:val="both"/>
              <w:rPr/>
            </w:pPr>
            <w:r>
              <w:rPr/>
              <w:t> </w:t>
            </w:r>
          </w:p>
        </w:tc>
      </w:tr>
      <w:tr>
        <w:trPr/>
        <w:tc>
          <w:tcPr>
            <w:tcW w:w="194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1235" w:type="dxa"/>
            <w:tcBorders/>
            <w:shd w:fill="auto" w:val="clear"/>
            <w:vAlign w:val="bottom"/>
          </w:tcPr>
          <w:p>
            <w:pPr>
              <w:pStyle w:val="TableContents"/>
              <w:spacing w:before="0" w:after="1"/>
              <w:ind w:left="0" w:right="0" w:hanging="0"/>
              <w:jc w:val="center"/>
              <w:rPr>
                <w:b/>
                <w:sz w:val="15"/>
              </w:rPr>
            </w:pPr>
            <w:r>
              <w:rPr>
                <w:b/>
                <w:sz w:val="15"/>
              </w:rPr>
              <w:t>Minimum Ground</w:t>
            </w:r>
          </w:p>
        </w:tc>
        <w:tc>
          <w:tcPr>
            <w:tcW w:w="95" w:type="dxa"/>
            <w:tcBorders/>
            <w:shd w:fill="auto" w:val="clear"/>
            <w:vAlign w:val="bottom"/>
          </w:tcPr>
          <w:p>
            <w:pPr>
              <w:pStyle w:val="TableContents"/>
              <w:spacing w:before="0" w:after="1"/>
              <w:ind w:left="0" w:right="0" w:hanging="0"/>
              <w:jc w:val="both"/>
              <w:rPr/>
            </w:pPr>
            <w:r>
              <w:rPr/>
              <w:t> </w:t>
            </w:r>
          </w:p>
        </w:tc>
        <w:tc>
          <w:tcPr>
            <w:tcW w:w="1265" w:type="dxa"/>
            <w:tcBorders/>
            <w:shd w:fill="auto" w:val="clear"/>
            <w:vAlign w:val="bottom"/>
          </w:tcPr>
          <w:p>
            <w:pPr>
              <w:pStyle w:val="TableContents"/>
              <w:spacing w:before="0" w:after="1"/>
              <w:ind w:left="0" w:right="0" w:hanging="0"/>
              <w:jc w:val="center"/>
              <w:rPr>
                <w:b/>
                <w:sz w:val="15"/>
              </w:rPr>
            </w:pPr>
            <w:r>
              <w:rPr>
                <w:b/>
                <w:sz w:val="15"/>
              </w:rPr>
              <w:t>Minimum Premises</w:t>
            </w:r>
          </w:p>
        </w:tc>
        <w:tc>
          <w:tcPr>
            <w:tcW w:w="95" w:type="dxa"/>
            <w:tcBorders/>
            <w:shd w:fill="auto" w:val="clear"/>
            <w:vAlign w:val="bottom"/>
          </w:tcPr>
          <w:p>
            <w:pPr>
              <w:pStyle w:val="TableContents"/>
              <w:spacing w:before="0" w:after="1"/>
              <w:ind w:left="0" w:right="0" w:hanging="0"/>
              <w:jc w:val="center"/>
              <w:rPr/>
            </w:pPr>
            <w:r>
              <w:rPr/>
              <w:t> </w:t>
            </w:r>
          </w:p>
        </w:tc>
        <w:tc>
          <w:tcPr>
            <w:tcW w:w="755" w:type="dxa"/>
            <w:tcBorders/>
            <w:shd w:fill="auto" w:val="clear"/>
            <w:vAlign w:val="bottom"/>
          </w:tcPr>
          <w:p>
            <w:pPr>
              <w:pStyle w:val="TableContents"/>
              <w:spacing w:before="0" w:after="1"/>
              <w:ind w:left="0" w:right="0" w:hanging="0"/>
              <w:jc w:val="center"/>
              <w:rPr>
                <w:b/>
                <w:sz w:val="15"/>
              </w:rPr>
            </w:pPr>
            <w:r>
              <w:rPr>
                <w:b/>
                <w:sz w:val="15"/>
              </w:rPr>
              <w:t>Equipment</w:t>
            </w:r>
          </w:p>
        </w:tc>
        <w:tc>
          <w:tcPr>
            <w:tcW w:w="95" w:type="dxa"/>
            <w:tcBorders/>
            <w:shd w:fill="auto" w:val="clear"/>
            <w:vAlign w:val="bottom"/>
          </w:tcPr>
          <w:p>
            <w:pPr>
              <w:pStyle w:val="TableContents"/>
              <w:spacing w:before="0" w:after="1"/>
              <w:ind w:left="0" w:right="0" w:hanging="0"/>
              <w:jc w:val="both"/>
              <w:rPr/>
            </w:pPr>
            <w:r>
              <w:rPr/>
              <w:t> </w:t>
            </w:r>
          </w:p>
        </w:tc>
        <w:tc>
          <w:tcPr>
            <w:tcW w:w="1070" w:type="dxa"/>
            <w:tcBorders/>
            <w:shd w:fill="auto" w:val="clear"/>
            <w:vAlign w:val="bottom"/>
          </w:tcPr>
          <w:p>
            <w:pPr>
              <w:pStyle w:val="TableContents"/>
              <w:spacing w:before="0" w:after="1"/>
              <w:ind w:left="0" w:right="0" w:hanging="0"/>
              <w:jc w:val="center"/>
              <w:rPr>
                <w:b/>
                <w:sz w:val="15"/>
              </w:rPr>
            </w:pPr>
            <w:r>
              <w:rPr>
                <w:b/>
                <w:sz w:val="15"/>
              </w:rPr>
              <w:t>Total Minimum</w:t>
            </w:r>
          </w:p>
        </w:tc>
      </w:tr>
      <w:tr>
        <w:trPr/>
        <w:tc>
          <w:tcPr>
            <w:tcW w:w="194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2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Lease Payments</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2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Lease Payments</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75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Lease</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07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Lease Payments</w:t>
            </w:r>
          </w:p>
        </w:tc>
      </w:tr>
      <w:tr>
        <w:trPr/>
        <w:tc>
          <w:tcPr>
            <w:tcW w:w="1940"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2013</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23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3,218 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26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28,477 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75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2,693 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7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34,388  </w:t>
            </w:r>
          </w:p>
        </w:tc>
      </w:tr>
      <w:tr>
        <w:trPr/>
        <w:tc>
          <w:tcPr>
            <w:tcW w:w="1940" w:type="dxa"/>
            <w:tcBorders/>
            <w:shd w:fill="FFFFFF" w:val="clear"/>
            <w:vAlign w:val="bottom"/>
          </w:tcPr>
          <w:p>
            <w:pPr>
              <w:pStyle w:val="TableContents"/>
              <w:spacing w:before="0" w:after="1"/>
              <w:ind w:left="0" w:right="0" w:hanging="0"/>
              <w:jc w:val="both"/>
              <w:rPr>
                <w:sz w:val="15"/>
              </w:rPr>
            </w:pPr>
            <w:r>
              <w:rPr>
                <w:sz w:val="15"/>
              </w:rPr>
              <w:t>2014</w:t>
            </w:r>
          </w:p>
        </w:tc>
        <w:tc>
          <w:tcPr>
            <w:tcW w:w="95" w:type="dxa"/>
            <w:tcBorders/>
            <w:shd w:fill="FFFFFF" w:val="clear"/>
            <w:vAlign w:val="bottom"/>
          </w:tcPr>
          <w:p>
            <w:pPr>
              <w:pStyle w:val="TableContents"/>
              <w:spacing w:before="0" w:after="1"/>
              <w:ind w:left="0" w:right="0" w:hanging="0"/>
              <w:jc w:val="right"/>
              <w:rPr/>
            </w:pPr>
            <w:r>
              <w:rPr/>
              <w:t> </w:t>
            </w:r>
          </w:p>
        </w:tc>
        <w:tc>
          <w:tcPr>
            <w:tcW w:w="1235" w:type="dxa"/>
            <w:tcBorders/>
            <w:shd w:fill="FFFFFF" w:val="clear"/>
            <w:vAlign w:val="bottom"/>
          </w:tcPr>
          <w:p>
            <w:pPr>
              <w:pStyle w:val="TableContents"/>
              <w:spacing w:before="0" w:after="283"/>
              <w:jc w:val="right"/>
              <w:rPr>
                <w:sz w:val="15"/>
              </w:rPr>
            </w:pPr>
            <w:r>
              <w:rPr>
                <w:sz w:val="15"/>
              </w:rPr>
              <w:t xml:space="preserve">2,130  </w:t>
            </w:r>
          </w:p>
        </w:tc>
        <w:tc>
          <w:tcPr>
            <w:tcW w:w="95" w:type="dxa"/>
            <w:tcBorders/>
            <w:shd w:fill="FFFFFF" w:val="clear"/>
            <w:vAlign w:val="bottom"/>
          </w:tcPr>
          <w:p>
            <w:pPr>
              <w:pStyle w:val="TableContents"/>
              <w:spacing w:before="0" w:after="1"/>
              <w:ind w:left="0" w:right="0" w:hanging="0"/>
              <w:jc w:val="right"/>
              <w:rPr/>
            </w:pPr>
            <w:r>
              <w:rPr/>
              <w:t> </w:t>
            </w:r>
          </w:p>
        </w:tc>
        <w:tc>
          <w:tcPr>
            <w:tcW w:w="1265" w:type="dxa"/>
            <w:tcBorders/>
            <w:shd w:fill="FFFFFF" w:val="clear"/>
            <w:vAlign w:val="bottom"/>
          </w:tcPr>
          <w:p>
            <w:pPr>
              <w:pStyle w:val="TableContents"/>
              <w:spacing w:before="0" w:after="283"/>
              <w:jc w:val="right"/>
              <w:rPr>
                <w:sz w:val="15"/>
              </w:rPr>
            </w:pPr>
            <w:r>
              <w:rPr>
                <w:sz w:val="15"/>
              </w:rPr>
              <w:t xml:space="preserve">25,720  </w:t>
            </w:r>
          </w:p>
        </w:tc>
        <w:tc>
          <w:tcPr>
            <w:tcW w:w="95" w:type="dxa"/>
            <w:tcBorders/>
            <w:shd w:fill="FFFFFF" w:val="clear"/>
            <w:vAlign w:val="bottom"/>
          </w:tcPr>
          <w:p>
            <w:pPr>
              <w:pStyle w:val="TableContents"/>
              <w:spacing w:before="0" w:after="1"/>
              <w:ind w:left="0" w:right="0" w:hanging="0"/>
              <w:jc w:val="right"/>
              <w:rPr/>
            </w:pPr>
            <w:r>
              <w:rPr/>
              <w:t> </w:t>
            </w:r>
          </w:p>
        </w:tc>
        <w:tc>
          <w:tcPr>
            <w:tcW w:w="755" w:type="dxa"/>
            <w:tcBorders/>
            <w:shd w:fill="FFFFFF" w:val="clear"/>
            <w:vAlign w:val="bottom"/>
          </w:tcPr>
          <w:p>
            <w:pPr>
              <w:pStyle w:val="TableContents"/>
              <w:spacing w:before="0" w:after="283"/>
              <w:jc w:val="right"/>
              <w:rPr>
                <w:sz w:val="15"/>
              </w:rPr>
            </w:pPr>
            <w:r>
              <w:rPr>
                <w:sz w:val="15"/>
              </w:rPr>
              <w:t xml:space="preserve">2,693  </w:t>
            </w:r>
          </w:p>
        </w:tc>
        <w:tc>
          <w:tcPr>
            <w:tcW w:w="95" w:type="dxa"/>
            <w:tcBorders/>
            <w:shd w:fill="FFFFFF" w:val="clear"/>
            <w:vAlign w:val="bottom"/>
          </w:tcPr>
          <w:p>
            <w:pPr>
              <w:pStyle w:val="TableContents"/>
              <w:spacing w:before="0" w:after="1"/>
              <w:ind w:left="0" w:right="0" w:hanging="0"/>
              <w:jc w:val="right"/>
              <w:rPr/>
            </w:pPr>
            <w:r>
              <w:rPr/>
              <w:t> </w:t>
            </w:r>
          </w:p>
        </w:tc>
        <w:tc>
          <w:tcPr>
            <w:tcW w:w="1070" w:type="dxa"/>
            <w:tcBorders/>
            <w:shd w:fill="FFFFFF" w:val="clear"/>
            <w:vAlign w:val="bottom"/>
          </w:tcPr>
          <w:p>
            <w:pPr>
              <w:pStyle w:val="TableContents"/>
              <w:spacing w:before="0" w:after="283"/>
              <w:jc w:val="right"/>
              <w:rPr>
                <w:sz w:val="15"/>
              </w:rPr>
            </w:pPr>
            <w:r>
              <w:rPr>
                <w:sz w:val="15"/>
              </w:rPr>
              <w:t xml:space="preserve">30,543  </w:t>
            </w:r>
          </w:p>
        </w:tc>
      </w:tr>
      <w:tr>
        <w:trPr/>
        <w:tc>
          <w:tcPr>
            <w:tcW w:w="1940" w:type="dxa"/>
            <w:tcBorders/>
            <w:shd w:fill="CCEEFF" w:val="clear"/>
            <w:vAlign w:val="bottom"/>
          </w:tcPr>
          <w:p>
            <w:pPr>
              <w:pStyle w:val="TableContents"/>
              <w:spacing w:before="0" w:after="1"/>
              <w:ind w:left="0" w:right="0" w:hanging="0"/>
              <w:jc w:val="both"/>
              <w:rPr>
                <w:sz w:val="15"/>
              </w:rPr>
            </w:pPr>
            <w:r>
              <w:rPr>
                <w:sz w:val="15"/>
              </w:rPr>
              <w:t>2015</w:t>
            </w:r>
          </w:p>
        </w:tc>
        <w:tc>
          <w:tcPr>
            <w:tcW w:w="95" w:type="dxa"/>
            <w:tcBorders/>
            <w:shd w:fill="CCEEFF" w:val="clear"/>
            <w:vAlign w:val="bottom"/>
          </w:tcPr>
          <w:p>
            <w:pPr>
              <w:pStyle w:val="TableContents"/>
              <w:spacing w:before="0" w:after="1"/>
              <w:ind w:left="0" w:right="0" w:hanging="0"/>
              <w:jc w:val="right"/>
              <w:rPr/>
            </w:pPr>
            <w:r>
              <w:rPr/>
              <w:t> </w:t>
            </w:r>
          </w:p>
        </w:tc>
        <w:tc>
          <w:tcPr>
            <w:tcW w:w="1235" w:type="dxa"/>
            <w:tcBorders/>
            <w:shd w:fill="CCEEFF" w:val="clear"/>
            <w:vAlign w:val="bottom"/>
          </w:tcPr>
          <w:p>
            <w:pPr>
              <w:pStyle w:val="TableContents"/>
              <w:spacing w:before="0" w:after="283"/>
              <w:jc w:val="right"/>
              <w:rPr>
                <w:sz w:val="15"/>
              </w:rPr>
            </w:pPr>
            <w:r>
              <w:rPr>
                <w:sz w:val="15"/>
              </w:rPr>
              <w:t xml:space="preserve">1,094  </w:t>
            </w:r>
          </w:p>
        </w:tc>
        <w:tc>
          <w:tcPr>
            <w:tcW w:w="95" w:type="dxa"/>
            <w:tcBorders/>
            <w:shd w:fill="CCEEFF" w:val="clear"/>
            <w:vAlign w:val="bottom"/>
          </w:tcPr>
          <w:p>
            <w:pPr>
              <w:pStyle w:val="TableContents"/>
              <w:spacing w:before="0" w:after="1"/>
              <w:ind w:left="0" w:right="0" w:hanging="0"/>
              <w:jc w:val="right"/>
              <w:rPr/>
            </w:pPr>
            <w:r>
              <w:rPr/>
              <w:t> </w:t>
            </w:r>
          </w:p>
        </w:tc>
        <w:tc>
          <w:tcPr>
            <w:tcW w:w="1265" w:type="dxa"/>
            <w:tcBorders/>
            <w:shd w:fill="CCEEFF" w:val="clear"/>
            <w:vAlign w:val="bottom"/>
          </w:tcPr>
          <w:p>
            <w:pPr>
              <w:pStyle w:val="TableContents"/>
              <w:spacing w:before="0" w:after="283"/>
              <w:jc w:val="right"/>
              <w:rPr>
                <w:sz w:val="15"/>
              </w:rPr>
            </w:pPr>
            <w:r>
              <w:rPr>
                <w:sz w:val="15"/>
              </w:rPr>
              <w:t xml:space="preserve">22,637  </w:t>
            </w:r>
          </w:p>
        </w:tc>
        <w:tc>
          <w:tcPr>
            <w:tcW w:w="95" w:type="dxa"/>
            <w:tcBorders/>
            <w:shd w:fill="CCEEFF" w:val="clear"/>
            <w:vAlign w:val="bottom"/>
          </w:tcPr>
          <w:p>
            <w:pPr>
              <w:pStyle w:val="TableContents"/>
              <w:spacing w:before="0" w:after="1"/>
              <w:ind w:left="0" w:right="0" w:hanging="0"/>
              <w:jc w:val="right"/>
              <w:rPr/>
            </w:pPr>
            <w:r>
              <w:rPr/>
              <w:t> </w:t>
            </w:r>
          </w:p>
        </w:tc>
        <w:tc>
          <w:tcPr>
            <w:tcW w:w="755" w:type="dxa"/>
            <w:tcBorders/>
            <w:shd w:fill="CCEEFF" w:val="clear"/>
            <w:vAlign w:val="bottom"/>
          </w:tcPr>
          <w:p>
            <w:pPr>
              <w:pStyle w:val="TableContents"/>
              <w:spacing w:before="0" w:after="283"/>
              <w:jc w:val="right"/>
              <w:rPr>
                <w:sz w:val="15"/>
              </w:rPr>
            </w:pPr>
            <w:r>
              <w:rPr>
                <w:sz w:val="15"/>
              </w:rPr>
              <w:t xml:space="preserve">2,693  </w:t>
            </w:r>
          </w:p>
        </w:tc>
        <w:tc>
          <w:tcPr>
            <w:tcW w:w="95" w:type="dxa"/>
            <w:tcBorders/>
            <w:shd w:fill="CCEEFF" w:val="clear"/>
            <w:vAlign w:val="bottom"/>
          </w:tcPr>
          <w:p>
            <w:pPr>
              <w:pStyle w:val="TableContents"/>
              <w:spacing w:before="0" w:after="1"/>
              <w:ind w:left="0" w:right="0" w:hanging="0"/>
              <w:jc w:val="right"/>
              <w:rPr/>
            </w:pPr>
            <w:r>
              <w:rPr/>
              <w:t> </w:t>
            </w:r>
          </w:p>
        </w:tc>
        <w:tc>
          <w:tcPr>
            <w:tcW w:w="1070" w:type="dxa"/>
            <w:tcBorders/>
            <w:shd w:fill="CCEEFF" w:val="clear"/>
            <w:vAlign w:val="bottom"/>
          </w:tcPr>
          <w:p>
            <w:pPr>
              <w:pStyle w:val="TableContents"/>
              <w:spacing w:before="0" w:after="283"/>
              <w:jc w:val="right"/>
              <w:rPr>
                <w:sz w:val="15"/>
              </w:rPr>
            </w:pPr>
            <w:r>
              <w:rPr>
                <w:sz w:val="15"/>
              </w:rPr>
              <w:t xml:space="preserve">26,424  </w:t>
            </w:r>
          </w:p>
        </w:tc>
      </w:tr>
      <w:tr>
        <w:trPr/>
        <w:tc>
          <w:tcPr>
            <w:tcW w:w="1940" w:type="dxa"/>
            <w:tcBorders/>
            <w:shd w:fill="FFFFFF" w:val="clear"/>
            <w:vAlign w:val="bottom"/>
          </w:tcPr>
          <w:p>
            <w:pPr>
              <w:pStyle w:val="TableContents"/>
              <w:spacing w:before="0" w:after="1"/>
              <w:ind w:left="0" w:right="0" w:hanging="0"/>
              <w:jc w:val="both"/>
              <w:rPr>
                <w:sz w:val="15"/>
              </w:rPr>
            </w:pPr>
            <w:r>
              <w:rPr>
                <w:sz w:val="15"/>
              </w:rPr>
              <w:t>2016</w:t>
            </w:r>
          </w:p>
        </w:tc>
        <w:tc>
          <w:tcPr>
            <w:tcW w:w="95" w:type="dxa"/>
            <w:tcBorders/>
            <w:shd w:fill="FFFFFF" w:val="clear"/>
            <w:vAlign w:val="bottom"/>
          </w:tcPr>
          <w:p>
            <w:pPr>
              <w:pStyle w:val="TableContents"/>
              <w:spacing w:before="0" w:after="1"/>
              <w:ind w:left="0" w:right="0" w:hanging="0"/>
              <w:jc w:val="right"/>
              <w:rPr/>
            </w:pPr>
            <w:r>
              <w:rPr/>
              <w:t> </w:t>
            </w:r>
          </w:p>
        </w:tc>
        <w:tc>
          <w:tcPr>
            <w:tcW w:w="1235" w:type="dxa"/>
            <w:tcBorders/>
            <w:shd w:fill="FFFFFF" w:val="clear"/>
            <w:vAlign w:val="bottom"/>
          </w:tcPr>
          <w:p>
            <w:pPr>
              <w:pStyle w:val="TableContents"/>
              <w:spacing w:before="0" w:after="283"/>
              <w:jc w:val="right"/>
              <w:rPr>
                <w:sz w:val="15"/>
              </w:rPr>
            </w:pPr>
            <w:r>
              <w:rPr>
                <w:sz w:val="15"/>
              </w:rPr>
              <w:t xml:space="preserve">1,128  </w:t>
            </w:r>
          </w:p>
        </w:tc>
        <w:tc>
          <w:tcPr>
            <w:tcW w:w="95" w:type="dxa"/>
            <w:tcBorders/>
            <w:shd w:fill="FFFFFF" w:val="clear"/>
            <w:vAlign w:val="bottom"/>
          </w:tcPr>
          <w:p>
            <w:pPr>
              <w:pStyle w:val="TableContents"/>
              <w:spacing w:before="0" w:after="1"/>
              <w:ind w:left="0" w:right="0" w:hanging="0"/>
              <w:jc w:val="right"/>
              <w:rPr/>
            </w:pPr>
            <w:r>
              <w:rPr/>
              <w:t> </w:t>
            </w:r>
          </w:p>
        </w:tc>
        <w:tc>
          <w:tcPr>
            <w:tcW w:w="1265" w:type="dxa"/>
            <w:tcBorders/>
            <w:shd w:fill="FFFFFF" w:val="clear"/>
            <w:vAlign w:val="bottom"/>
          </w:tcPr>
          <w:p>
            <w:pPr>
              <w:pStyle w:val="TableContents"/>
              <w:spacing w:before="0" w:after="283"/>
              <w:jc w:val="right"/>
              <w:rPr>
                <w:sz w:val="15"/>
              </w:rPr>
            </w:pPr>
            <w:r>
              <w:rPr>
                <w:sz w:val="15"/>
              </w:rPr>
              <w:t xml:space="preserve">18,753  </w:t>
            </w:r>
          </w:p>
        </w:tc>
        <w:tc>
          <w:tcPr>
            <w:tcW w:w="95" w:type="dxa"/>
            <w:tcBorders/>
            <w:shd w:fill="FFFFFF" w:val="clear"/>
            <w:vAlign w:val="bottom"/>
          </w:tcPr>
          <w:p>
            <w:pPr>
              <w:pStyle w:val="TableContents"/>
              <w:spacing w:before="0" w:after="1"/>
              <w:ind w:left="0" w:right="0" w:hanging="0"/>
              <w:jc w:val="right"/>
              <w:rPr/>
            </w:pPr>
            <w:r>
              <w:rPr/>
              <w:t> </w:t>
            </w:r>
          </w:p>
        </w:tc>
        <w:tc>
          <w:tcPr>
            <w:tcW w:w="755" w:type="dxa"/>
            <w:tcBorders/>
            <w:shd w:fill="FFFFFF" w:val="clear"/>
            <w:vAlign w:val="bottom"/>
          </w:tcPr>
          <w:p>
            <w:pPr>
              <w:pStyle w:val="TableContents"/>
              <w:spacing w:before="0" w:after="283"/>
              <w:jc w:val="right"/>
              <w:rPr>
                <w:sz w:val="15"/>
              </w:rPr>
            </w:pPr>
            <w:r>
              <w:rPr>
                <w:sz w:val="15"/>
              </w:rPr>
              <w:t xml:space="preserve">2,693  </w:t>
            </w:r>
          </w:p>
        </w:tc>
        <w:tc>
          <w:tcPr>
            <w:tcW w:w="95" w:type="dxa"/>
            <w:tcBorders/>
            <w:shd w:fill="FFFFFF" w:val="clear"/>
            <w:vAlign w:val="bottom"/>
          </w:tcPr>
          <w:p>
            <w:pPr>
              <w:pStyle w:val="TableContents"/>
              <w:spacing w:before="0" w:after="1"/>
              <w:ind w:left="0" w:right="0" w:hanging="0"/>
              <w:jc w:val="right"/>
              <w:rPr/>
            </w:pPr>
            <w:r>
              <w:rPr/>
              <w:t> </w:t>
            </w:r>
          </w:p>
        </w:tc>
        <w:tc>
          <w:tcPr>
            <w:tcW w:w="1070" w:type="dxa"/>
            <w:tcBorders/>
            <w:shd w:fill="FFFFFF" w:val="clear"/>
            <w:vAlign w:val="bottom"/>
          </w:tcPr>
          <w:p>
            <w:pPr>
              <w:pStyle w:val="TableContents"/>
              <w:spacing w:before="0" w:after="283"/>
              <w:jc w:val="right"/>
              <w:rPr>
                <w:sz w:val="15"/>
              </w:rPr>
            </w:pPr>
            <w:r>
              <w:rPr>
                <w:sz w:val="15"/>
              </w:rPr>
              <w:t xml:space="preserve">22,574  </w:t>
            </w:r>
          </w:p>
        </w:tc>
      </w:tr>
      <w:tr>
        <w:trPr/>
        <w:tc>
          <w:tcPr>
            <w:tcW w:w="1940" w:type="dxa"/>
            <w:tcBorders/>
            <w:shd w:fill="CCEEFF" w:val="clear"/>
            <w:vAlign w:val="bottom"/>
          </w:tcPr>
          <w:p>
            <w:pPr>
              <w:pStyle w:val="TableContents"/>
              <w:spacing w:before="0" w:after="1"/>
              <w:ind w:left="0" w:right="0" w:hanging="0"/>
              <w:jc w:val="both"/>
              <w:rPr>
                <w:sz w:val="15"/>
              </w:rPr>
            </w:pPr>
            <w:r>
              <w:rPr>
                <w:sz w:val="15"/>
              </w:rPr>
              <w:t>2017</w:t>
            </w:r>
          </w:p>
        </w:tc>
        <w:tc>
          <w:tcPr>
            <w:tcW w:w="95" w:type="dxa"/>
            <w:tcBorders/>
            <w:shd w:fill="CCEEFF" w:val="clear"/>
            <w:vAlign w:val="bottom"/>
          </w:tcPr>
          <w:p>
            <w:pPr>
              <w:pStyle w:val="TableContents"/>
              <w:spacing w:before="0" w:after="1"/>
              <w:ind w:left="0" w:right="0" w:hanging="0"/>
              <w:jc w:val="right"/>
              <w:rPr/>
            </w:pPr>
            <w:r>
              <w:rPr/>
              <w:t> </w:t>
            </w:r>
          </w:p>
        </w:tc>
        <w:tc>
          <w:tcPr>
            <w:tcW w:w="1235" w:type="dxa"/>
            <w:tcBorders/>
            <w:shd w:fill="CCEEFF" w:val="clear"/>
            <w:vAlign w:val="bottom"/>
          </w:tcPr>
          <w:p>
            <w:pPr>
              <w:pStyle w:val="TableContents"/>
              <w:spacing w:before="0" w:after="283"/>
              <w:jc w:val="right"/>
              <w:rPr>
                <w:sz w:val="15"/>
              </w:rPr>
            </w:pPr>
            <w:r>
              <w:rPr>
                <w:sz w:val="15"/>
              </w:rPr>
              <w:t xml:space="preserve">1,223  </w:t>
            </w:r>
          </w:p>
        </w:tc>
        <w:tc>
          <w:tcPr>
            <w:tcW w:w="95" w:type="dxa"/>
            <w:tcBorders/>
            <w:shd w:fill="CCEEFF" w:val="clear"/>
            <w:vAlign w:val="bottom"/>
          </w:tcPr>
          <w:p>
            <w:pPr>
              <w:pStyle w:val="TableContents"/>
              <w:spacing w:before="0" w:after="1"/>
              <w:ind w:left="0" w:right="0" w:hanging="0"/>
              <w:jc w:val="right"/>
              <w:rPr/>
            </w:pPr>
            <w:r>
              <w:rPr/>
              <w:t> </w:t>
            </w:r>
          </w:p>
        </w:tc>
        <w:tc>
          <w:tcPr>
            <w:tcW w:w="1265" w:type="dxa"/>
            <w:tcBorders/>
            <w:shd w:fill="CCEEFF" w:val="clear"/>
            <w:vAlign w:val="bottom"/>
          </w:tcPr>
          <w:p>
            <w:pPr>
              <w:pStyle w:val="TableContents"/>
              <w:spacing w:before="0" w:after="283"/>
              <w:jc w:val="right"/>
              <w:rPr>
                <w:sz w:val="15"/>
              </w:rPr>
            </w:pPr>
            <w:r>
              <w:rPr>
                <w:sz w:val="15"/>
              </w:rPr>
              <w:t xml:space="preserve">15,772  </w:t>
            </w:r>
          </w:p>
        </w:tc>
        <w:tc>
          <w:tcPr>
            <w:tcW w:w="95" w:type="dxa"/>
            <w:tcBorders/>
            <w:shd w:fill="CCEEFF" w:val="clear"/>
            <w:vAlign w:val="bottom"/>
          </w:tcPr>
          <w:p>
            <w:pPr>
              <w:pStyle w:val="TableContents"/>
              <w:spacing w:before="0" w:after="1"/>
              <w:ind w:left="0" w:right="0" w:hanging="0"/>
              <w:jc w:val="right"/>
              <w:rPr/>
            </w:pPr>
            <w:r>
              <w:rPr/>
              <w:t> </w:t>
            </w:r>
          </w:p>
        </w:tc>
        <w:tc>
          <w:tcPr>
            <w:tcW w:w="755" w:type="dxa"/>
            <w:tcBorders/>
            <w:shd w:fill="CCEEFF" w:val="clear"/>
            <w:vAlign w:val="bottom"/>
          </w:tcPr>
          <w:p>
            <w:pPr>
              <w:pStyle w:val="TableContents"/>
              <w:spacing w:before="0" w:after="283"/>
              <w:jc w:val="right"/>
              <w:rPr>
                <w:sz w:val="15"/>
              </w:rPr>
            </w:pPr>
            <w:r>
              <w:rPr>
                <w:sz w:val="15"/>
              </w:rPr>
              <w:t xml:space="preserve">2,693  </w:t>
            </w:r>
          </w:p>
        </w:tc>
        <w:tc>
          <w:tcPr>
            <w:tcW w:w="95" w:type="dxa"/>
            <w:tcBorders/>
            <w:shd w:fill="CCEEFF" w:val="clear"/>
            <w:vAlign w:val="bottom"/>
          </w:tcPr>
          <w:p>
            <w:pPr>
              <w:pStyle w:val="TableContents"/>
              <w:spacing w:before="0" w:after="1"/>
              <w:ind w:left="0" w:right="0" w:hanging="0"/>
              <w:jc w:val="right"/>
              <w:rPr/>
            </w:pPr>
            <w:r>
              <w:rPr/>
              <w:t> </w:t>
            </w:r>
          </w:p>
        </w:tc>
        <w:tc>
          <w:tcPr>
            <w:tcW w:w="1070" w:type="dxa"/>
            <w:tcBorders/>
            <w:shd w:fill="CCEEFF" w:val="clear"/>
            <w:vAlign w:val="bottom"/>
          </w:tcPr>
          <w:p>
            <w:pPr>
              <w:pStyle w:val="TableContents"/>
              <w:spacing w:before="0" w:after="283"/>
              <w:jc w:val="right"/>
              <w:rPr>
                <w:sz w:val="15"/>
              </w:rPr>
            </w:pPr>
            <w:r>
              <w:rPr>
                <w:sz w:val="15"/>
              </w:rPr>
              <w:t xml:space="preserve">19,688  </w:t>
            </w:r>
          </w:p>
        </w:tc>
      </w:tr>
      <w:tr>
        <w:trPr/>
        <w:tc>
          <w:tcPr>
            <w:tcW w:w="194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5"/>
              </w:rPr>
            </w:pPr>
            <w:r>
              <w:rPr>
                <w:sz w:val="15"/>
              </w:rPr>
              <w:t>Thereafter</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23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15,248 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26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61,023 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755"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07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76,271  </w:t>
            </w:r>
          </w:p>
        </w:tc>
      </w:tr>
      <w:tr>
        <w:trPr/>
        <w:tc>
          <w:tcPr>
            <w:tcW w:w="194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Total minimum lease payments</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23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24,041 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2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172,382 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7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13,465 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209,888  </w:t>
            </w:r>
          </w:p>
        </w:tc>
      </w:tr>
    </w:tbl>
    <w:p>
      <w:pPr>
        <w:pStyle w:val="TextBody"/>
        <w:spacing w:before="0" w:after="200"/>
        <w:ind w:left="1440" w:right="0" w:hanging="0"/>
        <w:jc w:val="both"/>
        <w:rPr>
          <w:sz w:val="17"/>
        </w:rPr>
      </w:pPr>
      <w:r>
        <w:rPr>
          <w:sz w:val="17"/>
        </w:rPr>
        <w:br/>
        <w:t xml:space="preserve">            Since approximately $90.2 million of our total minimum lease payments of $209.9  million as of December 31, 2012 consisted of lease obligations denominated in Australian and New Zealand dollars, the U.S dollar amounts of these obligations will fluctuate in accordance with the relative values of these currencies.  See Note 25 – </w:t>
      </w:r>
      <w:r>
        <w:rPr>
          <w:i/>
          <w:sz w:val="17"/>
        </w:rPr>
        <w:t>Related Parties and Transactions</w:t>
      </w:r>
      <w:r>
        <w:rPr>
          <w:sz w:val="17"/>
        </w:rPr>
        <w:t xml:space="preserve"> for the amount of leases associated with any related party leases.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u w:val="single"/>
        </w:rPr>
        <w:t>Digital Projection Equipment Lease</w:t>
      </w:r>
      <w:r>
        <w:rPr>
          <w:sz w:val="17"/>
        </w:rPr>
        <w:t xml:space="preserve"> </w:t>
      </w:r>
    </w:p>
    <w:p>
      <w:pPr>
        <w:pStyle w:val="TextBody"/>
        <w:spacing w:before="0" w:after="200"/>
        <w:ind w:left="1440" w:right="0" w:hanging="0"/>
        <w:jc w:val="both"/>
        <w:rPr/>
      </w:pPr>
      <w:r>
        <w:rPr/>
        <w:t>            </w:t>
      </w:r>
      <w:r>
        <w:rPr>
          <w:sz w:val="17"/>
        </w:rPr>
        <w:t xml:space="preserve">Effective December 1, 2012, we entered into a 5-year digital projection equipment lease obligation with Banc of America enabling us to convert substantially all of our domestic cinemas to digital projection.  The equipment lease agreement requires that we make lease payments of $218,000 per month for the next 60 months after which we can either purchase the equipment at a market price or renew the lease for an undertermined length of time.  This lease qualifies as an operating lease and is recorded accordingly. </w:t>
      </w:r>
    </w:p>
    <w:p>
      <w:pPr>
        <w:pStyle w:val="TextBody"/>
        <w:spacing w:before="0" w:after="200"/>
        <w:ind w:left="1440" w:right="0" w:hanging="0"/>
        <w:jc w:val="both"/>
        <w:rPr>
          <w:sz w:val="17"/>
        </w:rPr>
      </w:pPr>
      <w:r>
        <w:rPr>
          <w:b/>
          <w:sz w:val="17"/>
          <w:u w:val="single"/>
        </w:rPr>
        <w:t>Note 18 – Pension Liabilities</w:t>
      </w:r>
      <w:r>
        <w:rPr>
          <w:sz w:val="17"/>
        </w:rPr>
        <w:t xml:space="preserve"> </w:t>
      </w:r>
    </w:p>
    <w:p>
      <w:pPr>
        <w:pStyle w:val="TextBody"/>
        <w:spacing w:before="0" w:after="200"/>
        <w:ind w:left="1440" w:right="0" w:hanging="0"/>
        <w:jc w:val="both"/>
        <w:rPr>
          <w:sz w:val="17"/>
        </w:rPr>
      </w:pPr>
      <w:r>
        <w:rPr>
          <w:sz w:val="17"/>
          <w:u w:val="single"/>
        </w:rPr>
        <w:t>Supplemental Executive Retirement Plan</w:t>
      </w:r>
      <w:r>
        <w:rPr>
          <w:sz w:val="17"/>
        </w:rPr>
        <w:t xml:space="preserve"> </w:t>
      </w:r>
    </w:p>
    <w:p>
      <w:pPr>
        <w:pStyle w:val="TextBody"/>
        <w:spacing w:before="0" w:after="200"/>
        <w:ind w:left="1440" w:right="0" w:hanging="0"/>
        <w:jc w:val="both"/>
        <w:rPr/>
      </w:pPr>
      <w:r>
        <w:rPr/>
        <w:t>            </w:t>
      </w:r>
      <w:r>
        <w:rPr>
          <w:sz w:val="17"/>
        </w:rPr>
        <w:t xml:space="preserve">In March 1, 2007, the Board of Directors of Reading International, Inc. (“Reading”) approved a Supplemental Executive Retirement Plan (“SERP”) pursuant to which Reading has agreed to provide James J. Cotter, its Chief Executive Officer and Chairman of the Board of Directors, supplemental retirement benefits effective March 1, 2007.  Under the SERP, Mr. Cotter will receive a monthly payment of the greater of (i) 40% of the average monthly earnings over the highest consecutive 36-month period of earnings prior to Mr. Cotter’s separation from service with Reading or (ii) $25,000 per month for the remainder of his life, with a guarantee of 180 monthly payments following his separation from service with Reading or following his death.  The beneficiaries under the SERP may be designated by Mr. Cotter or by his beneficiary following his or his beneficiary’s death.  The benefits under the SERP are fully vested as of March 1, 2007. </w:t>
      </w:r>
    </w:p>
    <w:p>
      <w:pPr>
        <w:pStyle w:val="TextBody"/>
        <w:spacing w:before="0" w:after="200"/>
        <w:ind w:left="1440" w:right="0" w:hanging="0"/>
        <w:jc w:val="both"/>
        <w:rPr/>
      </w:pPr>
      <w:r>
        <w:rPr/>
        <w:t>            </w:t>
      </w:r>
      <w:r>
        <w:rPr>
          <w:sz w:val="17"/>
        </w:rPr>
        <w:t xml:space="preserve">The SERP initially will be unfunded, but Reading may choose to establish one or more grantor trusts from which to pay the SERP benefits.  As such, the SERP benefits are unsecured, general obligations of Reading.  The SERP is administered by the Compensation Committee of the Board of Directors of Reading.  In accordance with FASB ASC 715-30-05 – </w:t>
      </w:r>
      <w:r>
        <w:rPr>
          <w:i/>
          <w:sz w:val="17"/>
        </w:rPr>
        <w:t>Defined Benefit Pension Plans</w:t>
      </w:r>
      <w:r>
        <w:rPr>
          <w:sz w:val="17"/>
        </w:rPr>
        <w:t xml:space="preserve"> (“ASC 715-30-05”), the initial pension benefit obligation of $2.7 million was included in our other liabilities with a corresponding amount of unrecognized prior service cost included in accumulated other comprehensive income on March 1, 2007.  The initial benefit obligation was based on a discount rate of 5.75% and a compensation increase rate of 3.5%.  The $2.7 million is being amortized as a prior service cost over the estimated service period of 10 years combined with an annual interest cost.  For the years ended December 31, 2012, 2011, and 2010, we recognized $149,000, $195,000, and $200,000, respectively, of interest cost and $304,000 of amortized prior service cost per year.  For the years ended December 31, 2012 and 2011, we recognized $0 and $24,000 of amortized net gains.  The balance of the other liability for this pension plan was $5.9 million and $3.5 million at December 31, 2012 and 2011, respectively, and the accumulated unrecognized prior service costs included in other comprehensive income balance was $3.2 and $1.2 million at December 31, 2012 and 2011, respectively.  The December 31, 2012 and 2011 values of the SERP are based on a discount rate of 3.40% and 4.25%, respectively and an annual compensation growth rate of 3.50% per year.  </w:t>
      </w:r>
    </w:p>
    <w:p>
      <w:pPr>
        <w:pStyle w:val="TextBody"/>
        <w:spacing w:before="0" w:after="200"/>
        <w:ind w:left="1440" w:right="0" w:firstLine="720"/>
        <w:jc w:val="both"/>
        <w:rPr>
          <w:sz w:val="17"/>
        </w:rPr>
      </w:pPr>
      <w:r>
        <w:rPr>
          <w:sz w:val="17"/>
        </w:rPr>
        <w:t xml:space="preserve">The change in the SERP pension benefit obligation and the funded status for the year ending December 31, 2012 and 2011 are as follows (dollars in thousands): </w:t>
      </w:r>
    </w:p>
    <w:p>
      <w:pPr>
        <w:pStyle w:val="TextBody"/>
        <w:spacing w:lineRule="auto" w:line="240" w:before="0" w:after="0"/>
        <w:ind w:left="1440" w:right="0" w:hanging="0"/>
        <w:jc w:val="both"/>
        <w:rPr/>
      </w:pPr>
      <w:r>
        <w:rPr/>
        <w:t xml:space="preserve">  </w:t>
      </w:r>
    </w:p>
    <w:tbl>
      <w:tblPr>
        <w:tblW w:w="4455" w:type="dxa"/>
        <w:jc w:val="left"/>
        <w:tblInd w:w="1440" w:type="dxa"/>
        <w:tblCellMar>
          <w:top w:w="0" w:type="dxa"/>
          <w:left w:w="0" w:type="dxa"/>
          <w:bottom w:w="0" w:type="dxa"/>
          <w:right w:w="0" w:type="dxa"/>
        </w:tblCellMar>
      </w:tblPr>
      <w:tblGrid>
        <w:gridCol w:w="2870"/>
        <w:gridCol w:w="110"/>
        <w:gridCol w:w="1475"/>
      </w:tblGrid>
      <w:tr>
        <w:trPr/>
        <w:tc>
          <w:tcPr>
            <w:tcW w:w="28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75" w:type="dxa"/>
            <w:tcBorders/>
            <w:shd w:fill="auto" w:val="clear"/>
            <w:vAlign w:val="bottom"/>
          </w:tcPr>
          <w:p>
            <w:pPr>
              <w:pStyle w:val="TableContents"/>
              <w:spacing w:before="0" w:after="1"/>
              <w:ind w:left="0" w:right="0" w:hanging="0"/>
              <w:jc w:val="both"/>
              <w:rPr/>
            </w:pPr>
            <w:r>
              <w:rPr/>
              <w:t> </w:t>
            </w:r>
          </w:p>
        </w:tc>
      </w:tr>
      <w:tr>
        <w:trPr/>
        <w:tc>
          <w:tcPr>
            <w:tcW w:w="28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75" w:type="dxa"/>
            <w:tcBorders/>
            <w:shd w:fill="auto" w:val="clear"/>
            <w:vAlign w:val="bottom"/>
          </w:tcPr>
          <w:p>
            <w:pPr>
              <w:pStyle w:val="TableContents"/>
              <w:spacing w:before="0" w:after="1"/>
              <w:ind w:left="0" w:right="0" w:hanging="0"/>
              <w:jc w:val="both"/>
              <w:rPr/>
            </w:pPr>
            <w:r>
              <w:rPr/>
              <w:t> </w:t>
            </w:r>
          </w:p>
        </w:tc>
      </w:tr>
      <w:tr>
        <w:trPr/>
        <w:tc>
          <w:tcPr>
            <w:tcW w:w="28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75" w:type="dxa"/>
            <w:tcBorders/>
            <w:shd w:fill="auto" w:val="clear"/>
            <w:vAlign w:val="bottom"/>
          </w:tcPr>
          <w:p>
            <w:pPr>
              <w:pStyle w:val="TableContents"/>
              <w:spacing w:before="0" w:after="1"/>
              <w:ind w:left="0" w:right="0" w:hanging="0"/>
              <w:jc w:val="center"/>
              <w:rPr>
                <w:b/>
                <w:sz w:val="17"/>
              </w:rPr>
            </w:pPr>
            <w:r>
              <w:rPr>
                <w:b/>
                <w:sz w:val="17"/>
              </w:rPr>
              <w:t>For the year ending</w:t>
            </w:r>
          </w:p>
        </w:tc>
      </w:tr>
      <w:tr>
        <w:trPr/>
        <w:tc>
          <w:tcPr>
            <w:tcW w:w="2870"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Change in Benefit Obligation</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4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 2012</w:t>
            </w:r>
          </w:p>
        </w:tc>
      </w:tr>
      <w:tr>
        <w:trPr/>
        <w:tc>
          <w:tcPr>
            <w:tcW w:w="287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Benefit obligation at January 1, 2012</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47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3,511  </w:t>
            </w:r>
          </w:p>
        </w:tc>
      </w:tr>
      <w:tr>
        <w:trPr/>
        <w:tc>
          <w:tcPr>
            <w:tcW w:w="2870" w:type="dxa"/>
            <w:tcBorders/>
            <w:shd w:fill="FFFFFF" w:val="clear"/>
            <w:vAlign w:val="bottom"/>
          </w:tcPr>
          <w:p>
            <w:pPr>
              <w:pStyle w:val="TableContents"/>
              <w:spacing w:before="0" w:after="1"/>
              <w:ind w:left="0" w:right="0" w:hanging="0"/>
              <w:jc w:val="both"/>
              <w:rPr>
                <w:sz w:val="17"/>
              </w:rPr>
            </w:pPr>
            <w:r>
              <w:rPr>
                <w:sz w:val="17"/>
              </w:rPr>
              <w:t>Interest cost</w:t>
            </w:r>
          </w:p>
        </w:tc>
        <w:tc>
          <w:tcPr>
            <w:tcW w:w="110" w:type="dxa"/>
            <w:tcBorders/>
            <w:shd w:fill="FFFFFF" w:val="clear"/>
            <w:vAlign w:val="bottom"/>
          </w:tcPr>
          <w:p>
            <w:pPr>
              <w:pStyle w:val="TableContents"/>
              <w:spacing w:before="0" w:after="1"/>
              <w:ind w:left="0" w:right="0" w:hanging="0"/>
              <w:jc w:val="right"/>
              <w:rPr/>
            </w:pPr>
            <w:r>
              <w:rPr/>
              <w:t> </w:t>
            </w:r>
          </w:p>
        </w:tc>
        <w:tc>
          <w:tcPr>
            <w:tcW w:w="1475" w:type="dxa"/>
            <w:tcBorders/>
            <w:shd w:fill="FFFFFF" w:val="clear"/>
            <w:vAlign w:val="bottom"/>
          </w:tcPr>
          <w:p>
            <w:pPr>
              <w:pStyle w:val="TableContents"/>
              <w:spacing w:before="0" w:after="283"/>
              <w:jc w:val="right"/>
              <w:rPr>
                <w:sz w:val="17"/>
              </w:rPr>
            </w:pPr>
            <w:r>
              <w:rPr>
                <w:sz w:val="17"/>
              </w:rPr>
              <w:t xml:space="preserve">149  </w:t>
            </w:r>
          </w:p>
        </w:tc>
      </w:tr>
      <w:tr>
        <w:trPr/>
        <w:tc>
          <w:tcPr>
            <w:tcW w:w="287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Actuarial loss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7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2,284  </w:t>
            </w:r>
          </w:p>
        </w:tc>
      </w:tr>
      <w:tr>
        <w:trPr/>
        <w:tc>
          <w:tcPr>
            <w:tcW w:w="287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Benefit obligation at December 31, 2012</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47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5,944  </w:t>
            </w:r>
          </w:p>
        </w:tc>
      </w:tr>
      <w:tr>
        <w:trPr/>
        <w:tc>
          <w:tcPr>
            <w:tcW w:w="28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Funded status at December 31, 2012</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4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(5,944) </w:t>
            </w:r>
          </w:p>
        </w:tc>
      </w:tr>
      <w:tr>
        <w:trPr/>
        <w:tc>
          <w:tcPr>
            <w:tcW w:w="287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475"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r>
      <w:tr>
        <w:trPr/>
        <w:tc>
          <w:tcPr>
            <w:tcW w:w="287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both"/>
              <w:rPr/>
            </w:pPr>
            <w:r>
              <w:rPr/>
              <w:t> </w:t>
            </w:r>
          </w:p>
        </w:tc>
        <w:tc>
          <w:tcPr>
            <w:tcW w:w="1475" w:type="dxa"/>
            <w:tcBorders/>
            <w:shd w:fill="CCEEFF" w:val="clear"/>
            <w:vAlign w:val="bottom"/>
          </w:tcPr>
          <w:p>
            <w:pPr>
              <w:pStyle w:val="TableContents"/>
              <w:spacing w:before="0" w:after="1"/>
              <w:ind w:left="0" w:right="0" w:hanging="0"/>
              <w:jc w:val="center"/>
              <w:rPr>
                <w:b/>
                <w:sz w:val="17"/>
              </w:rPr>
            </w:pPr>
            <w:r>
              <w:rPr>
                <w:b/>
                <w:sz w:val="17"/>
              </w:rPr>
              <w:t>For the year ending</w:t>
            </w:r>
          </w:p>
        </w:tc>
      </w:tr>
      <w:tr>
        <w:trPr/>
        <w:tc>
          <w:tcPr>
            <w:tcW w:w="2870" w:type="dxa"/>
            <w:tcBorders>
              <w:bottom w:val="single" w:sz="12" w:space="0" w:color="000000"/>
            </w:tcBorders>
            <w:shd w:fill="FFFFFF" w:val="clear"/>
            <w:tcMar>
              <w:bottom w:w="28" w:type="dxa"/>
            </w:tcMar>
            <w:vAlign w:val="bottom"/>
          </w:tcPr>
          <w:p>
            <w:pPr>
              <w:pStyle w:val="TableContents"/>
              <w:spacing w:before="0" w:after="1"/>
              <w:ind w:left="0" w:right="0" w:hanging="0"/>
              <w:jc w:val="both"/>
              <w:rPr>
                <w:b/>
                <w:sz w:val="17"/>
              </w:rPr>
            </w:pPr>
            <w:r>
              <w:rPr>
                <w:b/>
                <w:sz w:val="17"/>
              </w:rPr>
              <w:t>Change in Benefit Obligation</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both"/>
              <w:rPr/>
            </w:pPr>
            <w:r>
              <w:rPr/>
              <w:t> </w:t>
            </w:r>
          </w:p>
        </w:tc>
        <w:tc>
          <w:tcPr>
            <w:tcW w:w="1475" w:type="dxa"/>
            <w:tcBorders>
              <w:bottom w:val="single" w:sz="12" w:space="0" w:color="000000"/>
            </w:tcBorders>
            <w:shd w:fill="FFFFFF" w:val="clear"/>
            <w:tcMar>
              <w:bottom w:w="28" w:type="dxa"/>
            </w:tcMar>
            <w:vAlign w:val="bottom"/>
          </w:tcPr>
          <w:p>
            <w:pPr>
              <w:pStyle w:val="TableContents"/>
              <w:spacing w:before="0" w:after="1"/>
              <w:ind w:left="0" w:right="0" w:hanging="0"/>
              <w:jc w:val="center"/>
              <w:rPr>
                <w:b/>
                <w:sz w:val="17"/>
              </w:rPr>
            </w:pPr>
            <w:r>
              <w:rPr>
                <w:b/>
                <w:sz w:val="17"/>
              </w:rPr>
              <w:t>December 31, 2011</w:t>
            </w:r>
          </w:p>
        </w:tc>
      </w:tr>
      <w:tr>
        <w:trPr/>
        <w:tc>
          <w:tcPr>
            <w:tcW w:w="287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Benefit obligation at January 1, 2011</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47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3,820  </w:t>
            </w:r>
          </w:p>
        </w:tc>
      </w:tr>
      <w:tr>
        <w:trPr/>
        <w:tc>
          <w:tcPr>
            <w:tcW w:w="2870" w:type="dxa"/>
            <w:tcBorders/>
            <w:shd w:fill="FFFFFF" w:val="clear"/>
            <w:vAlign w:val="bottom"/>
          </w:tcPr>
          <w:p>
            <w:pPr>
              <w:pStyle w:val="TableContents"/>
              <w:spacing w:before="0" w:after="1"/>
              <w:ind w:left="0" w:right="0" w:hanging="0"/>
              <w:jc w:val="both"/>
              <w:rPr>
                <w:sz w:val="17"/>
              </w:rPr>
            </w:pPr>
            <w:r>
              <w:rPr>
                <w:sz w:val="17"/>
              </w:rPr>
              <w:t>Interest cost</w:t>
            </w:r>
          </w:p>
        </w:tc>
        <w:tc>
          <w:tcPr>
            <w:tcW w:w="110" w:type="dxa"/>
            <w:tcBorders/>
            <w:shd w:fill="FFFFFF" w:val="clear"/>
            <w:vAlign w:val="bottom"/>
          </w:tcPr>
          <w:p>
            <w:pPr>
              <w:pStyle w:val="TableContents"/>
              <w:spacing w:before="0" w:after="1"/>
              <w:ind w:left="0" w:right="0" w:hanging="0"/>
              <w:jc w:val="right"/>
              <w:rPr/>
            </w:pPr>
            <w:r>
              <w:rPr/>
              <w:t> </w:t>
            </w:r>
          </w:p>
        </w:tc>
        <w:tc>
          <w:tcPr>
            <w:tcW w:w="1475" w:type="dxa"/>
            <w:tcBorders/>
            <w:shd w:fill="FFFFFF" w:val="clear"/>
            <w:vAlign w:val="bottom"/>
          </w:tcPr>
          <w:p>
            <w:pPr>
              <w:pStyle w:val="TableContents"/>
              <w:spacing w:before="0" w:after="283"/>
              <w:jc w:val="right"/>
              <w:rPr>
                <w:sz w:val="17"/>
              </w:rPr>
            </w:pPr>
            <w:r>
              <w:rPr>
                <w:sz w:val="17"/>
              </w:rPr>
              <w:t xml:space="preserve">195  </w:t>
            </w:r>
          </w:p>
        </w:tc>
      </w:tr>
      <w:tr>
        <w:trPr/>
        <w:tc>
          <w:tcPr>
            <w:tcW w:w="287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Actuarial gain</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7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(504) </w:t>
            </w:r>
          </w:p>
        </w:tc>
      </w:tr>
      <w:tr>
        <w:trPr/>
        <w:tc>
          <w:tcPr>
            <w:tcW w:w="287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Benefit obligation at December 31, 2011</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47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3,511  </w:t>
            </w:r>
          </w:p>
        </w:tc>
      </w:tr>
      <w:tr>
        <w:trPr/>
        <w:tc>
          <w:tcPr>
            <w:tcW w:w="287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Funded status at December 31, 2011</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4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(3,511)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Amount recognized in balance sheet consists of (dollars in thousands): </w:t>
      </w:r>
    </w:p>
    <w:p>
      <w:pPr>
        <w:pStyle w:val="TextBody"/>
        <w:spacing w:lineRule="auto" w:line="240" w:before="0" w:after="0"/>
        <w:ind w:left="1440" w:right="0" w:hanging="0"/>
        <w:jc w:val="both"/>
        <w:rPr/>
      </w:pPr>
      <w:r>
        <w:rPr/>
        <w:t xml:space="preserve">  </w:t>
      </w:r>
    </w:p>
    <w:tbl>
      <w:tblPr>
        <w:tblW w:w="5005" w:type="dxa"/>
        <w:jc w:val="left"/>
        <w:tblInd w:w="1440" w:type="dxa"/>
        <w:tblCellMar>
          <w:top w:w="0" w:type="dxa"/>
          <w:left w:w="0" w:type="dxa"/>
          <w:bottom w:w="0" w:type="dxa"/>
          <w:right w:w="0" w:type="dxa"/>
        </w:tblCellMar>
      </w:tblPr>
      <w:tblGrid>
        <w:gridCol w:w="1490"/>
        <w:gridCol w:w="110"/>
        <w:gridCol w:w="1640"/>
        <w:gridCol w:w="110"/>
        <w:gridCol w:w="1655"/>
      </w:tblGrid>
      <w:tr>
        <w:trPr/>
        <w:tc>
          <w:tcPr>
            <w:tcW w:w="14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55" w:type="dxa"/>
            <w:tcBorders/>
            <w:shd w:fill="auto" w:val="clear"/>
            <w:vAlign w:val="bottom"/>
          </w:tcPr>
          <w:p>
            <w:pPr>
              <w:pStyle w:val="TableContents"/>
              <w:spacing w:before="0" w:after="1"/>
              <w:ind w:left="0" w:right="0" w:hanging="0"/>
              <w:jc w:val="both"/>
              <w:rPr/>
            </w:pPr>
            <w:r>
              <w:rPr/>
              <w:t> </w:t>
            </w:r>
          </w:p>
        </w:tc>
      </w:tr>
      <w:tr>
        <w:trPr/>
        <w:tc>
          <w:tcPr>
            <w:tcW w:w="14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55" w:type="dxa"/>
            <w:tcBorders/>
            <w:shd w:fill="auto" w:val="clear"/>
            <w:vAlign w:val="bottom"/>
          </w:tcPr>
          <w:p>
            <w:pPr>
              <w:pStyle w:val="TableContents"/>
              <w:spacing w:before="0" w:after="1"/>
              <w:ind w:left="0" w:right="0" w:hanging="0"/>
              <w:jc w:val="both"/>
              <w:rPr/>
            </w:pPr>
            <w:r>
              <w:rPr/>
              <w:t> </w:t>
            </w:r>
          </w:p>
        </w:tc>
      </w:tr>
      <w:tr>
        <w:trPr/>
        <w:tc>
          <w:tcPr>
            <w:tcW w:w="149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4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At December 31, 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5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At December 31, 2011</w:t>
            </w:r>
          </w:p>
        </w:tc>
      </w:tr>
      <w:tr>
        <w:trPr/>
        <w:tc>
          <w:tcPr>
            <w:tcW w:w="1490" w:type="dxa"/>
            <w:tcBorders/>
            <w:shd w:fill="auto" w:val="clear"/>
            <w:vAlign w:val="bottom"/>
          </w:tcPr>
          <w:p>
            <w:pPr>
              <w:pStyle w:val="TableContents"/>
              <w:spacing w:before="0" w:after="1"/>
              <w:ind w:left="0" w:right="0" w:hanging="0"/>
              <w:jc w:val="both"/>
              <w:rPr>
                <w:sz w:val="17"/>
              </w:rPr>
            </w:pPr>
            <w:r>
              <w:rPr>
                <w:sz w:val="17"/>
              </w:rPr>
              <w:t>Current liabilities</w:t>
            </w:r>
          </w:p>
        </w:tc>
        <w:tc>
          <w:tcPr>
            <w:tcW w:w="110" w:type="dxa"/>
            <w:tcBorders/>
            <w:shd w:fill="auto" w:val="clear"/>
            <w:vAlign w:val="bottom"/>
          </w:tcPr>
          <w:p>
            <w:pPr>
              <w:pStyle w:val="TableContents"/>
              <w:spacing w:before="0" w:after="1"/>
              <w:ind w:left="0" w:right="0" w:hanging="0"/>
              <w:jc w:val="right"/>
              <w:rPr>
                <w:sz w:val="17"/>
              </w:rPr>
            </w:pPr>
            <w:r>
              <w:rPr>
                <w:sz w:val="17"/>
              </w:rPr>
              <w:t>$</w:t>
            </w:r>
          </w:p>
        </w:tc>
        <w:tc>
          <w:tcPr>
            <w:tcW w:w="1640" w:type="dxa"/>
            <w:tcBorders/>
            <w:shd w:fill="auto" w:val="clear"/>
            <w:vAlign w:val="bottom"/>
          </w:tcPr>
          <w:p>
            <w:pPr>
              <w:pStyle w:val="TableContents"/>
              <w:spacing w:before="0" w:after="283"/>
              <w:rPr/>
            </w:pPr>
            <w:r>
              <w:rPr/>
              <w:t xml:space="preserve">14  </w:t>
            </w:r>
          </w:p>
        </w:tc>
        <w:tc>
          <w:tcPr>
            <w:tcW w:w="110" w:type="dxa"/>
            <w:tcBorders/>
            <w:shd w:fill="auto" w:val="clear"/>
            <w:vAlign w:val="bottom"/>
          </w:tcPr>
          <w:p>
            <w:pPr>
              <w:pStyle w:val="TableContents"/>
              <w:spacing w:before="0" w:after="1"/>
              <w:ind w:left="0" w:right="0" w:hanging="0"/>
              <w:jc w:val="right"/>
              <w:rPr>
                <w:sz w:val="17"/>
              </w:rPr>
            </w:pPr>
            <w:r>
              <w:rPr>
                <w:sz w:val="17"/>
              </w:rPr>
              <w:t>$</w:t>
            </w:r>
          </w:p>
        </w:tc>
        <w:tc>
          <w:tcPr>
            <w:tcW w:w="1655" w:type="dxa"/>
            <w:tcBorders/>
            <w:shd w:fill="auto" w:val="clear"/>
            <w:vAlign w:val="bottom"/>
          </w:tcPr>
          <w:p>
            <w:pPr>
              <w:pStyle w:val="TableContents"/>
              <w:spacing w:before="0" w:after="283"/>
              <w:rPr/>
            </w:pPr>
            <w:r>
              <w:rPr/>
              <w:t xml:space="preserve">10  </w:t>
            </w:r>
          </w:p>
        </w:tc>
      </w:tr>
      <w:tr>
        <w:trPr/>
        <w:tc>
          <w:tcPr>
            <w:tcW w:w="1490" w:type="dxa"/>
            <w:tcBorders/>
            <w:shd w:fill="auto" w:val="clear"/>
            <w:vAlign w:val="bottom"/>
          </w:tcPr>
          <w:p>
            <w:pPr>
              <w:pStyle w:val="TableContents"/>
              <w:spacing w:before="0" w:after="1"/>
              <w:ind w:left="0" w:right="0" w:hanging="0"/>
              <w:jc w:val="both"/>
              <w:rPr>
                <w:sz w:val="17"/>
              </w:rPr>
            </w:pPr>
            <w:r>
              <w:rPr>
                <w:sz w:val="17"/>
              </w:rPr>
              <w:t>Noncurrent liabilities</w:t>
            </w:r>
          </w:p>
        </w:tc>
        <w:tc>
          <w:tcPr>
            <w:tcW w:w="110" w:type="dxa"/>
            <w:tcBorders/>
            <w:shd w:fill="auto" w:val="clear"/>
            <w:vAlign w:val="bottom"/>
          </w:tcPr>
          <w:p>
            <w:pPr>
              <w:pStyle w:val="TableContents"/>
              <w:spacing w:before="0" w:after="1"/>
              <w:ind w:left="0" w:right="0" w:hanging="0"/>
              <w:jc w:val="right"/>
              <w:rPr/>
            </w:pPr>
            <w:r>
              <w:rPr/>
              <w:t> </w:t>
            </w:r>
          </w:p>
        </w:tc>
        <w:tc>
          <w:tcPr>
            <w:tcW w:w="1640" w:type="dxa"/>
            <w:tcBorders/>
            <w:shd w:fill="auto" w:val="clear"/>
            <w:vAlign w:val="bottom"/>
          </w:tcPr>
          <w:p>
            <w:pPr>
              <w:pStyle w:val="TableContents"/>
              <w:spacing w:before="0" w:after="283"/>
              <w:rPr/>
            </w:pPr>
            <w:r>
              <w:rPr/>
              <w:t xml:space="preserve">5,930  </w:t>
            </w:r>
          </w:p>
        </w:tc>
        <w:tc>
          <w:tcPr>
            <w:tcW w:w="110" w:type="dxa"/>
            <w:tcBorders/>
            <w:shd w:fill="auto" w:val="clear"/>
            <w:vAlign w:val="bottom"/>
          </w:tcPr>
          <w:p>
            <w:pPr>
              <w:pStyle w:val="TableContents"/>
              <w:spacing w:before="0" w:after="1"/>
              <w:ind w:left="0" w:right="0" w:hanging="0"/>
              <w:jc w:val="right"/>
              <w:rPr/>
            </w:pPr>
            <w:r>
              <w:rPr/>
              <w:t> </w:t>
            </w:r>
          </w:p>
        </w:tc>
        <w:tc>
          <w:tcPr>
            <w:tcW w:w="1655" w:type="dxa"/>
            <w:tcBorders/>
            <w:shd w:fill="auto" w:val="clear"/>
            <w:vAlign w:val="bottom"/>
          </w:tcPr>
          <w:p>
            <w:pPr>
              <w:pStyle w:val="TableContents"/>
              <w:spacing w:before="0" w:after="283"/>
              <w:rPr/>
            </w:pPr>
            <w:r>
              <w:rPr/>
              <w:t xml:space="preserve">3,501  </w:t>
            </w:r>
          </w:p>
        </w:tc>
      </w:tr>
      <w:tr>
        <w:trPr/>
        <w:tc>
          <w:tcPr>
            <w:tcW w:w="149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right"/>
              <w:rPr/>
            </w:pPr>
            <w:r>
              <w:rPr/>
              <w:t> </w:t>
            </w:r>
          </w:p>
        </w:tc>
        <w:tc>
          <w:tcPr>
            <w:tcW w:w="1655" w:type="dxa"/>
            <w:tcBorders/>
            <w:shd w:fill="auto" w:val="clear"/>
            <w:vAlign w:val="bottom"/>
          </w:tcPr>
          <w:p>
            <w:pPr>
              <w:pStyle w:val="TableContents"/>
              <w:spacing w:before="0" w:after="1"/>
              <w:ind w:left="0" w:right="0" w:hanging="0"/>
              <w:jc w:val="both"/>
              <w:rPr/>
            </w:pPr>
            <w:r>
              <w:rPr/>
              <w:t> </w:t>
            </w:r>
          </w:p>
        </w:tc>
      </w:tr>
    </w:tbl>
    <w:p>
      <w:pPr>
        <w:pStyle w:val="TextBody"/>
        <w:spacing w:before="0" w:after="200"/>
        <w:ind w:left="1440" w:right="0" w:firstLine="720"/>
        <w:jc w:val="both"/>
        <w:rPr>
          <w:sz w:val="17"/>
        </w:rPr>
      </w:pPr>
      <w:r>
        <w:rPr>
          <w:sz w:val="17"/>
        </w:rPr>
        <w:t xml:space="preserve">Items not yet recognized as a component of net periodic pension cost consist of (dollars in thousands): </w:t>
      </w:r>
    </w:p>
    <w:p>
      <w:pPr>
        <w:pStyle w:val="TextBody"/>
        <w:spacing w:lineRule="auto" w:line="240" w:before="0" w:after="0"/>
        <w:ind w:left="1440" w:right="0" w:firstLine="720"/>
        <w:jc w:val="both"/>
        <w:rPr/>
      </w:pPr>
      <w:r>
        <w:rPr/>
        <w:t xml:space="preserve">  </w:t>
      </w:r>
    </w:p>
    <w:tbl>
      <w:tblPr>
        <w:tblW w:w="6265" w:type="dxa"/>
        <w:jc w:val="left"/>
        <w:tblInd w:w="1440" w:type="dxa"/>
        <w:tblCellMar>
          <w:top w:w="0" w:type="dxa"/>
          <w:left w:w="0" w:type="dxa"/>
          <w:bottom w:w="0" w:type="dxa"/>
          <w:right w:w="0" w:type="dxa"/>
        </w:tblCellMar>
      </w:tblPr>
      <w:tblGrid>
        <w:gridCol w:w="2750"/>
        <w:gridCol w:w="110"/>
        <w:gridCol w:w="1640"/>
        <w:gridCol w:w="110"/>
        <w:gridCol w:w="1655"/>
      </w:tblGrid>
      <w:tr>
        <w:trPr/>
        <w:tc>
          <w:tcPr>
            <w:tcW w:w="27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55" w:type="dxa"/>
            <w:tcBorders/>
            <w:shd w:fill="auto" w:val="clear"/>
            <w:vAlign w:val="bottom"/>
          </w:tcPr>
          <w:p>
            <w:pPr>
              <w:pStyle w:val="TableContents"/>
              <w:spacing w:before="0" w:after="1"/>
              <w:ind w:left="0" w:right="0" w:hanging="0"/>
              <w:jc w:val="both"/>
              <w:rPr/>
            </w:pPr>
            <w:r>
              <w:rPr/>
              <w:t> </w:t>
            </w:r>
          </w:p>
        </w:tc>
      </w:tr>
      <w:tr>
        <w:trPr/>
        <w:tc>
          <w:tcPr>
            <w:tcW w:w="27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4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655" w:type="dxa"/>
            <w:tcBorders/>
            <w:shd w:fill="auto" w:val="clear"/>
            <w:vAlign w:val="bottom"/>
          </w:tcPr>
          <w:p>
            <w:pPr>
              <w:pStyle w:val="TableContents"/>
              <w:spacing w:before="0" w:after="1"/>
              <w:ind w:left="0" w:right="0" w:hanging="0"/>
              <w:jc w:val="both"/>
              <w:rPr/>
            </w:pPr>
            <w:r>
              <w:rPr/>
              <w:t> </w:t>
            </w:r>
          </w:p>
        </w:tc>
      </w:tr>
      <w:tr>
        <w:trPr/>
        <w:tc>
          <w:tcPr>
            <w:tcW w:w="275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4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At December 31, 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65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At December 31, 2011</w:t>
            </w:r>
          </w:p>
        </w:tc>
      </w:tr>
      <w:tr>
        <w:trPr/>
        <w:tc>
          <w:tcPr>
            <w:tcW w:w="275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Unamortized actuarial (gain) loss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64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2,269 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65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(14) </w:t>
            </w:r>
          </w:p>
        </w:tc>
      </w:tr>
      <w:tr>
        <w:trPr/>
        <w:tc>
          <w:tcPr>
            <w:tcW w:w="275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Prior service costs</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64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931 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65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1,234  </w:t>
            </w:r>
          </w:p>
        </w:tc>
      </w:tr>
      <w:tr>
        <w:trPr/>
        <w:tc>
          <w:tcPr>
            <w:tcW w:w="27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Accumulated other comprehensive loss</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164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3,200 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16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1,220 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The components of the net periodic benefit cost and other amounts recognized in other comprehensive income are as follows (dollars in thousands): </w:t>
      </w:r>
    </w:p>
    <w:p>
      <w:pPr>
        <w:pStyle w:val="TextBody"/>
        <w:spacing w:lineRule="auto" w:line="240"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4503"/>
        <w:gridCol w:w="110"/>
        <w:gridCol w:w="2013"/>
        <w:gridCol w:w="110"/>
        <w:gridCol w:w="2029"/>
      </w:tblGrid>
      <w:tr>
        <w:trPr/>
        <w:tc>
          <w:tcPr>
            <w:tcW w:w="4503"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13"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29" w:type="dxa"/>
            <w:tcBorders/>
            <w:shd w:fill="auto" w:val="clear"/>
            <w:vAlign w:val="bottom"/>
          </w:tcPr>
          <w:p>
            <w:pPr>
              <w:pStyle w:val="TableContents"/>
              <w:spacing w:before="0" w:after="1"/>
              <w:ind w:left="0" w:right="0" w:hanging="0"/>
              <w:jc w:val="both"/>
              <w:rPr/>
            </w:pPr>
            <w:r>
              <w:rPr/>
              <w:t> </w:t>
            </w:r>
          </w:p>
        </w:tc>
      </w:tr>
      <w:tr>
        <w:trPr/>
        <w:tc>
          <w:tcPr>
            <w:tcW w:w="4503"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13"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29" w:type="dxa"/>
            <w:tcBorders/>
            <w:shd w:fill="auto" w:val="clear"/>
            <w:vAlign w:val="bottom"/>
          </w:tcPr>
          <w:p>
            <w:pPr>
              <w:pStyle w:val="TableContents"/>
              <w:spacing w:before="0" w:after="1"/>
              <w:ind w:left="0" w:right="0" w:hanging="0"/>
              <w:jc w:val="both"/>
              <w:rPr/>
            </w:pPr>
            <w:r>
              <w:rPr/>
              <w:t> </w:t>
            </w:r>
          </w:p>
        </w:tc>
      </w:tr>
      <w:tr>
        <w:trPr/>
        <w:tc>
          <w:tcPr>
            <w:tcW w:w="4503"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Net periodic benefit cost</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2013"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For the year ending December 31, 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2029"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For the year ending December 31, 2011</w:t>
            </w:r>
          </w:p>
        </w:tc>
      </w:tr>
      <w:tr>
        <w:trPr/>
        <w:tc>
          <w:tcPr>
            <w:tcW w:w="4503"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Interest cost</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2013"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149 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2029"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195  </w:t>
            </w:r>
          </w:p>
        </w:tc>
      </w:tr>
      <w:tr>
        <w:trPr/>
        <w:tc>
          <w:tcPr>
            <w:tcW w:w="4503" w:type="dxa"/>
            <w:tcBorders/>
            <w:shd w:fill="FFFFFF" w:val="clear"/>
            <w:vAlign w:val="bottom"/>
          </w:tcPr>
          <w:p>
            <w:pPr>
              <w:pStyle w:val="TableContents"/>
              <w:spacing w:before="0" w:after="1"/>
              <w:ind w:left="0" w:right="0" w:hanging="0"/>
              <w:jc w:val="both"/>
              <w:rPr>
                <w:sz w:val="17"/>
              </w:rPr>
            </w:pPr>
            <w:r>
              <w:rPr>
                <w:sz w:val="17"/>
              </w:rPr>
              <w:t>Amortization of prior service costs</w:t>
            </w:r>
          </w:p>
        </w:tc>
        <w:tc>
          <w:tcPr>
            <w:tcW w:w="110" w:type="dxa"/>
            <w:tcBorders/>
            <w:shd w:fill="FFFFFF" w:val="clear"/>
            <w:vAlign w:val="bottom"/>
          </w:tcPr>
          <w:p>
            <w:pPr>
              <w:pStyle w:val="TableContents"/>
              <w:spacing w:before="0" w:after="1"/>
              <w:ind w:left="0" w:right="0" w:hanging="0"/>
              <w:jc w:val="right"/>
              <w:rPr/>
            </w:pPr>
            <w:r>
              <w:rPr/>
              <w:t> </w:t>
            </w:r>
          </w:p>
        </w:tc>
        <w:tc>
          <w:tcPr>
            <w:tcW w:w="2013" w:type="dxa"/>
            <w:tcBorders/>
            <w:shd w:fill="FFFFFF" w:val="clear"/>
            <w:vAlign w:val="bottom"/>
          </w:tcPr>
          <w:p>
            <w:pPr>
              <w:pStyle w:val="TableContents"/>
              <w:spacing w:before="0" w:after="283"/>
              <w:jc w:val="right"/>
              <w:rPr>
                <w:sz w:val="17"/>
              </w:rPr>
            </w:pPr>
            <w:r>
              <w:rPr>
                <w:sz w:val="17"/>
              </w:rPr>
              <w:t xml:space="preserve">304  </w:t>
            </w:r>
          </w:p>
        </w:tc>
        <w:tc>
          <w:tcPr>
            <w:tcW w:w="110" w:type="dxa"/>
            <w:tcBorders/>
            <w:shd w:fill="FFFFFF" w:val="clear"/>
            <w:vAlign w:val="bottom"/>
          </w:tcPr>
          <w:p>
            <w:pPr>
              <w:pStyle w:val="TableContents"/>
              <w:spacing w:before="0" w:after="1"/>
              <w:ind w:left="0" w:right="0" w:hanging="0"/>
              <w:jc w:val="right"/>
              <w:rPr/>
            </w:pPr>
            <w:r>
              <w:rPr/>
              <w:t> </w:t>
            </w:r>
          </w:p>
        </w:tc>
        <w:tc>
          <w:tcPr>
            <w:tcW w:w="2029" w:type="dxa"/>
            <w:tcBorders/>
            <w:shd w:fill="FFFFFF" w:val="clear"/>
            <w:vAlign w:val="bottom"/>
          </w:tcPr>
          <w:p>
            <w:pPr>
              <w:pStyle w:val="TableContents"/>
              <w:spacing w:before="0" w:after="283"/>
              <w:jc w:val="right"/>
              <w:rPr>
                <w:sz w:val="17"/>
              </w:rPr>
            </w:pPr>
            <w:r>
              <w:rPr>
                <w:sz w:val="17"/>
              </w:rPr>
              <w:t xml:space="preserve">304  </w:t>
            </w:r>
          </w:p>
        </w:tc>
      </w:tr>
      <w:tr>
        <w:trPr/>
        <w:tc>
          <w:tcPr>
            <w:tcW w:w="4503"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Amortization of net gain</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2013"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2029"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24  </w:t>
            </w:r>
          </w:p>
        </w:tc>
      </w:tr>
      <w:tr>
        <w:trPr/>
        <w:tc>
          <w:tcPr>
            <w:tcW w:w="450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Net periodic benefit cost</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201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453 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202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523  </w:t>
            </w:r>
          </w:p>
        </w:tc>
      </w:tr>
      <w:tr>
        <w:trPr/>
        <w:tc>
          <w:tcPr>
            <w:tcW w:w="4503"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2013"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2029"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4503" w:type="dxa"/>
            <w:tcBorders>
              <w:bottom w:val="single" w:sz="12" w:space="0" w:color="000000"/>
            </w:tcBorders>
            <w:shd w:fill="FFFFFF" w:val="clear"/>
            <w:tcMar>
              <w:bottom w:w="28" w:type="dxa"/>
            </w:tcMar>
            <w:vAlign w:val="bottom"/>
          </w:tcPr>
          <w:p>
            <w:pPr>
              <w:pStyle w:val="TableContents"/>
              <w:spacing w:before="0" w:after="1"/>
              <w:ind w:left="0" w:right="0" w:hanging="0"/>
              <w:jc w:val="both"/>
              <w:rPr>
                <w:b/>
                <w:sz w:val="17"/>
              </w:rPr>
            </w:pPr>
            <w:r>
              <w:rPr>
                <w:b/>
                <w:sz w:val="17"/>
              </w:rPr>
              <w:t>Other changes in plan assets and benefit obligations recognized in other comprehensive income</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pPr>
            <w:r>
              <w:rPr/>
              <w:t> </w:t>
            </w:r>
          </w:p>
        </w:tc>
        <w:tc>
          <w:tcPr>
            <w:tcW w:w="2013" w:type="dxa"/>
            <w:tcBorders>
              <w:bottom w:val="single" w:sz="12" w:space="0" w:color="000000"/>
            </w:tcBorders>
            <w:shd w:fill="FFFFFF"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pPr>
            <w:r>
              <w:rPr/>
              <w:t> </w:t>
            </w:r>
          </w:p>
        </w:tc>
        <w:tc>
          <w:tcPr>
            <w:tcW w:w="2029" w:type="dxa"/>
            <w:tcBorders>
              <w:bottom w:val="single" w:sz="12" w:space="0" w:color="000000"/>
            </w:tcBorders>
            <w:shd w:fill="FFFFFF" w:val="clear"/>
            <w:tcMar>
              <w:bottom w:w="28" w:type="dxa"/>
            </w:tcMar>
            <w:vAlign w:val="bottom"/>
          </w:tcPr>
          <w:p>
            <w:pPr>
              <w:pStyle w:val="TableContents"/>
              <w:spacing w:before="0" w:after="1"/>
              <w:ind w:left="0" w:right="0" w:hanging="0"/>
              <w:jc w:val="both"/>
              <w:rPr/>
            </w:pPr>
            <w:r>
              <w:rPr/>
              <w:t> </w:t>
            </w:r>
          </w:p>
        </w:tc>
      </w:tr>
      <w:tr>
        <w:trPr/>
        <w:tc>
          <w:tcPr>
            <w:tcW w:w="4503"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Net (gain) loss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2013"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2,284 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2029"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(504) </w:t>
            </w:r>
          </w:p>
        </w:tc>
      </w:tr>
      <w:tr>
        <w:trPr/>
        <w:tc>
          <w:tcPr>
            <w:tcW w:w="4503" w:type="dxa"/>
            <w:tcBorders/>
            <w:shd w:fill="FFFFFF" w:val="clear"/>
            <w:vAlign w:val="bottom"/>
          </w:tcPr>
          <w:p>
            <w:pPr>
              <w:pStyle w:val="TableContents"/>
              <w:spacing w:before="0" w:after="1"/>
              <w:ind w:left="0" w:right="0" w:hanging="0"/>
              <w:jc w:val="both"/>
              <w:rPr>
                <w:sz w:val="17"/>
              </w:rPr>
            </w:pPr>
            <w:r>
              <w:rPr>
                <w:sz w:val="17"/>
              </w:rPr>
              <w:t>Amortization of prior service cost</w:t>
            </w:r>
          </w:p>
        </w:tc>
        <w:tc>
          <w:tcPr>
            <w:tcW w:w="110" w:type="dxa"/>
            <w:tcBorders/>
            <w:shd w:fill="FFFFFF" w:val="clear"/>
            <w:vAlign w:val="bottom"/>
          </w:tcPr>
          <w:p>
            <w:pPr>
              <w:pStyle w:val="TableContents"/>
              <w:spacing w:before="0" w:after="1"/>
              <w:ind w:left="0" w:right="0" w:hanging="0"/>
              <w:jc w:val="right"/>
              <w:rPr/>
            </w:pPr>
            <w:r>
              <w:rPr/>
              <w:t> </w:t>
            </w:r>
          </w:p>
        </w:tc>
        <w:tc>
          <w:tcPr>
            <w:tcW w:w="2013" w:type="dxa"/>
            <w:tcBorders/>
            <w:shd w:fill="FFFFFF" w:val="clear"/>
            <w:vAlign w:val="bottom"/>
          </w:tcPr>
          <w:p>
            <w:pPr>
              <w:pStyle w:val="TableContents"/>
              <w:spacing w:before="0" w:after="283"/>
              <w:jc w:val="right"/>
              <w:rPr>
                <w:sz w:val="17"/>
              </w:rPr>
            </w:pPr>
            <w:r>
              <w:rPr>
                <w:sz w:val="17"/>
              </w:rPr>
              <w:t xml:space="preserve">(304) </w:t>
            </w:r>
          </w:p>
        </w:tc>
        <w:tc>
          <w:tcPr>
            <w:tcW w:w="110" w:type="dxa"/>
            <w:tcBorders/>
            <w:shd w:fill="FFFFFF" w:val="clear"/>
            <w:vAlign w:val="bottom"/>
          </w:tcPr>
          <w:p>
            <w:pPr>
              <w:pStyle w:val="TableContents"/>
              <w:spacing w:before="0" w:after="1"/>
              <w:ind w:left="0" w:right="0" w:hanging="0"/>
              <w:jc w:val="right"/>
              <w:rPr/>
            </w:pPr>
            <w:r>
              <w:rPr/>
              <w:t> </w:t>
            </w:r>
          </w:p>
        </w:tc>
        <w:tc>
          <w:tcPr>
            <w:tcW w:w="2029" w:type="dxa"/>
            <w:tcBorders/>
            <w:shd w:fill="FFFFFF" w:val="clear"/>
            <w:vAlign w:val="bottom"/>
          </w:tcPr>
          <w:p>
            <w:pPr>
              <w:pStyle w:val="TableContents"/>
              <w:spacing w:before="0" w:after="283"/>
              <w:jc w:val="right"/>
              <w:rPr>
                <w:sz w:val="17"/>
              </w:rPr>
            </w:pPr>
            <w:r>
              <w:rPr>
                <w:sz w:val="17"/>
              </w:rPr>
              <w:t xml:space="preserve">(304) </w:t>
            </w:r>
          </w:p>
        </w:tc>
      </w:tr>
      <w:tr>
        <w:trPr/>
        <w:tc>
          <w:tcPr>
            <w:tcW w:w="4503"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Amortization of net gain</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2013"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2029"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(24) </w:t>
            </w:r>
          </w:p>
        </w:tc>
      </w:tr>
      <w:tr>
        <w:trPr/>
        <w:tc>
          <w:tcPr>
            <w:tcW w:w="4503"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Total recognized in other comprehensive income</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2013"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1,980 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2029"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(832) </w:t>
            </w:r>
          </w:p>
        </w:tc>
      </w:tr>
      <w:tr>
        <w:trPr/>
        <w:tc>
          <w:tcPr>
            <w:tcW w:w="4503"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2013"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2029"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4503" w:type="dxa"/>
            <w:tcBorders>
              <w:bottom w:val="single" w:sz="12" w:space="0" w:color="000000"/>
            </w:tcBorders>
            <w:shd w:fill="FFFFFF" w:val="clear"/>
            <w:tcMar>
              <w:bottom w:w="28" w:type="dxa"/>
            </w:tcMar>
            <w:vAlign w:val="bottom"/>
          </w:tcPr>
          <w:p>
            <w:pPr>
              <w:pStyle w:val="TableContents"/>
              <w:spacing w:before="0" w:after="1"/>
              <w:ind w:left="0" w:right="0" w:hanging="0"/>
              <w:jc w:val="both"/>
              <w:rPr>
                <w:sz w:val="17"/>
              </w:rPr>
            </w:pPr>
            <w:r>
              <w:rPr>
                <w:sz w:val="17"/>
              </w:rPr>
              <w:t>Total recognized in net periodic benefit cost and other comprehensive income</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sz w:val="17"/>
              </w:rPr>
            </w:pPr>
            <w:r>
              <w:rPr>
                <w:sz w:val="17"/>
              </w:rPr>
              <w:t>$</w:t>
            </w:r>
          </w:p>
        </w:tc>
        <w:tc>
          <w:tcPr>
            <w:tcW w:w="2013" w:type="dxa"/>
            <w:tcBorders>
              <w:bottom w:val="single" w:sz="12" w:space="0" w:color="000000"/>
            </w:tcBorders>
            <w:shd w:fill="FFFFFF" w:val="clear"/>
            <w:tcMar>
              <w:bottom w:w="28" w:type="dxa"/>
            </w:tcMar>
            <w:vAlign w:val="bottom"/>
          </w:tcPr>
          <w:p>
            <w:pPr>
              <w:pStyle w:val="TableContents"/>
              <w:spacing w:before="0" w:after="283"/>
              <w:jc w:val="right"/>
              <w:rPr>
                <w:sz w:val="17"/>
              </w:rPr>
            </w:pPr>
            <w:r>
              <w:rPr>
                <w:sz w:val="17"/>
              </w:rPr>
              <w:t xml:space="preserve">2,433  </w:t>
            </w:r>
          </w:p>
        </w:tc>
        <w:tc>
          <w:tcPr>
            <w:tcW w:w="110" w:type="dxa"/>
            <w:tcBorders>
              <w:bottom w:val="single" w:sz="12" w:space="0" w:color="000000"/>
            </w:tcBorders>
            <w:shd w:fill="FFFFFF" w:val="clear"/>
            <w:tcMar>
              <w:bottom w:w="28" w:type="dxa"/>
            </w:tcMar>
            <w:vAlign w:val="bottom"/>
          </w:tcPr>
          <w:p>
            <w:pPr>
              <w:pStyle w:val="TableContents"/>
              <w:spacing w:before="0" w:after="1"/>
              <w:ind w:left="0" w:right="0" w:hanging="0"/>
              <w:jc w:val="right"/>
              <w:rPr>
                <w:sz w:val="17"/>
              </w:rPr>
            </w:pPr>
            <w:r>
              <w:rPr>
                <w:sz w:val="17"/>
              </w:rPr>
              <w:t>$</w:t>
            </w:r>
          </w:p>
        </w:tc>
        <w:tc>
          <w:tcPr>
            <w:tcW w:w="2029" w:type="dxa"/>
            <w:tcBorders>
              <w:bottom w:val="single" w:sz="12" w:space="0" w:color="000000"/>
            </w:tcBorders>
            <w:shd w:fill="FFFFFF" w:val="clear"/>
            <w:tcMar>
              <w:bottom w:w="28" w:type="dxa"/>
            </w:tcMar>
            <w:vAlign w:val="bottom"/>
          </w:tcPr>
          <w:p>
            <w:pPr>
              <w:pStyle w:val="TableContents"/>
              <w:spacing w:before="0" w:after="283"/>
              <w:jc w:val="right"/>
              <w:rPr>
                <w:sz w:val="17"/>
              </w:rPr>
            </w:pPr>
            <w:r>
              <w:rPr>
                <w:sz w:val="17"/>
              </w:rPr>
              <w:t xml:space="preserve">(309) </w:t>
            </w:r>
          </w:p>
        </w:tc>
      </w:tr>
    </w:tbl>
    <w:p>
      <w:pPr>
        <w:pStyle w:val="TextBody"/>
        <w:spacing w:before="0" w:after="200"/>
        <w:ind w:left="1440" w:right="0" w:firstLine="720"/>
        <w:jc w:val="both"/>
        <w:rPr>
          <w:sz w:val="17"/>
        </w:rPr>
      </w:pPr>
      <w:r>
        <w:rPr>
          <w:sz w:val="17"/>
        </w:rPr>
        <w:t xml:space="preserve">The estimated net loss and prior service cost for the defined benefit pension plan that will be amortized from accumulated other comprehensive income into net periodic benefit cost over the next fiscal year will be $356,000 and $304,000, respectively.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The following weighted average assumptions were used to determine the plan benefit obligations at December 31, 2012 and 2011: </w:t>
      </w:r>
    </w:p>
    <w:p>
      <w:pPr>
        <w:pStyle w:val="TextBody"/>
        <w:spacing w:lineRule="auto" w:line="240" w:before="0" w:after="0"/>
        <w:ind w:left="1440" w:right="0" w:hanging="0"/>
        <w:jc w:val="both"/>
        <w:rPr/>
      </w:pPr>
      <w:r>
        <w:rPr/>
        <w:t xml:space="preserve">  </w:t>
      </w:r>
    </w:p>
    <w:tbl>
      <w:tblPr>
        <w:tblW w:w="3210" w:type="dxa"/>
        <w:jc w:val="left"/>
        <w:tblInd w:w="1440" w:type="dxa"/>
        <w:tblCellMar>
          <w:top w:w="0" w:type="dxa"/>
          <w:left w:w="0" w:type="dxa"/>
          <w:bottom w:w="0" w:type="dxa"/>
          <w:right w:w="0" w:type="dxa"/>
        </w:tblCellMar>
      </w:tblPr>
      <w:tblGrid>
        <w:gridCol w:w="2135"/>
        <w:gridCol w:w="60"/>
        <w:gridCol w:w="470"/>
        <w:gridCol w:w="60"/>
        <w:gridCol w:w="485"/>
      </w:tblGrid>
      <w:tr>
        <w:trPr/>
        <w:tc>
          <w:tcPr>
            <w:tcW w:w="213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85" w:type="dxa"/>
            <w:tcBorders/>
            <w:shd w:fill="auto" w:val="clear"/>
            <w:vAlign w:val="bottom"/>
          </w:tcPr>
          <w:p>
            <w:pPr>
              <w:pStyle w:val="TableContents"/>
              <w:spacing w:before="0" w:after="1"/>
              <w:ind w:left="0" w:right="0" w:hanging="0"/>
              <w:jc w:val="both"/>
              <w:rPr/>
            </w:pPr>
            <w:r>
              <w:rPr/>
              <w:t> </w:t>
            </w:r>
          </w:p>
        </w:tc>
      </w:tr>
      <w:tr>
        <w:trPr/>
        <w:tc>
          <w:tcPr>
            <w:tcW w:w="213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85" w:type="dxa"/>
            <w:tcBorders/>
            <w:shd w:fill="auto" w:val="clear"/>
            <w:vAlign w:val="bottom"/>
          </w:tcPr>
          <w:p>
            <w:pPr>
              <w:pStyle w:val="TableContents"/>
              <w:spacing w:before="0" w:after="1"/>
              <w:ind w:left="0" w:right="0" w:hanging="0"/>
              <w:jc w:val="both"/>
              <w:rPr/>
            </w:pPr>
            <w:r>
              <w:rPr/>
              <w:t> </w:t>
            </w:r>
          </w:p>
        </w:tc>
      </w:tr>
      <w:tr>
        <w:trPr/>
        <w:tc>
          <w:tcPr>
            <w:tcW w:w="213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47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48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2135"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Discount rate</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470" w:type="dxa"/>
            <w:tcBorders>
              <w:top w:val="single" w:sz="8" w:space="0" w:color="000000"/>
            </w:tcBorders>
            <w:shd w:fill="auto" w:val="clear"/>
            <w:tcMar>
              <w:top w:w="28" w:type="dxa"/>
            </w:tcMar>
            <w:vAlign w:val="bottom"/>
          </w:tcPr>
          <w:p>
            <w:pPr>
              <w:pStyle w:val="TableContents"/>
              <w:spacing w:before="0" w:after="1"/>
              <w:ind w:left="0" w:right="0" w:hanging="0"/>
              <w:jc w:val="center"/>
              <w:rPr>
                <w:sz w:val="17"/>
              </w:rPr>
            </w:pPr>
            <w:r>
              <w:rPr>
                <w:sz w:val="17"/>
              </w:rPr>
              <w:t>3.40%</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485" w:type="dxa"/>
            <w:tcBorders>
              <w:top w:val="single" w:sz="8" w:space="0" w:color="000000"/>
            </w:tcBorders>
            <w:shd w:fill="auto" w:val="clear"/>
            <w:tcMar>
              <w:top w:w="28" w:type="dxa"/>
            </w:tcMar>
            <w:vAlign w:val="bottom"/>
          </w:tcPr>
          <w:p>
            <w:pPr>
              <w:pStyle w:val="TableContents"/>
              <w:spacing w:before="0" w:after="1"/>
              <w:ind w:left="0" w:right="0" w:hanging="0"/>
              <w:jc w:val="center"/>
              <w:rPr>
                <w:sz w:val="17"/>
              </w:rPr>
            </w:pPr>
            <w:r>
              <w:rPr>
                <w:sz w:val="17"/>
              </w:rPr>
              <w:t>4.25%</w:t>
            </w:r>
          </w:p>
        </w:tc>
      </w:tr>
      <w:tr>
        <w:trPr/>
        <w:tc>
          <w:tcPr>
            <w:tcW w:w="2135" w:type="dxa"/>
            <w:tcBorders/>
            <w:shd w:fill="auto" w:val="clear"/>
            <w:vAlign w:val="bottom"/>
          </w:tcPr>
          <w:p>
            <w:pPr>
              <w:pStyle w:val="TableContents"/>
              <w:spacing w:before="0" w:after="1"/>
              <w:ind w:left="0" w:right="0" w:hanging="0"/>
              <w:jc w:val="both"/>
              <w:rPr>
                <w:sz w:val="17"/>
              </w:rPr>
            </w:pPr>
            <w:r>
              <w:rPr>
                <w:sz w:val="17"/>
              </w:rPr>
              <w:t>Rate of compensation increase</w:t>
            </w:r>
          </w:p>
        </w:tc>
        <w:tc>
          <w:tcPr>
            <w:tcW w:w="6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center"/>
              <w:rPr>
                <w:sz w:val="17"/>
              </w:rPr>
            </w:pPr>
            <w:r>
              <w:rPr>
                <w:sz w:val="17"/>
              </w:rPr>
              <w:t>3.50%</w:t>
            </w:r>
          </w:p>
        </w:tc>
        <w:tc>
          <w:tcPr>
            <w:tcW w:w="60" w:type="dxa"/>
            <w:tcBorders/>
            <w:shd w:fill="auto" w:val="clear"/>
            <w:vAlign w:val="bottom"/>
          </w:tcPr>
          <w:p>
            <w:pPr>
              <w:pStyle w:val="TableContents"/>
              <w:spacing w:before="0" w:after="1"/>
              <w:ind w:left="0" w:right="0" w:hanging="0"/>
              <w:jc w:val="right"/>
              <w:rPr/>
            </w:pPr>
            <w:r>
              <w:rPr/>
              <w:t> </w:t>
            </w:r>
          </w:p>
        </w:tc>
        <w:tc>
          <w:tcPr>
            <w:tcW w:w="485" w:type="dxa"/>
            <w:tcBorders/>
            <w:shd w:fill="auto" w:val="clear"/>
            <w:vAlign w:val="bottom"/>
          </w:tcPr>
          <w:p>
            <w:pPr>
              <w:pStyle w:val="TableContents"/>
              <w:spacing w:before="0" w:after="1"/>
              <w:ind w:left="0" w:right="0" w:hanging="0"/>
              <w:jc w:val="center"/>
              <w:rPr>
                <w:sz w:val="17"/>
              </w:rPr>
            </w:pPr>
            <w:r>
              <w:rPr>
                <w:sz w:val="17"/>
              </w:rPr>
              <w:t>3.50%</w:t>
            </w:r>
          </w:p>
        </w:tc>
      </w:tr>
    </w:tbl>
    <w:p>
      <w:pPr>
        <w:pStyle w:val="TextBody"/>
        <w:pBdr/>
        <w:spacing w:lineRule="auto" w:line="240" w:before="100" w:after="100"/>
        <w:ind w:left="1440" w:right="0" w:hanging="0"/>
        <w:jc w:val="left"/>
        <w:rPr>
          <w:sz w:val="17"/>
        </w:rPr>
      </w:pPr>
      <w:r>
        <w:rPr>
          <w:sz w:val="17"/>
        </w:rPr>
        <w:t xml:space="preserve">The following weighted-average assumptions were used to determine net periodic benefit cost for the year ended December 31, 2012 and 2011: </w:t>
      </w:r>
    </w:p>
    <w:p>
      <w:pPr>
        <w:pStyle w:val="TextBody"/>
        <w:pBdr/>
        <w:spacing w:lineRule="auto" w:line="240" w:before="0" w:after="0"/>
        <w:ind w:left="1440" w:right="0" w:hanging="0"/>
        <w:jc w:val="both"/>
        <w:rPr/>
      </w:pPr>
      <w:r>
        <w:rPr/>
        <w:t xml:space="preserve">  </w:t>
      </w:r>
    </w:p>
    <w:tbl>
      <w:tblPr>
        <w:tblW w:w="3945" w:type="dxa"/>
        <w:jc w:val="left"/>
        <w:tblInd w:w="1440" w:type="dxa"/>
        <w:tblCellMar>
          <w:top w:w="0" w:type="dxa"/>
          <w:left w:w="0" w:type="dxa"/>
          <w:bottom w:w="0" w:type="dxa"/>
          <w:right w:w="0" w:type="dxa"/>
        </w:tblCellMar>
      </w:tblPr>
      <w:tblGrid>
        <w:gridCol w:w="2870"/>
        <w:gridCol w:w="60"/>
        <w:gridCol w:w="470"/>
        <w:gridCol w:w="60"/>
        <w:gridCol w:w="485"/>
      </w:tblGrid>
      <w:tr>
        <w:trPr/>
        <w:tc>
          <w:tcPr>
            <w:tcW w:w="28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85" w:type="dxa"/>
            <w:tcBorders/>
            <w:shd w:fill="auto" w:val="clear"/>
            <w:vAlign w:val="bottom"/>
          </w:tcPr>
          <w:p>
            <w:pPr>
              <w:pStyle w:val="TableContents"/>
              <w:spacing w:before="0" w:after="1"/>
              <w:ind w:left="0" w:right="0" w:hanging="0"/>
              <w:jc w:val="both"/>
              <w:rPr/>
            </w:pPr>
            <w:r>
              <w:rPr/>
              <w:t> </w:t>
            </w:r>
          </w:p>
        </w:tc>
      </w:tr>
      <w:tr>
        <w:trPr/>
        <w:tc>
          <w:tcPr>
            <w:tcW w:w="28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485" w:type="dxa"/>
            <w:tcBorders/>
            <w:shd w:fill="auto" w:val="clear"/>
            <w:vAlign w:val="bottom"/>
          </w:tcPr>
          <w:p>
            <w:pPr>
              <w:pStyle w:val="TableContents"/>
              <w:spacing w:before="0" w:after="1"/>
              <w:ind w:left="0" w:right="0" w:hanging="0"/>
              <w:jc w:val="both"/>
              <w:rPr/>
            </w:pPr>
            <w:r>
              <w:rPr/>
              <w:t> </w:t>
            </w:r>
          </w:p>
        </w:tc>
      </w:tr>
      <w:tr>
        <w:trPr/>
        <w:tc>
          <w:tcPr>
            <w:tcW w:w="287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47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48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287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Discount rate</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470"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4.25%</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485"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5.10%</w:t>
            </w:r>
          </w:p>
        </w:tc>
      </w:tr>
      <w:tr>
        <w:trPr/>
        <w:tc>
          <w:tcPr>
            <w:tcW w:w="2870" w:type="dxa"/>
            <w:tcBorders/>
            <w:shd w:fill="FFFFFF" w:val="clear"/>
            <w:vAlign w:val="bottom"/>
          </w:tcPr>
          <w:p>
            <w:pPr>
              <w:pStyle w:val="TableContents"/>
              <w:spacing w:before="0" w:after="1"/>
              <w:ind w:left="0" w:right="0" w:hanging="0"/>
              <w:jc w:val="both"/>
              <w:rPr>
                <w:sz w:val="17"/>
              </w:rPr>
            </w:pPr>
            <w:r>
              <w:rPr>
                <w:sz w:val="17"/>
              </w:rPr>
              <w:t>Expected long-term return on plan assets</w:t>
            </w:r>
          </w:p>
        </w:tc>
        <w:tc>
          <w:tcPr>
            <w:tcW w:w="60" w:type="dxa"/>
            <w:tcBorders/>
            <w:shd w:fill="FFFFFF" w:val="clear"/>
            <w:vAlign w:val="bottom"/>
          </w:tcPr>
          <w:p>
            <w:pPr>
              <w:pStyle w:val="TableContents"/>
              <w:spacing w:before="0" w:after="1"/>
              <w:ind w:left="0" w:right="0" w:hanging="0"/>
              <w:jc w:val="both"/>
              <w:rPr/>
            </w:pPr>
            <w:r>
              <w:rPr/>
              <w:t> </w:t>
            </w:r>
          </w:p>
        </w:tc>
        <w:tc>
          <w:tcPr>
            <w:tcW w:w="470" w:type="dxa"/>
            <w:tcBorders/>
            <w:shd w:fill="FFFFFF" w:val="clear"/>
            <w:vAlign w:val="bottom"/>
          </w:tcPr>
          <w:p>
            <w:pPr>
              <w:pStyle w:val="TableContents"/>
              <w:spacing w:before="0" w:after="1"/>
              <w:ind w:left="0" w:right="0" w:hanging="0"/>
              <w:jc w:val="center"/>
              <w:rPr>
                <w:sz w:val="17"/>
              </w:rPr>
            </w:pPr>
            <w:r>
              <w:rPr>
                <w:sz w:val="17"/>
              </w:rPr>
              <w:t>0.00%</w:t>
            </w:r>
          </w:p>
        </w:tc>
        <w:tc>
          <w:tcPr>
            <w:tcW w:w="60" w:type="dxa"/>
            <w:tcBorders/>
            <w:shd w:fill="FFFFFF" w:val="clear"/>
            <w:vAlign w:val="bottom"/>
          </w:tcPr>
          <w:p>
            <w:pPr>
              <w:pStyle w:val="TableContents"/>
              <w:spacing w:before="0" w:after="1"/>
              <w:ind w:left="0" w:right="0" w:hanging="0"/>
              <w:jc w:val="right"/>
              <w:rPr/>
            </w:pPr>
            <w:r>
              <w:rPr/>
              <w:t> </w:t>
            </w:r>
          </w:p>
        </w:tc>
        <w:tc>
          <w:tcPr>
            <w:tcW w:w="485" w:type="dxa"/>
            <w:tcBorders/>
            <w:shd w:fill="FFFFFF" w:val="clear"/>
            <w:vAlign w:val="bottom"/>
          </w:tcPr>
          <w:p>
            <w:pPr>
              <w:pStyle w:val="TableContents"/>
              <w:spacing w:before="0" w:after="1"/>
              <w:ind w:left="0" w:right="0" w:hanging="0"/>
              <w:jc w:val="center"/>
              <w:rPr>
                <w:sz w:val="17"/>
              </w:rPr>
            </w:pPr>
            <w:r>
              <w:rPr>
                <w:sz w:val="17"/>
              </w:rPr>
              <w:t>0.00%</w:t>
            </w:r>
          </w:p>
        </w:tc>
      </w:tr>
      <w:tr>
        <w:trPr/>
        <w:tc>
          <w:tcPr>
            <w:tcW w:w="2870" w:type="dxa"/>
            <w:tcBorders/>
            <w:shd w:fill="CCEEFF" w:val="clear"/>
            <w:vAlign w:val="bottom"/>
          </w:tcPr>
          <w:p>
            <w:pPr>
              <w:pStyle w:val="TableContents"/>
              <w:spacing w:before="0" w:after="1"/>
              <w:ind w:left="0" w:right="0" w:hanging="0"/>
              <w:jc w:val="both"/>
              <w:rPr>
                <w:sz w:val="17"/>
              </w:rPr>
            </w:pPr>
            <w:r>
              <w:rPr>
                <w:sz w:val="17"/>
              </w:rPr>
              <w:t>Rate of compensation increase</w:t>
            </w:r>
          </w:p>
        </w:tc>
        <w:tc>
          <w:tcPr>
            <w:tcW w:w="60" w:type="dxa"/>
            <w:tcBorders/>
            <w:shd w:fill="CCEEFF" w:val="clear"/>
            <w:vAlign w:val="bottom"/>
          </w:tcPr>
          <w:p>
            <w:pPr>
              <w:pStyle w:val="TableContents"/>
              <w:spacing w:before="0" w:after="1"/>
              <w:ind w:left="0" w:right="0" w:hanging="0"/>
              <w:jc w:val="both"/>
              <w:rPr/>
            </w:pPr>
            <w:r>
              <w:rPr/>
              <w:t> </w:t>
            </w:r>
          </w:p>
        </w:tc>
        <w:tc>
          <w:tcPr>
            <w:tcW w:w="470" w:type="dxa"/>
            <w:tcBorders/>
            <w:shd w:fill="CCEEFF" w:val="clear"/>
            <w:vAlign w:val="bottom"/>
          </w:tcPr>
          <w:p>
            <w:pPr>
              <w:pStyle w:val="TableContents"/>
              <w:spacing w:before="0" w:after="1"/>
              <w:ind w:left="0" w:right="0" w:hanging="0"/>
              <w:jc w:val="center"/>
              <w:rPr>
                <w:sz w:val="17"/>
              </w:rPr>
            </w:pPr>
            <w:r>
              <w:rPr>
                <w:sz w:val="17"/>
              </w:rPr>
              <w:t>3.50%</w:t>
            </w:r>
          </w:p>
        </w:tc>
        <w:tc>
          <w:tcPr>
            <w:tcW w:w="60" w:type="dxa"/>
            <w:tcBorders/>
            <w:shd w:fill="CCEEFF" w:val="clear"/>
            <w:vAlign w:val="bottom"/>
          </w:tcPr>
          <w:p>
            <w:pPr>
              <w:pStyle w:val="TableContents"/>
              <w:spacing w:before="0" w:after="1"/>
              <w:ind w:left="0" w:right="0" w:hanging="0"/>
              <w:jc w:val="right"/>
              <w:rPr/>
            </w:pPr>
            <w:r>
              <w:rPr/>
              <w:t> </w:t>
            </w:r>
          </w:p>
        </w:tc>
        <w:tc>
          <w:tcPr>
            <w:tcW w:w="485" w:type="dxa"/>
            <w:tcBorders/>
            <w:shd w:fill="CCEEFF" w:val="clear"/>
            <w:vAlign w:val="bottom"/>
          </w:tcPr>
          <w:p>
            <w:pPr>
              <w:pStyle w:val="TableContents"/>
              <w:spacing w:before="0" w:after="1"/>
              <w:ind w:left="0" w:right="0" w:hanging="0"/>
              <w:jc w:val="center"/>
              <w:rPr>
                <w:sz w:val="17"/>
              </w:rPr>
            </w:pPr>
            <w:r>
              <w:rPr>
                <w:sz w:val="17"/>
              </w:rPr>
              <w:t>3.50%</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Other Pension Liabilities</w:t>
      </w:r>
      <w:r>
        <w:rPr>
          <w:sz w:val="17"/>
        </w:rPr>
        <w:t xml:space="preserve"> </w:t>
      </w:r>
    </w:p>
    <w:p>
      <w:pPr>
        <w:pStyle w:val="TextBody"/>
        <w:spacing w:before="0" w:after="200"/>
        <w:ind w:left="1440" w:right="0" w:hanging="0"/>
        <w:jc w:val="both"/>
        <w:rPr/>
      </w:pPr>
      <w:r>
        <w:rPr/>
        <w:t>            </w:t>
      </w:r>
      <w:r>
        <w:rPr>
          <w:sz w:val="17"/>
        </w:rPr>
        <w:t xml:space="preserve">In addition to the aforementioned SERP, we have defined contribution pension plans for selected current and former executives of our corporation resulting in a pension liability of $1.0 million and $778,000 at December 31, 2012 and 2011, respectively.  These pensions accrued $204,000 and $101,000 of pension expense for the years ended December 31, 2012 and 2011, respectively.  </w:t>
      </w:r>
    </w:p>
    <w:p>
      <w:pPr>
        <w:pStyle w:val="TextBody"/>
        <w:spacing w:before="0" w:after="200"/>
        <w:ind w:left="1440" w:right="0" w:hanging="0"/>
        <w:jc w:val="both"/>
        <w:rPr/>
      </w:pPr>
      <w:r>
        <w:rPr/>
        <w:t>            </w:t>
      </w:r>
      <w:r>
        <w:rPr>
          <w:sz w:val="17"/>
        </w:rPr>
        <w:t xml:space="preserve">The benefit payments for all of our pensions, which reflect expected future service, as appropriate, are expected to be paid over the following periods (dollars in thousands): </w:t>
      </w:r>
    </w:p>
    <w:p>
      <w:pPr>
        <w:pStyle w:val="TextBody"/>
        <w:spacing w:before="0" w:after="0"/>
        <w:ind w:left="1440" w:right="0" w:hanging="0"/>
        <w:jc w:val="both"/>
        <w:rPr/>
      </w:pPr>
      <w:r>
        <w:rPr/>
        <w:t xml:space="preserve">  </w:t>
      </w:r>
    </w:p>
    <w:tbl>
      <w:tblPr>
        <w:tblW w:w="3255" w:type="dxa"/>
        <w:jc w:val="left"/>
        <w:tblInd w:w="1440" w:type="dxa"/>
        <w:tblCellMar>
          <w:top w:w="0" w:type="dxa"/>
          <w:left w:w="0" w:type="dxa"/>
          <w:bottom w:w="0" w:type="dxa"/>
          <w:right w:w="0" w:type="dxa"/>
        </w:tblCellMar>
      </w:tblPr>
      <w:tblGrid>
        <w:gridCol w:w="1685"/>
        <w:gridCol w:w="60"/>
        <w:gridCol w:w="60"/>
        <w:gridCol w:w="110"/>
        <w:gridCol w:w="1340"/>
      </w:tblGrid>
      <w:tr>
        <w:trPr/>
        <w:tc>
          <w:tcPr>
            <w:tcW w:w="16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340" w:type="dxa"/>
            <w:tcBorders/>
            <w:shd w:fill="auto" w:val="clear"/>
            <w:vAlign w:val="bottom"/>
          </w:tcPr>
          <w:p>
            <w:pPr>
              <w:pStyle w:val="TableContents"/>
              <w:spacing w:before="0" w:after="1"/>
              <w:ind w:left="0" w:right="0" w:hanging="0"/>
              <w:jc w:val="both"/>
              <w:rPr/>
            </w:pPr>
            <w:r>
              <w:rPr/>
              <w:t> </w:t>
            </w:r>
          </w:p>
        </w:tc>
      </w:tr>
      <w:tr>
        <w:trPr/>
        <w:tc>
          <w:tcPr>
            <w:tcW w:w="16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340" w:type="dxa"/>
            <w:tcBorders/>
            <w:shd w:fill="auto" w:val="clear"/>
            <w:vAlign w:val="bottom"/>
          </w:tcPr>
          <w:p>
            <w:pPr>
              <w:pStyle w:val="TableContents"/>
              <w:spacing w:before="0" w:after="1"/>
              <w:ind w:left="0" w:right="0" w:hanging="0"/>
              <w:jc w:val="both"/>
              <w:rPr/>
            </w:pPr>
            <w:r>
              <w:rPr/>
              <w:t> </w:t>
            </w:r>
          </w:p>
        </w:tc>
      </w:tr>
      <w:tr>
        <w:trPr/>
        <w:tc>
          <w:tcPr>
            <w:tcW w:w="168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34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Pension Payments</w:t>
            </w:r>
          </w:p>
        </w:tc>
      </w:tr>
      <w:tr>
        <w:trPr/>
        <w:tc>
          <w:tcPr>
            <w:tcW w:w="168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2013</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34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13  </w:t>
            </w:r>
          </w:p>
        </w:tc>
      </w:tr>
      <w:tr>
        <w:trPr/>
        <w:tc>
          <w:tcPr>
            <w:tcW w:w="1685" w:type="dxa"/>
            <w:tcBorders/>
            <w:shd w:fill="FFFFFF" w:val="clear"/>
            <w:vAlign w:val="bottom"/>
          </w:tcPr>
          <w:p>
            <w:pPr>
              <w:pStyle w:val="TableContents"/>
              <w:spacing w:before="0" w:after="1"/>
              <w:ind w:left="0" w:right="0" w:hanging="0"/>
              <w:jc w:val="both"/>
              <w:rPr>
                <w:sz w:val="17"/>
              </w:rPr>
            </w:pPr>
            <w:r>
              <w:rPr>
                <w:sz w:val="17"/>
              </w:rPr>
              <w:t>2014</w:t>
            </w:r>
          </w:p>
        </w:tc>
        <w:tc>
          <w:tcPr>
            <w:tcW w:w="60" w:type="dxa"/>
            <w:tcBorders/>
            <w:shd w:fill="FFFFFF" w:val="clear"/>
            <w:vAlign w:val="bottom"/>
          </w:tcPr>
          <w:p>
            <w:pPr>
              <w:pStyle w:val="TableContents"/>
              <w:spacing w:before="0" w:after="1"/>
              <w:ind w:left="0" w:right="0" w:hanging="0"/>
              <w:jc w:val="right"/>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1340" w:type="dxa"/>
            <w:tcBorders/>
            <w:shd w:fill="FFFFFF" w:val="clear"/>
            <w:vAlign w:val="bottom"/>
          </w:tcPr>
          <w:p>
            <w:pPr>
              <w:pStyle w:val="TableContents"/>
              <w:spacing w:before="0" w:after="283"/>
              <w:jc w:val="right"/>
              <w:rPr>
                <w:sz w:val="17"/>
              </w:rPr>
            </w:pPr>
            <w:r>
              <w:rPr>
                <w:sz w:val="17"/>
              </w:rPr>
              <w:t xml:space="preserve">27  </w:t>
            </w:r>
          </w:p>
        </w:tc>
      </w:tr>
      <w:tr>
        <w:trPr/>
        <w:tc>
          <w:tcPr>
            <w:tcW w:w="1685" w:type="dxa"/>
            <w:tcBorders/>
            <w:shd w:fill="CCEEFF" w:val="clear"/>
            <w:vAlign w:val="bottom"/>
          </w:tcPr>
          <w:p>
            <w:pPr>
              <w:pStyle w:val="TableContents"/>
              <w:spacing w:before="0" w:after="1"/>
              <w:ind w:left="0" w:right="0" w:hanging="0"/>
              <w:jc w:val="both"/>
              <w:rPr>
                <w:sz w:val="17"/>
              </w:rPr>
            </w:pPr>
            <w:r>
              <w:rPr>
                <w:sz w:val="17"/>
              </w:rPr>
              <w:t>2015</w:t>
            </w:r>
          </w:p>
        </w:tc>
        <w:tc>
          <w:tcPr>
            <w:tcW w:w="60" w:type="dxa"/>
            <w:tcBorders/>
            <w:shd w:fill="CCEEFF" w:val="clear"/>
            <w:vAlign w:val="bottom"/>
          </w:tcPr>
          <w:p>
            <w:pPr>
              <w:pStyle w:val="TableContents"/>
              <w:spacing w:before="0" w:after="1"/>
              <w:ind w:left="0" w:right="0" w:hanging="0"/>
              <w:jc w:val="right"/>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1340" w:type="dxa"/>
            <w:tcBorders/>
            <w:shd w:fill="CCEEFF" w:val="clear"/>
            <w:vAlign w:val="bottom"/>
          </w:tcPr>
          <w:p>
            <w:pPr>
              <w:pStyle w:val="TableContents"/>
              <w:spacing w:before="0" w:after="283"/>
              <w:jc w:val="right"/>
              <w:rPr>
                <w:sz w:val="17"/>
              </w:rPr>
            </w:pPr>
            <w:r>
              <w:rPr>
                <w:sz w:val="17"/>
              </w:rPr>
              <w:t xml:space="preserve">44  </w:t>
            </w:r>
          </w:p>
        </w:tc>
      </w:tr>
      <w:tr>
        <w:trPr/>
        <w:tc>
          <w:tcPr>
            <w:tcW w:w="1685" w:type="dxa"/>
            <w:tcBorders/>
            <w:shd w:fill="FFFFFF" w:val="clear"/>
            <w:vAlign w:val="bottom"/>
          </w:tcPr>
          <w:p>
            <w:pPr>
              <w:pStyle w:val="TableContents"/>
              <w:spacing w:before="0" w:after="1"/>
              <w:ind w:left="0" w:right="0" w:hanging="0"/>
              <w:jc w:val="both"/>
              <w:rPr>
                <w:sz w:val="17"/>
              </w:rPr>
            </w:pPr>
            <w:r>
              <w:rPr>
                <w:sz w:val="17"/>
              </w:rPr>
              <w:t>2016</w:t>
            </w:r>
          </w:p>
        </w:tc>
        <w:tc>
          <w:tcPr>
            <w:tcW w:w="60" w:type="dxa"/>
            <w:tcBorders/>
            <w:shd w:fill="FFFFFF" w:val="clear"/>
            <w:vAlign w:val="bottom"/>
          </w:tcPr>
          <w:p>
            <w:pPr>
              <w:pStyle w:val="TableContents"/>
              <w:spacing w:before="0" w:after="1"/>
              <w:ind w:left="0" w:right="0" w:hanging="0"/>
              <w:jc w:val="right"/>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1340" w:type="dxa"/>
            <w:tcBorders/>
            <w:shd w:fill="FFFFFF" w:val="clear"/>
            <w:vAlign w:val="bottom"/>
          </w:tcPr>
          <w:p>
            <w:pPr>
              <w:pStyle w:val="TableContents"/>
              <w:spacing w:before="0" w:after="283"/>
              <w:jc w:val="right"/>
              <w:rPr>
                <w:sz w:val="17"/>
              </w:rPr>
            </w:pPr>
            <w:r>
              <w:rPr>
                <w:sz w:val="17"/>
              </w:rPr>
              <w:t xml:space="preserve">61  </w:t>
            </w:r>
          </w:p>
        </w:tc>
      </w:tr>
      <w:tr>
        <w:trPr/>
        <w:tc>
          <w:tcPr>
            <w:tcW w:w="1685" w:type="dxa"/>
            <w:tcBorders/>
            <w:shd w:fill="CCEEFF" w:val="clear"/>
            <w:vAlign w:val="bottom"/>
          </w:tcPr>
          <w:p>
            <w:pPr>
              <w:pStyle w:val="TableContents"/>
              <w:spacing w:before="0" w:after="1"/>
              <w:ind w:left="0" w:right="0" w:hanging="0"/>
              <w:jc w:val="both"/>
              <w:rPr>
                <w:sz w:val="17"/>
              </w:rPr>
            </w:pPr>
            <w:r>
              <w:rPr>
                <w:sz w:val="17"/>
              </w:rPr>
              <w:t>2017</w:t>
            </w:r>
          </w:p>
        </w:tc>
        <w:tc>
          <w:tcPr>
            <w:tcW w:w="60" w:type="dxa"/>
            <w:tcBorders/>
            <w:shd w:fill="CCEEFF" w:val="clear"/>
            <w:vAlign w:val="bottom"/>
          </w:tcPr>
          <w:p>
            <w:pPr>
              <w:pStyle w:val="TableContents"/>
              <w:spacing w:before="0" w:after="1"/>
              <w:ind w:left="0" w:right="0" w:hanging="0"/>
              <w:jc w:val="right"/>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1340" w:type="dxa"/>
            <w:tcBorders/>
            <w:shd w:fill="CCEEFF" w:val="clear"/>
            <w:vAlign w:val="bottom"/>
          </w:tcPr>
          <w:p>
            <w:pPr>
              <w:pStyle w:val="TableContents"/>
              <w:spacing w:before="0" w:after="283"/>
              <w:jc w:val="right"/>
              <w:rPr>
                <w:sz w:val="17"/>
              </w:rPr>
            </w:pPr>
            <w:r>
              <w:rPr>
                <w:sz w:val="17"/>
              </w:rPr>
              <w:t xml:space="preserve">481  </w:t>
            </w:r>
          </w:p>
        </w:tc>
      </w:tr>
      <w:tr>
        <w:trPr/>
        <w:tc>
          <w:tcPr>
            <w:tcW w:w="168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Thereafter</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34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6,350  </w:t>
            </w:r>
          </w:p>
        </w:tc>
      </w:tr>
      <w:tr>
        <w:trPr/>
        <w:tc>
          <w:tcPr>
            <w:tcW w:w="168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pension payments</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34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6,976 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u w:val="single"/>
        </w:rPr>
        <w:t>Note 19 - Commitments and Contingencies</w:t>
      </w:r>
      <w:r>
        <w:rPr>
          <w:sz w:val="17"/>
        </w:rPr>
        <w:t xml:space="preserve"> </w:t>
      </w:r>
    </w:p>
    <w:p>
      <w:pPr>
        <w:pStyle w:val="TextBody"/>
        <w:spacing w:before="0" w:after="200"/>
        <w:ind w:left="1440" w:right="0" w:hanging="0"/>
        <w:jc w:val="both"/>
        <w:rPr>
          <w:sz w:val="17"/>
        </w:rPr>
      </w:pPr>
      <w:r>
        <w:rPr>
          <w:sz w:val="17"/>
          <w:u w:val="single"/>
        </w:rPr>
        <w:t>Unconsolidated Joint Venture Loans</w:t>
      </w:r>
      <w:r>
        <w:rPr>
          <w:sz w:val="17"/>
        </w:rPr>
        <w:t xml:space="preserve"> </w:t>
      </w:r>
    </w:p>
    <w:p>
      <w:pPr>
        <w:pStyle w:val="TextBody"/>
        <w:spacing w:before="0" w:after="200"/>
        <w:ind w:left="1440" w:right="0" w:hanging="0"/>
        <w:jc w:val="both"/>
        <w:rPr/>
      </w:pPr>
      <w:r>
        <w:rPr/>
        <w:t>            </w:t>
      </w:r>
      <w:r>
        <w:rPr>
          <w:sz w:val="17"/>
        </w:rPr>
        <w:t xml:space="preserve">The following section describes any loans associated with our investments in unconsolidated joint ventures.  As these investments are unconsolidated, any associated bank loans are not reflected in our Consolidated Balance Sheet at December 31, 2012.  Each loan is without recourse to any assets other than our interests in the individual joint venture. </w:t>
      </w:r>
    </w:p>
    <w:p>
      <w:pPr>
        <w:pStyle w:val="TextBody"/>
        <w:spacing w:before="0" w:after="200"/>
        <w:ind w:left="1440" w:right="0" w:hanging="0"/>
        <w:jc w:val="both"/>
        <w:rPr>
          <w:sz w:val="17"/>
        </w:rPr>
      </w:pPr>
      <w:r>
        <w:rPr>
          <w:i/>
          <w:sz w:val="17"/>
        </w:rPr>
        <w:t>Rialto Distribution.</w:t>
      </w:r>
      <w:r>
        <w:rPr>
          <w:sz w:val="17"/>
        </w:rPr>
        <w:t xml:space="preserve">  We are the 33.3% co-owners of the assets of Rialto Distribution.  At December 31, 2012 and 2011, Rialto Distribution had a bank line of credit of $1.7 million (NZ$2.0 million) and $1.6 million (NZ$2.0 million), respectively, and had an outstanding balance of $703,000 (NZ$850,000) and $663,000 (NZ$850,000), respectively.  This loan is guaranteed by one of our subsidiaries to the extent of our ownership percentage. </w:t>
      </w:r>
    </w:p>
    <w:p>
      <w:pPr>
        <w:pStyle w:val="TextBody"/>
        <w:spacing w:before="0" w:after="200"/>
        <w:ind w:left="1440" w:right="0" w:hanging="0"/>
        <w:jc w:val="both"/>
        <w:rPr>
          <w:sz w:val="17"/>
          <w:u w:val="single"/>
        </w:rPr>
      </w:pPr>
      <w:r>
        <w:rPr>
          <w:sz w:val="17"/>
          <w:u w:val="single"/>
        </w:rPr>
        <w:t xml:space="preserve">Tax Audit/Litigation </w:t>
      </w:r>
    </w:p>
    <w:p>
      <w:pPr>
        <w:pStyle w:val="TextBody"/>
        <w:spacing w:before="0" w:after="200"/>
        <w:ind w:left="1440" w:right="0" w:firstLine="720"/>
        <w:jc w:val="both"/>
        <w:rPr>
          <w:sz w:val="17"/>
        </w:rPr>
      </w:pPr>
      <w:r>
        <w:rPr>
          <w:sz w:val="17"/>
        </w:rPr>
        <w:t xml:space="preserve">The Internal Revenue Service (the “IRS”) has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2012 and 2011, after the payments made during 2012 and 2011, respectively, the remaining federal tax obligation was $10.0 million and $13.5 million, respectively, in tax and interest.  Of the $10.0 million owed under the installment agreement as of December 31, 2012, $3.5 million was recorded as current taxes payable, with the remaining balance being recorded as non-current tax liability.  Of the $13.5 million owed under the installment agreement as of December 31, 2011, $3.5 million was recorded as current taxes payable, with the remaining balance being recorded as non-current tax liability. </w:t>
      </w:r>
    </w:p>
    <w:p>
      <w:pPr>
        <w:pStyle w:val="TextBody"/>
        <w:spacing w:before="0" w:after="200"/>
        <w:ind w:left="1440" w:right="0" w:firstLine="720"/>
        <w:jc w:val="both"/>
        <w:rPr>
          <w:sz w:val="17"/>
        </w:rPr>
      </w:pPr>
      <w:r>
        <w:rPr>
          <w:sz w:val="17"/>
        </w:rPr>
        <w:t xml:space="preserve">The impact of the settlement upon the state taxes of the Reading consolidated group, if the adjustment to income agreed with the IRS were reflected on state returns, would be an obligation of approximately $1.4 million in tax plus interest and potential penalty.  CRG’s 1997 tax year remains open with respect to CRG’s potential tax liability to the State of California.  As of December 31, 2012, no deficiency has been asserted by the State of California, and we have made no final decision as to the course of action to be followed when a deficiency is asserted. </w:t>
      </w:r>
    </w:p>
    <w:p>
      <w:pPr>
        <w:pStyle w:val="TextBody"/>
        <w:spacing w:before="0" w:after="200"/>
        <w:ind w:left="1440" w:right="0" w:hanging="0"/>
        <w:jc w:val="both"/>
        <w:rPr>
          <w:sz w:val="17"/>
        </w:rPr>
      </w:pPr>
      <w:r>
        <w:rPr>
          <w:sz w:val="17"/>
          <w:u w:val="single"/>
        </w:rPr>
        <w:t>Environmental and Asbestos Claims</w:t>
      </w:r>
      <w:r>
        <w:rPr>
          <w:sz w:val="17"/>
        </w:rPr>
        <w:t xml:space="preserve"> </w:t>
      </w:r>
    </w:p>
    <w:p>
      <w:pPr>
        <w:pStyle w:val="TextBody"/>
        <w:spacing w:before="0" w:after="200"/>
        <w:ind w:left="1440" w:right="0" w:firstLine="720"/>
        <w:jc w:val="both"/>
        <w:rPr>
          <w:sz w:val="17"/>
        </w:rPr>
      </w:pPr>
      <w:r>
        <w:rPr>
          <w:sz w:val="17"/>
        </w:rPr>
        <w:t xml:space="preserve">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 </w:t>
      </w:r>
    </w:p>
    <w:p>
      <w:pPr>
        <w:pStyle w:val="TextBody"/>
        <w:spacing w:before="0" w:after="200"/>
        <w:ind w:left="1440" w:right="0" w:firstLine="720"/>
        <w:jc w:val="both"/>
        <w:rPr>
          <w:sz w:val="17"/>
        </w:rPr>
      </w:pPr>
      <w:r>
        <w:rPr>
          <w:sz w:val="17"/>
        </w:rPr>
        <w:t xml:space="preserve">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 </w:t>
      </w:r>
    </w:p>
    <w:p>
      <w:pPr>
        <w:pStyle w:val="TextBody"/>
        <w:spacing w:before="0" w:after="200"/>
        <w:ind w:left="1440" w:right="0" w:firstLine="720"/>
        <w:jc w:val="both"/>
        <w:rPr>
          <w:sz w:val="17"/>
        </w:rPr>
      </w:pPr>
      <w:r>
        <w:rPr>
          <w:sz w:val="17"/>
        </w:rPr>
        <w:t xml:space="preserve">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2012, we estimate that the total site preparation costs associated with the removal of this contaminated soil will be $17.7 million (AUS$17.1 million) and as of that date we had incurred a total of $8.6 million (AUS$8.3 million) of these costs.  We do not believe that this has added materially to the overall development cost of the site, as it is anticipated that all of the work will be done in connection with the excavation and other development activity already contemplated for the property.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firstLine="720"/>
        <w:jc w:val="both"/>
        <w:rPr/>
      </w:pPr>
      <w:r>
        <w:rPr/>
        <w:t xml:space="preserve">  </w:t>
      </w:r>
    </w:p>
    <w:p>
      <w:pPr>
        <w:pStyle w:val="TextBody"/>
        <w:spacing w:before="0" w:after="200"/>
        <w:ind w:left="1440" w:right="0" w:hanging="0"/>
        <w:jc w:val="both"/>
        <w:rPr>
          <w:sz w:val="17"/>
        </w:rPr>
      </w:pPr>
      <w:r>
        <w:rPr>
          <w:b/>
          <w:sz w:val="17"/>
          <w:u w:val="single"/>
        </w:rPr>
        <w:t>Note 20 – Noncontrolling interests</w:t>
      </w:r>
      <w:r>
        <w:rPr>
          <w:sz w:val="17"/>
        </w:rPr>
        <w:t xml:space="preserve"> </w:t>
      </w:r>
    </w:p>
    <w:p>
      <w:pPr>
        <w:pStyle w:val="TextBody"/>
        <w:spacing w:before="0" w:after="200"/>
        <w:ind w:left="1440" w:right="0" w:hanging="0"/>
        <w:jc w:val="both"/>
        <w:rPr/>
      </w:pPr>
      <w:r>
        <w:rPr/>
        <w:t>            </w:t>
      </w:r>
      <w:r>
        <w:rPr>
          <w:sz w:val="17"/>
        </w:rPr>
        <w:t xml:space="preserve">As of December 31, 2012, the noncontrolling interests in our consolidated subsidiaries are comprised of the following: </w:t>
      </w:r>
    </w:p>
    <w:tbl>
      <w:tblPr>
        <w:tblW w:w="7450" w:type="dxa"/>
        <w:jc w:val="left"/>
        <w:tblInd w:w="1440" w:type="dxa"/>
        <w:tblCellMar>
          <w:top w:w="0" w:type="dxa"/>
          <w:left w:w="0" w:type="dxa"/>
          <w:bottom w:w="0" w:type="dxa"/>
          <w:right w:w="0" w:type="dxa"/>
        </w:tblCellMar>
      </w:tblPr>
      <w:tblGrid>
        <w:gridCol w:w="155"/>
        <w:gridCol w:w="729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295" w:type="dxa"/>
            <w:tcBorders/>
            <w:shd w:fill="auto" w:val="clear"/>
          </w:tcPr>
          <w:p>
            <w:pPr>
              <w:pStyle w:val="TableContents"/>
              <w:pBdr/>
              <w:spacing w:before="0" w:after="283"/>
              <w:jc w:val="both"/>
              <w:rPr>
                <w:sz w:val="17"/>
              </w:rPr>
            </w:pPr>
            <w:r>
              <w:rPr>
                <w:sz w:val="17"/>
              </w:rPr>
              <w:t>50% of membership interest in Angelika Film Center LLC (“AFC LLC”) owned by a subsidiary of iDNA</w:t>
            </w:r>
          </w:p>
        </w:tc>
      </w:tr>
    </w:tbl>
    <w:tbl>
      <w:tblPr>
        <w:tblW w:w="6100" w:type="dxa"/>
        <w:jc w:val="left"/>
        <w:tblInd w:w="1440" w:type="dxa"/>
        <w:tblCellMar>
          <w:top w:w="0" w:type="dxa"/>
          <w:left w:w="0" w:type="dxa"/>
          <w:bottom w:w="0" w:type="dxa"/>
          <w:right w:w="0" w:type="dxa"/>
        </w:tblCellMar>
      </w:tblPr>
      <w:tblGrid>
        <w:gridCol w:w="155"/>
        <w:gridCol w:w="594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5945" w:type="dxa"/>
            <w:tcBorders/>
            <w:shd w:fill="auto" w:val="clear"/>
          </w:tcPr>
          <w:p>
            <w:pPr>
              <w:pStyle w:val="TableContents"/>
              <w:pBdr/>
              <w:spacing w:before="0" w:after="283"/>
              <w:jc w:val="both"/>
              <w:rPr>
                <w:sz w:val="17"/>
              </w:rPr>
            </w:pPr>
            <w:r>
              <w:rPr>
                <w:sz w:val="17"/>
              </w:rPr>
              <w:t xml:space="preserve">25% noncontrolling interest in Australian Country Cinemas by 21st Century Pty, Ltd </w:t>
            </w:r>
          </w:p>
        </w:tc>
      </w:tr>
    </w:tbl>
    <w:tbl>
      <w:tblPr>
        <w:tblW w:w="8680" w:type="dxa"/>
        <w:jc w:val="left"/>
        <w:tblInd w:w="1440" w:type="dxa"/>
        <w:tblCellMar>
          <w:top w:w="0" w:type="dxa"/>
          <w:left w:w="0" w:type="dxa"/>
          <w:bottom w:w="0" w:type="dxa"/>
          <w:right w:w="0" w:type="dxa"/>
        </w:tblCellMar>
      </w:tblPr>
      <w:tblGrid>
        <w:gridCol w:w="155"/>
        <w:gridCol w:w="852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525" w:type="dxa"/>
            <w:tcBorders/>
            <w:shd w:fill="auto" w:val="clear"/>
          </w:tcPr>
          <w:p>
            <w:pPr>
              <w:pStyle w:val="TableContents"/>
              <w:pBdr/>
              <w:spacing w:before="0" w:after="283"/>
              <w:jc w:val="both"/>
              <w:rPr>
                <w:sz w:val="17"/>
              </w:rPr>
            </w:pPr>
            <w:r>
              <w:rPr>
                <w:sz w:val="17"/>
              </w:rPr>
              <w:t>50% noncontrolling membership interest in Shadow View Land and Farming, LLC owned by Mr. James J. Cotter, Sr.; and</w:t>
            </w:r>
          </w:p>
        </w:tc>
      </w:tr>
    </w:tbl>
    <w:tbl>
      <w:tblPr>
        <w:tblW w:w="6955" w:type="dxa"/>
        <w:jc w:val="left"/>
        <w:tblInd w:w="1440" w:type="dxa"/>
        <w:tblCellMar>
          <w:top w:w="0" w:type="dxa"/>
          <w:left w:w="0" w:type="dxa"/>
          <w:bottom w:w="0" w:type="dxa"/>
          <w:right w:w="0" w:type="dxa"/>
        </w:tblCellMar>
      </w:tblPr>
      <w:tblGrid>
        <w:gridCol w:w="155"/>
        <w:gridCol w:w="680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6800" w:type="dxa"/>
            <w:tcBorders/>
            <w:shd w:fill="auto" w:val="clear"/>
          </w:tcPr>
          <w:p>
            <w:pPr>
              <w:pStyle w:val="TableContents"/>
              <w:pBdr/>
              <w:spacing w:before="0" w:after="283"/>
              <w:jc w:val="both"/>
              <w:rPr>
                <w:sz w:val="17"/>
              </w:rPr>
            </w:pPr>
            <w:r>
              <w:rPr>
                <w:sz w:val="17"/>
              </w:rPr>
              <w:t>25% noncontrolling interest in the Sutton Hill Properties, LLC owned by Sutton Hill Capital, LLC</w:t>
            </w:r>
          </w:p>
        </w:tc>
      </w:tr>
    </w:tbl>
    <w:p>
      <w:pPr>
        <w:pStyle w:val="TextBody"/>
        <w:spacing w:before="200" w:after="200"/>
        <w:ind w:left="1440" w:right="0" w:hanging="0"/>
        <w:jc w:val="both"/>
        <w:rPr>
          <w:sz w:val="17"/>
        </w:rPr>
      </w:pPr>
      <w:r>
        <w:rPr>
          <w:sz w:val="17"/>
        </w:rPr>
        <w:t xml:space="preserve">The components of noncontrolling interest are as follows (dollars in thousands): </w:t>
      </w:r>
    </w:p>
    <w:p>
      <w:pPr>
        <w:pStyle w:val="TextBody"/>
        <w:spacing w:before="0" w:after="0"/>
        <w:ind w:left="1440" w:right="0" w:firstLine="720"/>
        <w:jc w:val="both"/>
        <w:rPr/>
      </w:pPr>
      <w:r>
        <w:rPr/>
        <w:t xml:space="preserve">  </w:t>
      </w:r>
    </w:p>
    <w:tbl>
      <w:tblPr>
        <w:tblW w:w="4900" w:type="dxa"/>
        <w:jc w:val="left"/>
        <w:tblInd w:w="1440" w:type="dxa"/>
        <w:tblCellMar>
          <w:top w:w="0" w:type="dxa"/>
          <w:left w:w="0" w:type="dxa"/>
          <w:bottom w:w="0" w:type="dxa"/>
          <w:right w:w="0" w:type="dxa"/>
        </w:tblCellMar>
      </w:tblPr>
      <w:tblGrid>
        <w:gridCol w:w="3635"/>
        <w:gridCol w:w="110"/>
        <w:gridCol w:w="515"/>
        <w:gridCol w:w="110"/>
        <w:gridCol w:w="530"/>
      </w:tblGrid>
      <w:tr>
        <w:trPr/>
        <w:tc>
          <w:tcPr>
            <w:tcW w:w="36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36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30" w:type="dxa"/>
            <w:tcBorders/>
            <w:shd w:fill="auto" w:val="clear"/>
            <w:vAlign w:val="bottom"/>
          </w:tcPr>
          <w:p>
            <w:pPr>
              <w:pStyle w:val="TableContents"/>
              <w:spacing w:before="0" w:after="1"/>
              <w:ind w:left="0" w:right="0" w:hanging="0"/>
              <w:jc w:val="both"/>
              <w:rPr/>
            </w:pPr>
            <w:r>
              <w:rPr/>
              <w:t> </w:t>
            </w:r>
          </w:p>
        </w:tc>
      </w:tr>
      <w:tr>
        <w:trPr/>
        <w:tc>
          <w:tcPr>
            <w:tcW w:w="36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5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December 31,</w:t>
            </w:r>
          </w:p>
        </w:tc>
      </w:tr>
      <w:tr>
        <w:trPr/>
        <w:tc>
          <w:tcPr>
            <w:tcW w:w="363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2012</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5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2011</w:t>
            </w:r>
          </w:p>
        </w:tc>
      </w:tr>
      <w:tr>
        <w:trPr/>
        <w:tc>
          <w:tcPr>
            <w:tcW w:w="363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AFC LLC</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1,737 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3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1,125  </w:t>
            </w:r>
          </w:p>
        </w:tc>
      </w:tr>
      <w:tr>
        <w:trPr/>
        <w:tc>
          <w:tcPr>
            <w:tcW w:w="3635" w:type="dxa"/>
            <w:tcBorders/>
            <w:shd w:fill="FFFFFF" w:val="clear"/>
            <w:vAlign w:val="bottom"/>
          </w:tcPr>
          <w:p>
            <w:pPr>
              <w:pStyle w:val="TableContents"/>
              <w:spacing w:before="0" w:after="1"/>
              <w:ind w:left="0" w:right="0" w:hanging="0"/>
              <w:jc w:val="both"/>
              <w:rPr>
                <w:sz w:val="17"/>
              </w:rPr>
            </w:pPr>
            <w:r>
              <w:rPr>
                <w:sz w:val="17"/>
              </w:rPr>
              <w:t>Australian Country Cinemas</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601 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283"/>
              <w:jc w:val="right"/>
              <w:rPr>
                <w:sz w:val="17"/>
              </w:rPr>
            </w:pPr>
            <w:r>
              <w:rPr>
                <w:sz w:val="17"/>
              </w:rPr>
              <w:t xml:space="preserve">360  </w:t>
            </w:r>
          </w:p>
        </w:tc>
      </w:tr>
      <w:tr>
        <w:trPr/>
        <w:tc>
          <w:tcPr>
            <w:tcW w:w="3635" w:type="dxa"/>
            <w:tcBorders/>
            <w:shd w:fill="CCEEFF" w:val="clear"/>
            <w:vAlign w:val="bottom"/>
          </w:tcPr>
          <w:p>
            <w:pPr>
              <w:pStyle w:val="TableContents"/>
              <w:spacing w:before="0" w:after="1"/>
              <w:ind w:left="0" w:right="0" w:hanging="0"/>
              <w:jc w:val="both"/>
              <w:rPr>
                <w:sz w:val="17"/>
              </w:rPr>
            </w:pPr>
            <w:r>
              <w:rPr>
                <w:sz w:val="17"/>
              </w:rPr>
              <w:t>Elsternwick unincorporated joint venture</w:t>
            </w:r>
          </w:p>
        </w:tc>
        <w:tc>
          <w:tcPr>
            <w:tcW w:w="110" w:type="dxa"/>
            <w:tcBorders/>
            <w:shd w:fill="CCEEFF" w:val="clear"/>
            <w:vAlign w:val="bottom"/>
          </w:tcPr>
          <w:p>
            <w:pPr>
              <w:pStyle w:val="TableContents"/>
              <w:spacing w:before="0" w:after="1"/>
              <w:ind w:left="0" w:right="0" w:hanging="0"/>
              <w:jc w:val="right"/>
              <w:rPr/>
            </w:pPr>
            <w:r>
              <w:rPr/>
              <w:t> </w:t>
            </w:r>
          </w:p>
        </w:tc>
        <w:tc>
          <w:tcPr>
            <w:tcW w:w="51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530" w:type="dxa"/>
            <w:tcBorders/>
            <w:shd w:fill="CCEEFF" w:val="clear"/>
            <w:vAlign w:val="bottom"/>
          </w:tcPr>
          <w:p>
            <w:pPr>
              <w:pStyle w:val="TableContents"/>
              <w:spacing w:before="0" w:after="1"/>
              <w:ind w:left="0" w:right="65" w:hanging="0"/>
              <w:jc w:val="right"/>
              <w:rPr>
                <w:sz w:val="17"/>
              </w:rPr>
            </w:pPr>
            <w:r>
              <w:rPr>
                <w:sz w:val="17"/>
              </w:rPr>
              <w:t>--</w:t>
            </w:r>
          </w:p>
        </w:tc>
      </w:tr>
      <w:tr>
        <w:trPr/>
        <w:tc>
          <w:tcPr>
            <w:tcW w:w="3635" w:type="dxa"/>
            <w:tcBorders/>
            <w:shd w:fill="FFFFFF" w:val="clear"/>
            <w:vAlign w:val="bottom"/>
          </w:tcPr>
          <w:p>
            <w:pPr>
              <w:pStyle w:val="TableContents"/>
              <w:spacing w:before="0" w:after="1"/>
              <w:ind w:left="0" w:right="0" w:hanging="0"/>
              <w:jc w:val="both"/>
              <w:rPr>
                <w:sz w:val="17"/>
              </w:rPr>
            </w:pPr>
            <w:r>
              <w:rPr>
                <w:sz w:val="17"/>
              </w:rPr>
              <w:t>Shadow View Land and Farming LLC</w:t>
            </w:r>
          </w:p>
        </w:tc>
        <w:tc>
          <w:tcPr>
            <w:tcW w:w="110" w:type="dxa"/>
            <w:tcBorders/>
            <w:shd w:fill="FFFFFF" w:val="clear"/>
            <w:vAlign w:val="bottom"/>
          </w:tcPr>
          <w:p>
            <w:pPr>
              <w:pStyle w:val="TableContents"/>
              <w:spacing w:before="0" w:after="1"/>
              <w:ind w:left="0" w:right="0" w:hanging="0"/>
              <w:jc w:val="right"/>
              <w:rPr/>
            </w:pPr>
            <w:r>
              <w:rPr/>
              <w:t> </w:t>
            </w:r>
          </w:p>
        </w:tc>
        <w:tc>
          <w:tcPr>
            <w:tcW w:w="515" w:type="dxa"/>
            <w:tcBorders/>
            <w:shd w:fill="FFFFFF" w:val="clear"/>
            <w:vAlign w:val="bottom"/>
          </w:tcPr>
          <w:p>
            <w:pPr>
              <w:pStyle w:val="TableContents"/>
              <w:spacing w:before="0" w:after="283"/>
              <w:jc w:val="right"/>
              <w:rPr>
                <w:sz w:val="17"/>
              </w:rPr>
            </w:pPr>
            <w:r>
              <w:rPr>
                <w:sz w:val="17"/>
              </w:rPr>
              <w:t xml:space="preserve">1,912  </w:t>
            </w:r>
          </w:p>
        </w:tc>
        <w:tc>
          <w:tcPr>
            <w:tcW w:w="110" w:type="dxa"/>
            <w:tcBorders/>
            <w:shd w:fill="FFFFFF" w:val="clear"/>
            <w:vAlign w:val="bottom"/>
          </w:tcPr>
          <w:p>
            <w:pPr>
              <w:pStyle w:val="TableContents"/>
              <w:spacing w:before="0" w:after="1"/>
              <w:ind w:left="0" w:right="0" w:hanging="0"/>
              <w:jc w:val="right"/>
              <w:rPr/>
            </w:pPr>
            <w:r>
              <w:rPr/>
              <w:t> </w:t>
            </w:r>
          </w:p>
        </w:tc>
        <w:tc>
          <w:tcPr>
            <w:tcW w:w="530" w:type="dxa"/>
            <w:tcBorders/>
            <w:shd w:fill="FFFFFF" w:val="clear"/>
            <w:vAlign w:val="bottom"/>
          </w:tcPr>
          <w:p>
            <w:pPr>
              <w:pStyle w:val="TableContents"/>
              <w:spacing w:before="0" w:after="1"/>
              <w:ind w:left="0" w:right="65" w:hanging="0"/>
              <w:jc w:val="right"/>
              <w:rPr>
                <w:sz w:val="17"/>
              </w:rPr>
            </w:pPr>
            <w:r>
              <w:rPr>
                <w:sz w:val="17"/>
              </w:rPr>
              <w:t>--</w:t>
            </w:r>
          </w:p>
        </w:tc>
      </w:tr>
      <w:tr>
        <w:trPr/>
        <w:tc>
          <w:tcPr>
            <w:tcW w:w="363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Sutton Hill Properties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(152)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(250) </w:t>
            </w:r>
          </w:p>
        </w:tc>
      </w:tr>
      <w:tr>
        <w:trPr/>
        <w:tc>
          <w:tcPr>
            <w:tcW w:w="363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Noncontrolling interests in consolidated subsidiaries</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4,098 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1,235 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The components of income attributable to noncontrolling interests are as follows (dollars in thousands): </w:t>
      </w:r>
    </w:p>
    <w:p>
      <w:pPr>
        <w:pStyle w:val="TextBody"/>
        <w:spacing w:before="0" w:after="0"/>
        <w:ind w:left="1440" w:right="0" w:hanging="0"/>
        <w:jc w:val="both"/>
        <w:rPr/>
      </w:pPr>
      <w:r>
        <w:rPr>
          <w:u w:val="single"/>
        </w:rPr>
        <w:t> </w:t>
      </w:r>
      <w:r>
        <w:rPr/>
        <w:t xml:space="preserve"> </w:t>
      </w:r>
    </w:p>
    <w:tbl>
      <w:tblPr>
        <w:tblW w:w="5488" w:type="dxa"/>
        <w:jc w:val="left"/>
        <w:tblInd w:w="1440" w:type="dxa"/>
        <w:tblCellMar>
          <w:top w:w="0" w:type="dxa"/>
          <w:left w:w="0" w:type="dxa"/>
          <w:bottom w:w="0" w:type="dxa"/>
          <w:right w:w="0" w:type="dxa"/>
        </w:tblCellMar>
      </w:tblPr>
      <w:tblGrid>
        <w:gridCol w:w="3455"/>
        <w:gridCol w:w="110"/>
        <w:gridCol w:w="554"/>
        <w:gridCol w:w="122"/>
        <w:gridCol w:w="554"/>
        <w:gridCol w:w="122"/>
        <w:gridCol w:w="571"/>
      </w:tblGrid>
      <w:tr>
        <w:trPr/>
        <w:tc>
          <w:tcPr>
            <w:tcW w:w="34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54" w:type="dxa"/>
            <w:tcBorders/>
            <w:shd w:fill="auto" w:val="clear"/>
            <w:vAlign w:val="bottom"/>
          </w:tcPr>
          <w:p>
            <w:pPr>
              <w:pStyle w:val="TableContents"/>
              <w:spacing w:before="0" w:after="1"/>
              <w:ind w:left="0" w:right="0" w:hanging="0"/>
              <w:jc w:val="both"/>
              <w:rPr/>
            </w:pPr>
            <w:r>
              <w:rPr/>
              <w:t> </w:t>
            </w:r>
          </w:p>
        </w:tc>
        <w:tc>
          <w:tcPr>
            <w:tcW w:w="122" w:type="dxa"/>
            <w:tcBorders/>
            <w:shd w:fill="auto" w:val="clear"/>
            <w:vAlign w:val="bottom"/>
          </w:tcPr>
          <w:p>
            <w:pPr>
              <w:pStyle w:val="TableContents"/>
              <w:spacing w:before="0" w:after="1"/>
              <w:ind w:left="0" w:right="0" w:hanging="0"/>
              <w:jc w:val="both"/>
              <w:rPr/>
            </w:pPr>
            <w:r>
              <w:rPr/>
              <w:t> </w:t>
            </w:r>
          </w:p>
        </w:tc>
        <w:tc>
          <w:tcPr>
            <w:tcW w:w="554" w:type="dxa"/>
            <w:tcBorders/>
            <w:shd w:fill="auto" w:val="clear"/>
            <w:vAlign w:val="bottom"/>
          </w:tcPr>
          <w:p>
            <w:pPr>
              <w:pStyle w:val="TableContents"/>
              <w:spacing w:before="0" w:after="1"/>
              <w:ind w:left="0" w:right="0" w:hanging="0"/>
              <w:jc w:val="both"/>
              <w:rPr/>
            </w:pPr>
            <w:r>
              <w:rPr/>
              <w:t> </w:t>
            </w:r>
          </w:p>
        </w:tc>
        <w:tc>
          <w:tcPr>
            <w:tcW w:w="122" w:type="dxa"/>
            <w:tcBorders/>
            <w:shd w:fill="auto" w:val="clear"/>
            <w:vAlign w:val="bottom"/>
          </w:tcPr>
          <w:p>
            <w:pPr>
              <w:pStyle w:val="TableContents"/>
              <w:spacing w:before="0" w:after="1"/>
              <w:ind w:left="0" w:right="0" w:hanging="0"/>
              <w:jc w:val="both"/>
              <w:rPr/>
            </w:pPr>
            <w:r>
              <w:rPr/>
              <w:t> </w:t>
            </w:r>
          </w:p>
        </w:tc>
        <w:tc>
          <w:tcPr>
            <w:tcW w:w="571" w:type="dxa"/>
            <w:tcBorders/>
            <w:shd w:fill="auto" w:val="clear"/>
            <w:vAlign w:val="bottom"/>
          </w:tcPr>
          <w:p>
            <w:pPr>
              <w:pStyle w:val="TableContents"/>
              <w:spacing w:before="0" w:after="1"/>
              <w:ind w:left="0" w:right="0" w:hanging="0"/>
              <w:jc w:val="both"/>
              <w:rPr/>
            </w:pPr>
            <w:r>
              <w:rPr/>
              <w:t> </w:t>
            </w:r>
          </w:p>
        </w:tc>
      </w:tr>
      <w:tr>
        <w:trPr/>
        <w:tc>
          <w:tcPr>
            <w:tcW w:w="34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54" w:type="dxa"/>
            <w:tcBorders/>
            <w:shd w:fill="auto" w:val="clear"/>
            <w:vAlign w:val="bottom"/>
          </w:tcPr>
          <w:p>
            <w:pPr>
              <w:pStyle w:val="TableContents"/>
              <w:spacing w:before="0" w:after="1"/>
              <w:ind w:left="0" w:right="0" w:hanging="0"/>
              <w:jc w:val="both"/>
              <w:rPr/>
            </w:pPr>
            <w:r>
              <w:rPr/>
              <w:t> </w:t>
            </w:r>
          </w:p>
        </w:tc>
        <w:tc>
          <w:tcPr>
            <w:tcW w:w="122" w:type="dxa"/>
            <w:tcBorders/>
            <w:shd w:fill="auto" w:val="clear"/>
            <w:vAlign w:val="bottom"/>
          </w:tcPr>
          <w:p>
            <w:pPr>
              <w:pStyle w:val="TableContents"/>
              <w:spacing w:before="0" w:after="1"/>
              <w:ind w:left="0" w:right="0" w:hanging="0"/>
              <w:jc w:val="both"/>
              <w:rPr/>
            </w:pPr>
            <w:r>
              <w:rPr/>
              <w:t> </w:t>
            </w:r>
          </w:p>
        </w:tc>
        <w:tc>
          <w:tcPr>
            <w:tcW w:w="554" w:type="dxa"/>
            <w:tcBorders/>
            <w:shd w:fill="auto" w:val="clear"/>
            <w:vAlign w:val="bottom"/>
          </w:tcPr>
          <w:p>
            <w:pPr>
              <w:pStyle w:val="TableContents"/>
              <w:spacing w:before="0" w:after="1"/>
              <w:ind w:left="0" w:right="0" w:hanging="0"/>
              <w:jc w:val="both"/>
              <w:rPr/>
            </w:pPr>
            <w:r>
              <w:rPr/>
              <w:t> </w:t>
            </w:r>
          </w:p>
        </w:tc>
        <w:tc>
          <w:tcPr>
            <w:tcW w:w="122" w:type="dxa"/>
            <w:tcBorders/>
            <w:shd w:fill="auto" w:val="clear"/>
            <w:vAlign w:val="bottom"/>
          </w:tcPr>
          <w:p>
            <w:pPr>
              <w:pStyle w:val="TableContents"/>
              <w:spacing w:before="0" w:after="1"/>
              <w:ind w:left="0" w:right="0" w:hanging="0"/>
              <w:jc w:val="both"/>
              <w:rPr/>
            </w:pPr>
            <w:r>
              <w:rPr/>
              <w:t> </w:t>
            </w:r>
          </w:p>
        </w:tc>
        <w:tc>
          <w:tcPr>
            <w:tcW w:w="571" w:type="dxa"/>
            <w:tcBorders/>
            <w:shd w:fill="auto" w:val="clear"/>
            <w:vAlign w:val="bottom"/>
          </w:tcPr>
          <w:p>
            <w:pPr>
              <w:pStyle w:val="TableContents"/>
              <w:spacing w:before="0" w:after="1"/>
              <w:ind w:left="0" w:right="0" w:hanging="0"/>
              <w:jc w:val="both"/>
              <w:rPr/>
            </w:pPr>
            <w:r>
              <w:rPr/>
              <w:t> </w:t>
            </w:r>
          </w:p>
        </w:tc>
      </w:tr>
      <w:tr>
        <w:trPr/>
        <w:tc>
          <w:tcPr>
            <w:tcW w:w="34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center"/>
              <w:rPr/>
            </w:pPr>
            <w:r>
              <w:rPr/>
              <w:t> </w:t>
            </w:r>
          </w:p>
        </w:tc>
        <w:tc>
          <w:tcPr>
            <w:tcW w:w="1923" w:type="dxa"/>
            <w:gridSpan w:val="5"/>
            <w:tcBorders/>
            <w:shd w:fill="auto" w:val="clear"/>
            <w:vAlign w:val="bottom"/>
          </w:tcPr>
          <w:p>
            <w:pPr>
              <w:pStyle w:val="TableContents"/>
              <w:spacing w:before="0" w:after="1"/>
              <w:ind w:left="0" w:right="0" w:hanging="0"/>
              <w:jc w:val="center"/>
              <w:rPr>
                <w:b/>
                <w:sz w:val="17"/>
              </w:rPr>
            </w:pPr>
            <w:r>
              <w:rPr>
                <w:b/>
                <w:sz w:val="17"/>
              </w:rPr>
              <w:t>Year Ended December 31,</w:t>
            </w:r>
          </w:p>
        </w:tc>
      </w:tr>
      <w:tr>
        <w:trPr/>
        <w:tc>
          <w:tcPr>
            <w:tcW w:w="345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54"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7"/>
              </w:rPr>
            </w:pPr>
            <w:r>
              <w:rPr>
                <w:rFonts w:ascii="Times New Roman Bold" w:hAnsi="Times New Roman Bold"/>
                <w:b/>
                <w:sz w:val="17"/>
              </w:rPr>
              <w:t>2012</w:t>
            </w:r>
          </w:p>
        </w:tc>
        <w:tc>
          <w:tcPr>
            <w:tcW w:w="122"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54"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7"/>
              </w:rPr>
            </w:pPr>
            <w:r>
              <w:rPr>
                <w:rFonts w:ascii="Times New Roman Bold" w:hAnsi="Times New Roman Bold"/>
                <w:b/>
                <w:sz w:val="17"/>
              </w:rPr>
              <w:t>2011</w:t>
            </w:r>
          </w:p>
        </w:tc>
        <w:tc>
          <w:tcPr>
            <w:tcW w:w="122"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71" w:type="dxa"/>
            <w:tcBorders>
              <w:bottom w:val="single" w:sz="12" w:space="0" w:color="000000"/>
            </w:tcBorders>
            <w:shd w:fill="auto" w:val="clear"/>
            <w:tcMar>
              <w:bottom w:w="28" w:type="dxa"/>
            </w:tcMar>
            <w:vAlign w:val="bottom"/>
          </w:tcPr>
          <w:p>
            <w:pPr>
              <w:pStyle w:val="TableContents"/>
              <w:spacing w:before="0" w:after="1"/>
              <w:ind w:left="0" w:right="0" w:hanging="0"/>
              <w:jc w:val="center"/>
              <w:rPr>
                <w:rFonts w:ascii="Times New Roman Bold" w:hAnsi="Times New Roman Bold"/>
                <w:b/>
                <w:sz w:val="17"/>
              </w:rPr>
            </w:pPr>
            <w:r>
              <w:rPr>
                <w:rFonts w:ascii="Times New Roman Bold" w:hAnsi="Times New Roman Bold"/>
                <w:b/>
                <w:sz w:val="17"/>
              </w:rPr>
              <w:t>2010</w:t>
            </w:r>
          </w:p>
        </w:tc>
      </w:tr>
      <w:tr>
        <w:trPr/>
        <w:tc>
          <w:tcPr>
            <w:tcW w:w="345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AFC LLC</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54"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612  </w:t>
            </w:r>
          </w:p>
        </w:tc>
        <w:tc>
          <w:tcPr>
            <w:tcW w:w="122"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54"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909  </w:t>
            </w:r>
          </w:p>
        </w:tc>
        <w:tc>
          <w:tcPr>
            <w:tcW w:w="122"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71"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546  </w:t>
            </w:r>
          </w:p>
        </w:tc>
      </w:tr>
      <w:tr>
        <w:trPr/>
        <w:tc>
          <w:tcPr>
            <w:tcW w:w="3455" w:type="dxa"/>
            <w:tcBorders/>
            <w:shd w:fill="FFFFFF" w:val="clear"/>
            <w:vAlign w:val="bottom"/>
          </w:tcPr>
          <w:p>
            <w:pPr>
              <w:pStyle w:val="TableContents"/>
              <w:spacing w:before="0" w:after="1"/>
              <w:ind w:left="0" w:right="0" w:hanging="0"/>
              <w:jc w:val="both"/>
              <w:rPr>
                <w:sz w:val="17"/>
              </w:rPr>
            </w:pPr>
            <w:r>
              <w:rPr>
                <w:sz w:val="17"/>
              </w:rPr>
              <w:t>Australian Country Cinemas</w:t>
            </w:r>
          </w:p>
        </w:tc>
        <w:tc>
          <w:tcPr>
            <w:tcW w:w="110" w:type="dxa"/>
            <w:tcBorders/>
            <w:shd w:fill="FFFFFF" w:val="clear"/>
            <w:vAlign w:val="bottom"/>
          </w:tcPr>
          <w:p>
            <w:pPr>
              <w:pStyle w:val="TableContents"/>
              <w:spacing w:before="0" w:after="1"/>
              <w:ind w:left="0" w:right="0" w:hanging="0"/>
              <w:jc w:val="right"/>
              <w:rPr/>
            </w:pPr>
            <w:r>
              <w:rPr/>
              <w:t> </w:t>
            </w:r>
          </w:p>
        </w:tc>
        <w:tc>
          <w:tcPr>
            <w:tcW w:w="554" w:type="dxa"/>
            <w:tcBorders/>
            <w:shd w:fill="FFFFFF" w:val="clear"/>
            <w:vAlign w:val="bottom"/>
          </w:tcPr>
          <w:p>
            <w:pPr>
              <w:pStyle w:val="TableContents"/>
              <w:spacing w:before="0" w:after="283"/>
              <w:jc w:val="right"/>
              <w:rPr>
                <w:sz w:val="17"/>
              </w:rPr>
            </w:pPr>
            <w:r>
              <w:rPr>
                <w:sz w:val="17"/>
              </w:rPr>
              <w:t xml:space="preserve">86  </w:t>
            </w:r>
          </w:p>
        </w:tc>
        <w:tc>
          <w:tcPr>
            <w:tcW w:w="122" w:type="dxa"/>
            <w:tcBorders/>
            <w:shd w:fill="FFFFFF" w:val="clear"/>
            <w:vAlign w:val="bottom"/>
          </w:tcPr>
          <w:p>
            <w:pPr>
              <w:pStyle w:val="TableContents"/>
              <w:spacing w:before="0" w:after="1"/>
              <w:ind w:left="0" w:right="0" w:hanging="0"/>
              <w:jc w:val="right"/>
              <w:rPr/>
            </w:pPr>
            <w:r>
              <w:rPr/>
              <w:t> </w:t>
            </w:r>
          </w:p>
        </w:tc>
        <w:tc>
          <w:tcPr>
            <w:tcW w:w="554" w:type="dxa"/>
            <w:tcBorders/>
            <w:shd w:fill="FFFFFF" w:val="clear"/>
            <w:vAlign w:val="bottom"/>
          </w:tcPr>
          <w:p>
            <w:pPr>
              <w:pStyle w:val="TableContents"/>
              <w:spacing w:before="0" w:after="283"/>
              <w:jc w:val="right"/>
              <w:rPr>
                <w:sz w:val="17"/>
              </w:rPr>
            </w:pPr>
            <w:r>
              <w:rPr>
                <w:sz w:val="17"/>
              </w:rPr>
              <w:t xml:space="preserve">311  </w:t>
            </w:r>
          </w:p>
        </w:tc>
        <w:tc>
          <w:tcPr>
            <w:tcW w:w="122" w:type="dxa"/>
            <w:tcBorders/>
            <w:shd w:fill="FFFFFF" w:val="clear"/>
            <w:vAlign w:val="bottom"/>
          </w:tcPr>
          <w:p>
            <w:pPr>
              <w:pStyle w:val="TableContents"/>
              <w:spacing w:before="0" w:after="1"/>
              <w:ind w:left="0" w:right="0" w:hanging="0"/>
              <w:jc w:val="right"/>
              <w:rPr/>
            </w:pPr>
            <w:r>
              <w:rPr/>
              <w:t> </w:t>
            </w:r>
          </w:p>
        </w:tc>
        <w:tc>
          <w:tcPr>
            <w:tcW w:w="571" w:type="dxa"/>
            <w:tcBorders/>
            <w:shd w:fill="FFFFFF" w:val="clear"/>
            <w:vAlign w:val="bottom"/>
          </w:tcPr>
          <w:p>
            <w:pPr>
              <w:pStyle w:val="TableContents"/>
              <w:spacing w:before="0" w:after="283"/>
              <w:jc w:val="right"/>
              <w:rPr>
                <w:sz w:val="17"/>
              </w:rPr>
            </w:pPr>
            <w:r>
              <w:rPr>
                <w:sz w:val="17"/>
              </w:rPr>
              <w:t xml:space="preserve">249  </w:t>
            </w:r>
          </w:p>
        </w:tc>
      </w:tr>
      <w:tr>
        <w:trPr/>
        <w:tc>
          <w:tcPr>
            <w:tcW w:w="3455" w:type="dxa"/>
            <w:tcBorders/>
            <w:shd w:fill="CCEEFF" w:val="clear"/>
            <w:vAlign w:val="bottom"/>
          </w:tcPr>
          <w:p>
            <w:pPr>
              <w:pStyle w:val="TableContents"/>
              <w:spacing w:before="0" w:after="1"/>
              <w:ind w:left="0" w:right="0" w:hanging="0"/>
              <w:jc w:val="both"/>
              <w:rPr>
                <w:sz w:val="17"/>
              </w:rPr>
            </w:pPr>
            <w:r>
              <w:rPr>
                <w:sz w:val="17"/>
              </w:rPr>
              <w:t>Elsternwick unincorporated joint venture</w:t>
            </w:r>
          </w:p>
        </w:tc>
        <w:tc>
          <w:tcPr>
            <w:tcW w:w="110" w:type="dxa"/>
            <w:tcBorders/>
            <w:shd w:fill="CCEEFF" w:val="clear"/>
            <w:vAlign w:val="bottom"/>
          </w:tcPr>
          <w:p>
            <w:pPr>
              <w:pStyle w:val="TableContents"/>
              <w:spacing w:before="0" w:after="1"/>
              <w:ind w:left="0" w:right="0" w:hanging="0"/>
              <w:jc w:val="right"/>
              <w:rPr/>
            </w:pPr>
            <w:r>
              <w:rPr/>
              <w:t> </w:t>
            </w:r>
          </w:p>
        </w:tc>
        <w:tc>
          <w:tcPr>
            <w:tcW w:w="554" w:type="dxa"/>
            <w:tcBorders/>
            <w:shd w:fill="CCEEFF" w:val="clear"/>
            <w:vAlign w:val="bottom"/>
          </w:tcPr>
          <w:p>
            <w:pPr>
              <w:pStyle w:val="TableContents"/>
              <w:spacing w:before="0" w:after="1"/>
              <w:ind w:left="0" w:right="65" w:hanging="0"/>
              <w:jc w:val="right"/>
              <w:rPr>
                <w:sz w:val="17"/>
              </w:rPr>
            </w:pPr>
            <w:r>
              <w:rPr>
                <w:sz w:val="17"/>
              </w:rPr>
              <w:t>--</w:t>
            </w:r>
          </w:p>
        </w:tc>
        <w:tc>
          <w:tcPr>
            <w:tcW w:w="122" w:type="dxa"/>
            <w:tcBorders/>
            <w:shd w:fill="CCEEFF" w:val="clear"/>
            <w:vAlign w:val="bottom"/>
          </w:tcPr>
          <w:p>
            <w:pPr>
              <w:pStyle w:val="TableContents"/>
              <w:spacing w:before="0" w:after="1"/>
              <w:ind w:left="0" w:right="0" w:hanging="0"/>
              <w:jc w:val="right"/>
              <w:rPr/>
            </w:pPr>
            <w:r>
              <w:rPr/>
              <w:t> </w:t>
            </w:r>
          </w:p>
        </w:tc>
        <w:tc>
          <w:tcPr>
            <w:tcW w:w="554" w:type="dxa"/>
            <w:tcBorders/>
            <w:shd w:fill="CCEEFF" w:val="clear"/>
            <w:vAlign w:val="bottom"/>
          </w:tcPr>
          <w:p>
            <w:pPr>
              <w:pStyle w:val="TableContents"/>
              <w:spacing w:before="0" w:after="283"/>
              <w:jc w:val="right"/>
              <w:rPr>
                <w:sz w:val="17"/>
              </w:rPr>
            </w:pPr>
            <w:r>
              <w:rPr>
                <w:sz w:val="17"/>
              </w:rPr>
              <w:t xml:space="preserve">25  </w:t>
            </w:r>
          </w:p>
        </w:tc>
        <w:tc>
          <w:tcPr>
            <w:tcW w:w="122" w:type="dxa"/>
            <w:tcBorders/>
            <w:shd w:fill="CCEEFF" w:val="clear"/>
            <w:vAlign w:val="bottom"/>
          </w:tcPr>
          <w:p>
            <w:pPr>
              <w:pStyle w:val="TableContents"/>
              <w:spacing w:before="0" w:after="1"/>
              <w:ind w:left="0" w:right="0" w:hanging="0"/>
              <w:jc w:val="right"/>
              <w:rPr/>
            </w:pPr>
            <w:r>
              <w:rPr/>
              <w:t> </w:t>
            </w:r>
          </w:p>
        </w:tc>
        <w:tc>
          <w:tcPr>
            <w:tcW w:w="571" w:type="dxa"/>
            <w:tcBorders/>
            <w:shd w:fill="CCEEFF" w:val="clear"/>
            <w:vAlign w:val="bottom"/>
          </w:tcPr>
          <w:p>
            <w:pPr>
              <w:pStyle w:val="TableContents"/>
              <w:spacing w:before="0" w:after="283"/>
              <w:jc w:val="right"/>
              <w:rPr>
                <w:sz w:val="17"/>
              </w:rPr>
            </w:pPr>
            <w:r>
              <w:rPr>
                <w:sz w:val="17"/>
              </w:rPr>
              <w:t xml:space="preserve">59  </w:t>
            </w:r>
          </w:p>
        </w:tc>
      </w:tr>
      <w:tr>
        <w:trPr/>
        <w:tc>
          <w:tcPr>
            <w:tcW w:w="3455" w:type="dxa"/>
            <w:tcBorders/>
            <w:shd w:fill="FFFFFF" w:val="clear"/>
            <w:vAlign w:val="bottom"/>
          </w:tcPr>
          <w:p>
            <w:pPr>
              <w:pStyle w:val="TableContents"/>
              <w:spacing w:before="0" w:after="1"/>
              <w:ind w:left="0" w:right="0" w:hanging="0"/>
              <w:jc w:val="both"/>
              <w:rPr>
                <w:sz w:val="17"/>
              </w:rPr>
            </w:pPr>
            <w:r>
              <w:rPr>
                <w:sz w:val="17"/>
              </w:rPr>
              <w:t>Shadow View Land and Farming LLC</w:t>
            </w:r>
          </w:p>
        </w:tc>
        <w:tc>
          <w:tcPr>
            <w:tcW w:w="110" w:type="dxa"/>
            <w:tcBorders/>
            <w:shd w:fill="FFFFFF" w:val="clear"/>
            <w:vAlign w:val="bottom"/>
          </w:tcPr>
          <w:p>
            <w:pPr>
              <w:pStyle w:val="TableContents"/>
              <w:spacing w:before="0" w:after="1"/>
              <w:ind w:left="0" w:right="0" w:hanging="0"/>
              <w:jc w:val="right"/>
              <w:rPr/>
            </w:pPr>
            <w:r>
              <w:rPr/>
              <w:t> </w:t>
            </w:r>
          </w:p>
        </w:tc>
        <w:tc>
          <w:tcPr>
            <w:tcW w:w="554" w:type="dxa"/>
            <w:tcBorders/>
            <w:shd w:fill="FFFFFF" w:val="clear"/>
            <w:vAlign w:val="bottom"/>
          </w:tcPr>
          <w:p>
            <w:pPr>
              <w:pStyle w:val="TableContents"/>
              <w:spacing w:before="0" w:after="283"/>
              <w:jc w:val="right"/>
              <w:rPr>
                <w:sz w:val="17"/>
              </w:rPr>
            </w:pPr>
            <w:r>
              <w:rPr>
                <w:sz w:val="17"/>
              </w:rPr>
              <w:t xml:space="preserve">(843) </w:t>
            </w:r>
          </w:p>
        </w:tc>
        <w:tc>
          <w:tcPr>
            <w:tcW w:w="122" w:type="dxa"/>
            <w:tcBorders/>
            <w:shd w:fill="FFFFFF" w:val="clear"/>
            <w:vAlign w:val="bottom"/>
          </w:tcPr>
          <w:p>
            <w:pPr>
              <w:pStyle w:val="TableContents"/>
              <w:spacing w:before="0" w:after="1"/>
              <w:ind w:left="0" w:right="0" w:hanging="0"/>
              <w:jc w:val="right"/>
              <w:rPr/>
            </w:pPr>
            <w:r>
              <w:rPr/>
              <w:t> </w:t>
            </w:r>
          </w:p>
        </w:tc>
        <w:tc>
          <w:tcPr>
            <w:tcW w:w="554" w:type="dxa"/>
            <w:tcBorders/>
            <w:shd w:fill="FFFFFF" w:val="clear"/>
            <w:vAlign w:val="bottom"/>
          </w:tcPr>
          <w:p>
            <w:pPr>
              <w:pStyle w:val="TableContents"/>
              <w:spacing w:before="0" w:after="1"/>
              <w:ind w:left="0" w:right="65" w:hanging="0"/>
              <w:jc w:val="right"/>
              <w:rPr>
                <w:sz w:val="17"/>
              </w:rPr>
            </w:pPr>
            <w:r>
              <w:rPr>
                <w:sz w:val="17"/>
              </w:rPr>
              <w:t>--</w:t>
            </w:r>
          </w:p>
        </w:tc>
        <w:tc>
          <w:tcPr>
            <w:tcW w:w="122" w:type="dxa"/>
            <w:tcBorders/>
            <w:shd w:fill="FFFFFF" w:val="clear"/>
            <w:vAlign w:val="bottom"/>
          </w:tcPr>
          <w:p>
            <w:pPr>
              <w:pStyle w:val="TableContents"/>
              <w:spacing w:before="0" w:after="1"/>
              <w:ind w:left="0" w:right="0" w:hanging="0"/>
              <w:jc w:val="right"/>
              <w:rPr/>
            </w:pPr>
            <w:r>
              <w:rPr/>
              <w:t> </w:t>
            </w:r>
          </w:p>
        </w:tc>
        <w:tc>
          <w:tcPr>
            <w:tcW w:w="571" w:type="dxa"/>
            <w:tcBorders/>
            <w:shd w:fill="FFFFFF" w:val="clear"/>
            <w:vAlign w:val="bottom"/>
          </w:tcPr>
          <w:p>
            <w:pPr>
              <w:pStyle w:val="TableContents"/>
              <w:spacing w:before="0" w:after="1"/>
              <w:ind w:left="0" w:right="65" w:hanging="0"/>
              <w:jc w:val="right"/>
              <w:rPr>
                <w:sz w:val="17"/>
              </w:rPr>
            </w:pPr>
            <w:r>
              <w:rPr>
                <w:sz w:val="17"/>
              </w:rPr>
              <w:t>--</w:t>
            </w:r>
          </w:p>
        </w:tc>
      </w:tr>
      <w:tr>
        <w:trPr/>
        <w:tc>
          <w:tcPr>
            <w:tcW w:w="345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Sutton Hill Properties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54"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(347) </w:t>
            </w:r>
          </w:p>
        </w:tc>
        <w:tc>
          <w:tcPr>
            <w:tcW w:w="12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54"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(305) </w:t>
            </w:r>
          </w:p>
        </w:tc>
        <w:tc>
          <w:tcPr>
            <w:tcW w:w="12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571"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(238) </w:t>
            </w:r>
          </w:p>
        </w:tc>
      </w:tr>
      <w:tr>
        <w:trPr/>
        <w:tc>
          <w:tcPr>
            <w:tcW w:w="345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Net income attributable to noncontrolling interest</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(492) </w:t>
            </w:r>
          </w:p>
        </w:tc>
        <w:tc>
          <w:tcPr>
            <w:tcW w:w="12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940  </w:t>
            </w:r>
          </w:p>
        </w:tc>
        <w:tc>
          <w:tcPr>
            <w:tcW w:w="12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71"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616 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sz w:val="17"/>
          <w:u w:val="single"/>
        </w:rPr>
        <w:t>Shadow View Land and Farming LLC </w:t>
      </w:r>
      <w:r>
        <w:rPr>
          <w:sz w:val="17"/>
        </w:rPr>
        <w:t xml:space="preserve"> </w:t>
      </w:r>
    </w:p>
    <w:p>
      <w:pPr>
        <w:pStyle w:val="TextBody"/>
        <w:spacing w:before="0" w:after="200"/>
        <w:ind w:left="1440" w:right="0" w:firstLine="720"/>
        <w:jc w:val="both"/>
        <w:rPr>
          <w:sz w:val="17"/>
        </w:rPr>
      </w:pPr>
      <w:r>
        <w:rPr>
          <w:sz w:val="17"/>
        </w:rPr>
        <w:t xml:space="preserve">During the 2012, Mr. James J. Cotter, our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Mr. Cotter owns a 50% interest.  We are the managing member of Shadow View Land and Farming, LLC.   However, as Mr. Cotter is considered to be our controlling shareholder, pursuant to FASB ASC 810-10-05, we have consolidated Mr. Cotter’s interest in the property and its expenses with that of our interest and shown his interest as a noncontrolling interest.  Note 8 – </w:t>
      </w:r>
      <w:r>
        <w:rPr>
          <w:i/>
          <w:sz w:val="17"/>
        </w:rPr>
        <w:t>Acquisitions, Disposals, and Assets Held for Sale</w:t>
      </w:r>
      <w:r>
        <w:rPr>
          <w:sz w:val="17"/>
        </w:rPr>
        <w:t xml:space="preserve">. </w:t>
      </w:r>
    </w:p>
    <w:p>
      <w:pPr>
        <w:pStyle w:val="TextBody"/>
        <w:spacing w:before="0" w:after="200"/>
        <w:ind w:left="1440" w:right="0" w:hanging="0"/>
        <w:jc w:val="both"/>
        <w:rPr>
          <w:sz w:val="17"/>
        </w:rPr>
      </w:pPr>
      <w:r>
        <w:rPr>
          <w:sz w:val="17"/>
          <w:u w:val="single"/>
        </w:rPr>
        <w:t>Elsternwick Sale</w:t>
      </w:r>
      <w:r>
        <w:rPr>
          <w:sz w:val="17"/>
        </w:rPr>
        <w:t xml:space="preserve"> </w:t>
      </w:r>
    </w:p>
    <w:p>
      <w:pPr>
        <w:pStyle w:val="TextBody"/>
        <w:spacing w:before="0" w:after="200"/>
        <w:ind w:left="1440" w:right="0" w:hanging="0"/>
        <w:jc w:val="both"/>
        <w:rPr/>
      </w:pPr>
      <w:r>
        <w:rPr/>
        <w:t>            </w:t>
      </w:r>
      <w:r>
        <w:rPr>
          <w:sz w:val="17"/>
        </w:rPr>
        <w:t xml:space="preserve">On April 14, 2011, we sold our 66.7% share of the 5-screen Elsternwick Classic cinema located in Melbourne, Australia to our joint venture partner for $1.9 million (AUS$1.8 million) and recognized a gain on sale of a discontinued operation of $1.7 million (AUS$1.6 million).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u w:val="single"/>
        </w:rPr>
        <w:t>Note 21 - Common Stock</w:t>
      </w:r>
      <w:r>
        <w:rPr>
          <w:sz w:val="17"/>
        </w:rPr>
        <w:t xml:space="preserve"> </w:t>
      </w:r>
    </w:p>
    <w:p>
      <w:pPr>
        <w:pStyle w:val="TextBody"/>
        <w:spacing w:before="0" w:after="200"/>
        <w:ind w:left="1440" w:right="0" w:firstLine="720"/>
        <w:jc w:val="both"/>
        <w:rPr>
          <w:sz w:val="17"/>
        </w:rPr>
      </w:pPr>
      <w:r>
        <w:rPr>
          <w:sz w:val="17"/>
        </w:rPr>
        <w:t xml:space="preserve">Our common stock trades on the NASDAQ under the symbols RDI and RDIB which are our Class A (non-voting) and Class B (voting) stock, respectively.  Our Class A (non-voting) has preference over our Class B (voting) shares upon liquidation.  No dividends have ever been issued for either share class. </w:t>
      </w:r>
    </w:p>
    <w:p>
      <w:pPr>
        <w:pStyle w:val="TextBody"/>
        <w:spacing w:before="0" w:after="200"/>
        <w:ind w:left="1440" w:right="0" w:hanging="0"/>
        <w:jc w:val="both"/>
        <w:rPr>
          <w:sz w:val="17"/>
        </w:rPr>
      </w:pPr>
      <w:r>
        <w:rPr>
          <w:sz w:val="17"/>
          <w:u w:val="single"/>
        </w:rPr>
        <w:t>2012 Common Stock Activity</w:t>
      </w:r>
      <w:r>
        <w:rPr>
          <w:sz w:val="17"/>
        </w:rPr>
        <w:t xml:space="preserve"> </w:t>
      </w:r>
    </w:p>
    <w:p>
      <w:pPr>
        <w:pStyle w:val="TextBody"/>
        <w:spacing w:before="0" w:after="200"/>
        <w:ind w:left="1440" w:right="0" w:firstLine="720"/>
        <w:jc w:val="both"/>
        <w:rPr>
          <w:sz w:val="17"/>
        </w:rPr>
      </w:pPr>
      <w:r>
        <w:rPr>
          <w:sz w:val="17"/>
        </w:rPr>
        <w:t xml:space="preserve">During 2012, we issued 155,925 of Class A Nonvoting shares to an executive employee associated with his prior years’ stock grant, and, during 2012, we issued 9,680 as a one-time stock grant of Class A Nonvoting shares to our employees valued at $44,000 which we accounted for as compensation expense.  </w:t>
      </w:r>
    </w:p>
    <w:p>
      <w:pPr>
        <w:pStyle w:val="TextBody"/>
        <w:spacing w:before="0" w:after="200"/>
        <w:ind w:left="1440" w:right="0" w:firstLine="720"/>
        <w:jc w:val="both"/>
        <w:rPr>
          <w:sz w:val="17"/>
        </w:rPr>
      </w:pPr>
      <w:r>
        <w:rPr>
          <w:sz w:val="17"/>
        </w:rPr>
        <w:t xml:space="preserve">95,000 options were exercised during 2012 having a realized value of $136,000 for which we received $308,000 of cash.  Additionally, 41,000 options were exercised during 2012 having a realized value of $103,000 for which we did not receive any cash but the employee elected to receive the net incremental number of in-the-money shares of 15,822 based on an exercise price of $4.01 and a market price of $6.53. </w:t>
      </w:r>
    </w:p>
    <w:p>
      <w:pPr>
        <w:pStyle w:val="TextBody"/>
        <w:spacing w:before="0" w:after="200"/>
        <w:ind w:left="1440" w:right="0" w:hanging="0"/>
        <w:jc w:val="both"/>
        <w:rPr>
          <w:sz w:val="17"/>
        </w:rPr>
      </w:pPr>
      <w:r>
        <w:rPr>
          <w:sz w:val="17"/>
          <w:u w:val="single"/>
        </w:rPr>
        <w:t>2011 Common Stock Activity</w:t>
      </w:r>
      <w:r>
        <w:rPr>
          <w:sz w:val="17"/>
        </w:rPr>
        <w:t xml:space="preserve"> </w:t>
      </w:r>
    </w:p>
    <w:p>
      <w:pPr>
        <w:pStyle w:val="TextBody"/>
        <w:spacing w:before="0" w:after="200"/>
        <w:ind w:left="1440" w:right="0" w:firstLine="720"/>
        <w:jc w:val="both"/>
        <w:rPr>
          <w:sz w:val="17"/>
        </w:rPr>
      </w:pPr>
      <w:r>
        <w:rPr>
          <w:sz w:val="17"/>
        </w:rPr>
        <w:t xml:space="preserve">During 2011, we issued 174,825 of Class A Nonvoting shares to certain executive employee associated with his prior years’ stock grants. </w:t>
      </w:r>
    </w:p>
    <w:p>
      <w:pPr>
        <w:pStyle w:val="TextBody"/>
        <w:spacing w:before="0" w:after="200"/>
        <w:ind w:left="1440" w:right="0" w:firstLine="720"/>
        <w:jc w:val="both"/>
        <w:rPr>
          <w:sz w:val="17"/>
        </w:rPr>
      </w:pPr>
      <w:r>
        <w:rPr>
          <w:sz w:val="17"/>
        </w:rPr>
        <w:t xml:space="preserve">During 2011, we purchased 172,300 of Class A Nonvoting shares on the open market for $747,000. </w:t>
      </w:r>
    </w:p>
    <w:p>
      <w:pPr>
        <w:pStyle w:val="TextBody"/>
        <w:spacing w:before="0" w:after="200"/>
        <w:ind w:left="1440" w:right="0" w:hanging="0"/>
        <w:jc w:val="both"/>
        <w:rPr>
          <w:sz w:val="17"/>
        </w:rPr>
      </w:pPr>
      <w:r>
        <w:rPr>
          <w:sz w:val="17"/>
          <w:u w:val="single"/>
        </w:rPr>
        <w:t>2010 Common Stock Activity</w:t>
      </w:r>
      <w:r>
        <w:rPr>
          <w:sz w:val="17"/>
        </w:rPr>
        <w:t xml:space="preserve"> </w:t>
      </w:r>
    </w:p>
    <w:p>
      <w:pPr>
        <w:pStyle w:val="TextBody"/>
        <w:spacing w:before="0" w:after="200"/>
        <w:ind w:left="1440" w:right="0" w:firstLine="720"/>
        <w:jc w:val="both"/>
        <w:rPr>
          <w:sz w:val="17"/>
        </w:rPr>
      </w:pPr>
      <w:r>
        <w:rPr>
          <w:sz w:val="17"/>
        </w:rPr>
        <w:t xml:space="preserve">During 2010, we issued 148,616 shares of Class A Stock (non-voting) to certain executive employees associated with their prior years’ stock bonuses.  Additionally, we canceled 4,348,780 shares of Class A Stock (non-voting) held as treasury by one of our subsidiaries due to an issuance error made in 2002 associated with the consolidation of Reading Entertainment Inc. and Craig Corporation, Inc. into Reading International, Inc. </w:t>
      </w:r>
    </w:p>
    <w:p>
      <w:pPr>
        <w:pStyle w:val="TextBody"/>
        <w:spacing w:before="0" w:after="200"/>
        <w:ind w:left="1440" w:right="0" w:hanging="0"/>
        <w:jc w:val="both"/>
        <w:rPr/>
      </w:pPr>
      <w:r>
        <w:rPr/>
        <w:t>            </w:t>
      </w:r>
      <w:r>
        <w:rPr>
          <w:sz w:val="17"/>
        </w:rPr>
        <w:t xml:space="preserve">For the stock options exercised during 2010, we issued for cash to employees or directors of the corporation under our employee stock option plan 90,000 shares of Class A Stock at an exercise price of $2.76 per share. </w:t>
      </w:r>
    </w:p>
    <w:p>
      <w:pPr>
        <w:pStyle w:val="TextBody"/>
        <w:spacing w:before="0" w:after="200"/>
        <w:ind w:left="1440" w:right="0" w:firstLine="720"/>
        <w:jc w:val="both"/>
        <w:rPr>
          <w:sz w:val="17"/>
        </w:rPr>
      </w:pPr>
      <w:r>
        <w:rPr>
          <w:sz w:val="17"/>
        </w:rPr>
        <w:t xml:space="preserve">Due to a perceived low price of our common shares, during the first quarter of 2010, we purchased 62,375 shares for a total cost of $251,000.  Also, as a result of our revised Village East Cinema building lease, we recorded a deemed equity distribution of $877,000 (see Note 25 – </w:t>
      </w:r>
      <w:r>
        <w:rPr>
          <w:i/>
          <w:sz w:val="17"/>
        </w:rPr>
        <w:t>Related Parties and Transactions</w:t>
      </w:r>
      <w:r>
        <w:rPr>
          <w:sz w:val="17"/>
        </w:rPr>
        <w:t xml:space="preserve">). </w:t>
      </w:r>
    </w:p>
    <w:p>
      <w:pPr>
        <w:pStyle w:val="TextBody"/>
        <w:spacing w:before="0" w:after="200"/>
        <w:ind w:left="1440" w:right="0" w:hanging="0"/>
        <w:jc w:val="both"/>
        <w:rPr>
          <w:sz w:val="17"/>
        </w:rPr>
      </w:pPr>
      <w:r>
        <w:rPr>
          <w:b/>
          <w:sz w:val="17"/>
          <w:u w:val="single"/>
        </w:rPr>
        <w:t>Note 22 – Business Segments and Geographic Area Information</w:t>
      </w:r>
      <w:r>
        <w:rPr>
          <w:sz w:val="17"/>
        </w:rPr>
        <w:t xml:space="preserve"> </w:t>
      </w:r>
    </w:p>
    <w:p>
      <w:pPr>
        <w:pStyle w:val="TextBody"/>
        <w:spacing w:before="0" w:after="200"/>
        <w:ind w:left="1440" w:right="0" w:firstLine="720"/>
        <w:jc w:val="both"/>
        <w:rPr>
          <w:sz w:val="17"/>
        </w:rPr>
      </w:pPr>
      <w:r>
        <w:rPr>
          <w:sz w:val="17"/>
        </w:rPr>
        <w:t xml:space="preserve">The table below sets forth certain information concerning our cinema operations and our real estate operations (which includes information relating to both our real estate development, retail rental and live theater rental activities) for the three years ended December 31, 2012 (dollars in thousands):  </w:t>
      </w:r>
    </w:p>
    <w:p>
      <w:pPr>
        <w:pStyle w:val="TextBody"/>
        <w:spacing w:before="0" w:after="0"/>
        <w:ind w:left="1440" w:right="0" w:hanging="0"/>
        <w:jc w:val="both"/>
        <w:rPr/>
      </w:pPr>
      <w:r>
        <w:rPr/>
        <w:t xml:space="preserve">  </w:t>
      </w:r>
    </w:p>
    <w:tbl>
      <w:tblPr>
        <w:tblW w:w="7069" w:type="dxa"/>
        <w:jc w:val="left"/>
        <w:tblInd w:w="1440" w:type="dxa"/>
        <w:tblCellMar>
          <w:top w:w="0" w:type="dxa"/>
          <w:left w:w="0" w:type="dxa"/>
          <w:bottom w:w="0" w:type="dxa"/>
          <w:right w:w="0" w:type="dxa"/>
        </w:tblCellMar>
      </w:tblPr>
      <w:tblGrid>
        <w:gridCol w:w="2150"/>
        <w:gridCol w:w="118"/>
        <w:gridCol w:w="1146"/>
        <w:gridCol w:w="95"/>
        <w:gridCol w:w="800"/>
        <w:gridCol w:w="190"/>
        <w:gridCol w:w="1540"/>
        <w:gridCol w:w="95"/>
        <w:gridCol w:w="935"/>
      </w:tblGrid>
      <w:tr>
        <w:trPr/>
        <w:tc>
          <w:tcPr>
            <w:tcW w:w="2150" w:type="dxa"/>
            <w:tcBorders/>
            <w:shd w:fill="auto" w:val="clear"/>
            <w:vAlign w:val="bottom"/>
          </w:tcPr>
          <w:p>
            <w:pPr>
              <w:pStyle w:val="TableContents"/>
              <w:spacing w:before="0" w:after="1"/>
              <w:ind w:left="0" w:right="0" w:hanging="0"/>
              <w:jc w:val="both"/>
              <w:rPr/>
            </w:pPr>
            <w:r>
              <w:rPr/>
              <w:t> </w:t>
            </w:r>
          </w:p>
        </w:tc>
        <w:tc>
          <w:tcPr>
            <w:tcW w:w="118" w:type="dxa"/>
            <w:tcBorders/>
            <w:shd w:fill="auto" w:val="clear"/>
            <w:vAlign w:val="bottom"/>
          </w:tcPr>
          <w:p>
            <w:pPr>
              <w:pStyle w:val="TableContents"/>
              <w:spacing w:before="0" w:after="1"/>
              <w:ind w:left="0" w:right="0" w:hanging="0"/>
              <w:jc w:val="both"/>
              <w:rPr/>
            </w:pPr>
            <w:r>
              <w:rPr/>
              <w:t> </w:t>
            </w:r>
          </w:p>
        </w:tc>
        <w:tc>
          <w:tcPr>
            <w:tcW w:w="1146"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90" w:type="dxa"/>
            <w:tcBorders/>
            <w:shd w:fill="auto" w:val="clear"/>
            <w:vAlign w:val="bottom"/>
          </w:tcPr>
          <w:p>
            <w:pPr>
              <w:pStyle w:val="TableContents"/>
              <w:spacing w:before="0" w:after="1"/>
              <w:ind w:left="0" w:right="0" w:hanging="0"/>
              <w:jc w:val="both"/>
              <w:rPr/>
            </w:pPr>
            <w:r>
              <w:rPr/>
              <w:t> </w:t>
            </w:r>
          </w:p>
        </w:tc>
        <w:tc>
          <w:tcPr>
            <w:tcW w:w="154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150" w:type="dxa"/>
            <w:tcBorders/>
            <w:shd w:fill="auto" w:val="clear"/>
            <w:vAlign w:val="bottom"/>
          </w:tcPr>
          <w:p>
            <w:pPr>
              <w:pStyle w:val="TableContents"/>
              <w:spacing w:before="0" w:after="1"/>
              <w:ind w:left="0" w:right="0" w:hanging="0"/>
              <w:jc w:val="both"/>
              <w:rPr/>
            </w:pPr>
            <w:r>
              <w:rPr/>
              <w:t> </w:t>
            </w:r>
          </w:p>
        </w:tc>
        <w:tc>
          <w:tcPr>
            <w:tcW w:w="118" w:type="dxa"/>
            <w:tcBorders/>
            <w:shd w:fill="auto" w:val="clear"/>
            <w:vAlign w:val="bottom"/>
          </w:tcPr>
          <w:p>
            <w:pPr>
              <w:pStyle w:val="TableContents"/>
              <w:spacing w:before="0" w:after="1"/>
              <w:ind w:left="0" w:right="0" w:hanging="0"/>
              <w:jc w:val="both"/>
              <w:rPr/>
            </w:pPr>
            <w:r>
              <w:rPr/>
              <w:t> </w:t>
            </w:r>
          </w:p>
        </w:tc>
        <w:tc>
          <w:tcPr>
            <w:tcW w:w="1146"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90" w:type="dxa"/>
            <w:tcBorders/>
            <w:shd w:fill="auto" w:val="clear"/>
            <w:vAlign w:val="bottom"/>
          </w:tcPr>
          <w:p>
            <w:pPr>
              <w:pStyle w:val="TableContents"/>
              <w:spacing w:before="0" w:after="1"/>
              <w:ind w:left="0" w:right="0" w:hanging="0"/>
              <w:jc w:val="both"/>
              <w:rPr/>
            </w:pPr>
            <w:r>
              <w:rPr/>
              <w:t> </w:t>
            </w:r>
          </w:p>
        </w:tc>
        <w:tc>
          <w:tcPr>
            <w:tcW w:w="154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150"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Year Ended December 31, 2012</w:t>
            </w:r>
          </w:p>
        </w:tc>
        <w:tc>
          <w:tcPr>
            <w:tcW w:w="1264" w:type="dxa"/>
            <w:gridSpan w:val="2"/>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Cinema Exhibition</w:t>
            </w:r>
          </w:p>
        </w:tc>
        <w:tc>
          <w:tcPr>
            <w:tcW w:w="895" w:type="dxa"/>
            <w:gridSpan w:val="2"/>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Real Estate</w:t>
            </w:r>
          </w:p>
        </w:tc>
        <w:tc>
          <w:tcPr>
            <w:tcW w:w="1730" w:type="dxa"/>
            <w:gridSpan w:val="2"/>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Intersegment Eliminations</w:t>
            </w:r>
          </w:p>
        </w:tc>
        <w:tc>
          <w:tcPr>
            <w:tcW w:w="1030" w:type="dxa"/>
            <w:gridSpan w:val="2"/>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150" w:type="dxa"/>
            <w:tcBorders>
              <w:top w:val="single" w:sz="8" w:space="0" w:color="000000"/>
            </w:tcBorders>
            <w:shd w:fill="auto" w:val="clear"/>
            <w:tcMar>
              <w:top w:w="28" w:type="dxa"/>
            </w:tcMar>
            <w:vAlign w:val="bottom"/>
          </w:tcPr>
          <w:p>
            <w:pPr>
              <w:pStyle w:val="TableContents"/>
              <w:spacing w:before="0" w:after="1"/>
              <w:ind w:left="0" w:right="0" w:hanging="0"/>
              <w:jc w:val="both"/>
              <w:rPr>
                <w:sz w:val="15"/>
              </w:rPr>
            </w:pPr>
            <w:r>
              <w:rPr>
                <w:sz w:val="15"/>
              </w:rPr>
              <w:t>Revenue</w:t>
            </w:r>
          </w:p>
        </w:tc>
        <w:tc>
          <w:tcPr>
            <w:tcW w:w="118" w:type="dxa"/>
            <w:tcBorders>
              <w:top w:val="single" w:sz="8" w:space="0" w:color="000000"/>
            </w:tcBorders>
            <w:shd w:fill="auto" w:val="clear"/>
            <w:tcMar>
              <w:top w:w="28" w:type="dxa"/>
            </w:tcMar>
            <w:vAlign w:val="bottom"/>
          </w:tcPr>
          <w:p>
            <w:pPr>
              <w:pStyle w:val="TableContents"/>
              <w:spacing w:before="0" w:after="1"/>
              <w:ind w:left="0" w:right="0" w:hanging="0"/>
              <w:jc w:val="right"/>
              <w:rPr>
                <w:sz w:val="15"/>
              </w:rPr>
            </w:pPr>
            <w:r>
              <w:rPr>
                <w:sz w:val="15"/>
              </w:rPr>
              <w:t>$</w:t>
            </w:r>
          </w:p>
        </w:tc>
        <w:tc>
          <w:tcPr>
            <w:tcW w:w="1146" w:type="dxa"/>
            <w:tcBorders>
              <w:top w:val="single" w:sz="8" w:space="0" w:color="000000"/>
            </w:tcBorders>
            <w:shd w:fill="auto" w:val="clear"/>
            <w:tcMar>
              <w:top w:w="28" w:type="dxa"/>
            </w:tcMar>
            <w:vAlign w:val="bottom"/>
          </w:tcPr>
          <w:p>
            <w:pPr>
              <w:pStyle w:val="TableContents"/>
              <w:spacing w:before="0" w:after="283"/>
              <w:rPr/>
            </w:pPr>
            <w:r>
              <w:rPr/>
              <w:t xml:space="preserve">234,703  </w:t>
            </w:r>
          </w:p>
        </w:tc>
        <w:tc>
          <w:tcPr>
            <w:tcW w:w="95" w:type="dxa"/>
            <w:tcBorders>
              <w:top w:val="single" w:sz="8" w:space="0" w:color="000000"/>
            </w:tcBorders>
            <w:shd w:fill="auto" w:val="clear"/>
            <w:tcMar>
              <w:top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tcBorders>
            <w:shd w:fill="auto" w:val="clear"/>
            <w:tcMar>
              <w:top w:w="28" w:type="dxa"/>
            </w:tcMar>
            <w:vAlign w:val="bottom"/>
          </w:tcPr>
          <w:p>
            <w:pPr>
              <w:pStyle w:val="TableContents"/>
              <w:spacing w:before="0" w:after="283"/>
              <w:rPr/>
            </w:pPr>
            <w:r>
              <w:rPr/>
              <w:t xml:space="preserve">27,256  </w:t>
            </w:r>
          </w:p>
        </w:tc>
        <w:tc>
          <w:tcPr>
            <w:tcW w:w="190" w:type="dxa"/>
            <w:tcBorders>
              <w:top w:val="single" w:sz="8" w:space="0" w:color="000000"/>
            </w:tcBorders>
            <w:shd w:fill="auto" w:val="clear"/>
            <w:tcMar>
              <w:top w:w="28" w:type="dxa"/>
            </w:tcMar>
            <w:vAlign w:val="bottom"/>
          </w:tcPr>
          <w:p>
            <w:pPr>
              <w:pStyle w:val="TableContents"/>
              <w:spacing w:before="0" w:after="1"/>
              <w:ind w:left="0" w:right="0" w:hanging="0"/>
              <w:jc w:val="right"/>
              <w:rPr>
                <w:sz w:val="15"/>
              </w:rPr>
            </w:pPr>
            <w:r>
              <w:rPr>
                <w:sz w:val="15"/>
              </w:rPr>
              <w:t>$</w:t>
            </w:r>
          </w:p>
        </w:tc>
        <w:tc>
          <w:tcPr>
            <w:tcW w:w="1540" w:type="dxa"/>
            <w:tcBorders>
              <w:top w:val="single" w:sz="8" w:space="0" w:color="000000"/>
            </w:tcBorders>
            <w:shd w:fill="auto" w:val="clear"/>
            <w:tcMar>
              <w:top w:w="28" w:type="dxa"/>
            </w:tcMar>
            <w:vAlign w:val="bottom"/>
          </w:tcPr>
          <w:p>
            <w:pPr>
              <w:pStyle w:val="TableContents"/>
              <w:spacing w:before="0" w:after="283"/>
              <w:rPr/>
            </w:pPr>
            <w:r>
              <w:rPr/>
              <w:t xml:space="preserve">(7,529) </w:t>
            </w:r>
          </w:p>
        </w:tc>
        <w:tc>
          <w:tcPr>
            <w:tcW w:w="95" w:type="dxa"/>
            <w:tcBorders>
              <w:top w:val="single" w:sz="8" w:space="0" w:color="000000"/>
            </w:tcBorders>
            <w:shd w:fill="auto" w:val="clear"/>
            <w:tcMar>
              <w:top w:w="28" w:type="dxa"/>
            </w:tcMar>
            <w:vAlign w:val="bottom"/>
          </w:tcPr>
          <w:p>
            <w:pPr>
              <w:pStyle w:val="TableContents"/>
              <w:spacing w:before="0" w:after="1"/>
              <w:ind w:left="0" w:right="0" w:hanging="0"/>
              <w:jc w:val="right"/>
              <w:rPr>
                <w:sz w:val="15"/>
              </w:rPr>
            </w:pPr>
            <w:r>
              <w:rPr>
                <w:sz w:val="15"/>
              </w:rPr>
              <w:t>$</w:t>
            </w:r>
          </w:p>
        </w:tc>
        <w:tc>
          <w:tcPr>
            <w:tcW w:w="935" w:type="dxa"/>
            <w:tcBorders>
              <w:top w:val="single" w:sz="8" w:space="0" w:color="000000"/>
            </w:tcBorders>
            <w:shd w:fill="auto" w:val="clear"/>
            <w:tcMar>
              <w:top w:w="28" w:type="dxa"/>
            </w:tcMar>
            <w:vAlign w:val="bottom"/>
          </w:tcPr>
          <w:p>
            <w:pPr>
              <w:pStyle w:val="TableContents"/>
              <w:spacing w:before="0" w:after="283"/>
              <w:rPr/>
            </w:pPr>
            <w:r>
              <w:rPr/>
              <w:t xml:space="preserve">254,430  </w:t>
            </w:r>
          </w:p>
        </w:tc>
      </w:tr>
      <w:tr>
        <w:trPr/>
        <w:tc>
          <w:tcPr>
            <w:tcW w:w="2150" w:type="dxa"/>
            <w:tcBorders/>
            <w:shd w:fill="auto" w:val="clear"/>
            <w:vAlign w:val="bottom"/>
          </w:tcPr>
          <w:p>
            <w:pPr>
              <w:pStyle w:val="TableContents"/>
              <w:spacing w:before="0" w:after="1"/>
              <w:ind w:left="0" w:right="0" w:hanging="0"/>
              <w:jc w:val="both"/>
              <w:rPr>
                <w:sz w:val="15"/>
              </w:rPr>
            </w:pPr>
            <w:r>
              <w:rPr>
                <w:sz w:val="15"/>
              </w:rPr>
              <w:t>Operating expense</w:t>
            </w:r>
          </w:p>
        </w:tc>
        <w:tc>
          <w:tcPr>
            <w:tcW w:w="118" w:type="dxa"/>
            <w:tcBorders/>
            <w:shd w:fill="auto" w:val="clear"/>
            <w:vAlign w:val="bottom"/>
          </w:tcPr>
          <w:p>
            <w:pPr>
              <w:pStyle w:val="TableContents"/>
              <w:spacing w:before="0" w:after="1"/>
              <w:ind w:left="0" w:right="0" w:hanging="0"/>
              <w:jc w:val="right"/>
              <w:rPr/>
            </w:pPr>
            <w:r>
              <w:rPr/>
              <w:t> </w:t>
            </w:r>
          </w:p>
        </w:tc>
        <w:tc>
          <w:tcPr>
            <w:tcW w:w="1146" w:type="dxa"/>
            <w:tcBorders/>
            <w:shd w:fill="auto" w:val="clear"/>
            <w:vAlign w:val="bottom"/>
          </w:tcPr>
          <w:p>
            <w:pPr>
              <w:pStyle w:val="TableContents"/>
              <w:spacing w:before="0" w:after="283"/>
              <w:rPr/>
            </w:pPr>
            <w:r>
              <w:rPr/>
              <w:t xml:space="preserve">198,040  </w:t>
            </w:r>
          </w:p>
        </w:tc>
        <w:tc>
          <w:tcPr>
            <w:tcW w:w="95" w:type="dxa"/>
            <w:tcBorders/>
            <w:shd w:fill="auto" w:val="clear"/>
            <w:vAlign w:val="bottom"/>
          </w:tcPr>
          <w:p>
            <w:pPr>
              <w:pStyle w:val="TableContents"/>
              <w:spacing w:before="0" w:after="1"/>
              <w:ind w:left="0" w:right="0" w:hanging="0"/>
              <w:jc w:val="right"/>
              <w:rPr/>
            </w:pPr>
            <w:r>
              <w:rPr/>
              <w:t> </w:t>
            </w:r>
          </w:p>
        </w:tc>
        <w:tc>
          <w:tcPr>
            <w:tcW w:w="800" w:type="dxa"/>
            <w:tcBorders/>
            <w:shd w:fill="auto" w:val="clear"/>
            <w:vAlign w:val="bottom"/>
          </w:tcPr>
          <w:p>
            <w:pPr>
              <w:pStyle w:val="TableContents"/>
              <w:spacing w:before="0" w:after="283"/>
              <w:rPr/>
            </w:pPr>
            <w:r>
              <w:rPr/>
              <w:t xml:space="preserve">11,163  </w:t>
            </w:r>
          </w:p>
        </w:tc>
        <w:tc>
          <w:tcPr>
            <w:tcW w:w="190" w:type="dxa"/>
            <w:tcBorders/>
            <w:shd w:fill="auto" w:val="clear"/>
            <w:vAlign w:val="bottom"/>
          </w:tcPr>
          <w:p>
            <w:pPr>
              <w:pStyle w:val="TableContents"/>
              <w:spacing w:before="0" w:after="1"/>
              <w:ind w:left="0" w:right="0" w:hanging="0"/>
              <w:jc w:val="right"/>
              <w:rPr/>
            </w:pPr>
            <w:r>
              <w:rPr/>
              <w:t> </w:t>
            </w:r>
          </w:p>
        </w:tc>
        <w:tc>
          <w:tcPr>
            <w:tcW w:w="1540" w:type="dxa"/>
            <w:tcBorders/>
            <w:shd w:fill="auto" w:val="clear"/>
            <w:vAlign w:val="bottom"/>
          </w:tcPr>
          <w:p>
            <w:pPr>
              <w:pStyle w:val="TableContents"/>
              <w:spacing w:before="0" w:after="283"/>
              <w:rPr/>
            </w:pPr>
            <w:r>
              <w:rPr/>
              <w:t xml:space="preserve">(7,529) </w:t>
            </w:r>
          </w:p>
        </w:tc>
        <w:tc>
          <w:tcPr>
            <w:tcW w:w="95" w:type="dxa"/>
            <w:tcBorders/>
            <w:shd w:fill="auto" w:val="clear"/>
            <w:vAlign w:val="bottom"/>
          </w:tcPr>
          <w:p>
            <w:pPr>
              <w:pStyle w:val="TableContents"/>
              <w:spacing w:before="0" w:after="1"/>
              <w:ind w:left="0" w:right="0" w:hanging="0"/>
              <w:jc w:val="right"/>
              <w:rPr/>
            </w:pPr>
            <w:r>
              <w:rPr/>
              <w:t> </w:t>
            </w:r>
          </w:p>
        </w:tc>
        <w:tc>
          <w:tcPr>
            <w:tcW w:w="935" w:type="dxa"/>
            <w:tcBorders/>
            <w:shd w:fill="auto" w:val="clear"/>
            <w:vAlign w:val="bottom"/>
          </w:tcPr>
          <w:p>
            <w:pPr>
              <w:pStyle w:val="TableContents"/>
              <w:spacing w:before="0" w:after="283"/>
              <w:rPr/>
            </w:pPr>
            <w:r>
              <w:rPr/>
              <w:t xml:space="preserve">201,674  </w:t>
            </w:r>
          </w:p>
        </w:tc>
      </w:tr>
      <w:tr>
        <w:trPr/>
        <w:tc>
          <w:tcPr>
            <w:tcW w:w="2150" w:type="dxa"/>
            <w:tcBorders/>
            <w:shd w:fill="auto" w:val="clear"/>
            <w:vAlign w:val="bottom"/>
          </w:tcPr>
          <w:p>
            <w:pPr>
              <w:pStyle w:val="TableContents"/>
              <w:spacing w:before="0" w:after="1"/>
              <w:ind w:left="0" w:right="0" w:hanging="0"/>
              <w:jc w:val="both"/>
              <w:rPr>
                <w:sz w:val="15"/>
              </w:rPr>
            </w:pPr>
            <w:r>
              <w:rPr>
                <w:sz w:val="15"/>
              </w:rPr>
              <w:t>Depreciation and amortization</w:t>
            </w:r>
          </w:p>
        </w:tc>
        <w:tc>
          <w:tcPr>
            <w:tcW w:w="118" w:type="dxa"/>
            <w:tcBorders/>
            <w:shd w:fill="auto" w:val="clear"/>
            <w:vAlign w:val="bottom"/>
          </w:tcPr>
          <w:p>
            <w:pPr>
              <w:pStyle w:val="TableContents"/>
              <w:spacing w:before="0" w:after="1"/>
              <w:ind w:left="0" w:right="0" w:hanging="0"/>
              <w:jc w:val="right"/>
              <w:rPr/>
            </w:pPr>
            <w:r>
              <w:rPr/>
              <w:t> </w:t>
            </w:r>
          </w:p>
        </w:tc>
        <w:tc>
          <w:tcPr>
            <w:tcW w:w="1146" w:type="dxa"/>
            <w:tcBorders/>
            <w:shd w:fill="auto" w:val="clear"/>
            <w:vAlign w:val="bottom"/>
          </w:tcPr>
          <w:p>
            <w:pPr>
              <w:pStyle w:val="TableContents"/>
              <w:spacing w:before="0" w:after="283"/>
              <w:rPr/>
            </w:pPr>
            <w:r>
              <w:rPr/>
              <w:t xml:space="preserve">11,154  </w:t>
            </w:r>
          </w:p>
        </w:tc>
        <w:tc>
          <w:tcPr>
            <w:tcW w:w="95" w:type="dxa"/>
            <w:tcBorders/>
            <w:shd w:fill="auto" w:val="clear"/>
            <w:vAlign w:val="bottom"/>
          </w:tcPr>
          <w:p>
            <w:pPr>
              <w:pStyle w:val="TableContents"/>
              <w:spacing w:before="0" w:after="1"/>
              <w:ind w:left="0" w:right="0" w:hanging="0"/>
              <w:jc w:val="right"/>
              <w:rPr/>
            </w:pPr>
            <w:r>
              <w:rPr/>
              <w:t> </w:t>
            </w:r>
          </w:p>
        </w:tc>
        <w:tc>
          <w:tcPr>
            <w:tcW w:w="800" w:type="dxa"/>
            <w:tcBorders/>
            <w:shd w:fill="auto" w:val="clear"/>
            <w:vAlign w:val="bottom"/>
          </w:tcPr>
          <w:p>
            <w:pPr>
              <w:pStyle w:val="TableContents"/>
              <w:spacing w:before="0" w:after="283"/>
              <w:rPr/>
            </w:pPr>
            <w:r>
              <w:rPr/>
              <w:t xml:space="preserve">4,441  </w:t>
            </w:r>
          </w:p>
        </w:tc>
        <w:tc>
          <w:tcPr>
            <w:tcW w:w="190" w:type="dxa"/>
            <w:tcBorders/>
            <w:shd w:fill="auto" w:val="clear"/>
            <w:vAlign w:val="bottom"/>
          </w:tcPr>
          <w:p>
            <w:pPr>
              <w:pStyle w:val="TableContents"/>
              <w:spacing w:before="0" w:after="1"/>
              <w:ind w:left="0" w:right="0" w:hanging="0"/>
              <w:jc w:val="right"/>
              <w:rPr/>
            </w:pPr>
            <w:r>
              <w:rPr/>
              <w:t> </w:t>
            </w:r>
          </w:p>
        </w:tc>
        <w:tc>
          <w:tcPr>
            <w:tcW w:w="1540" w:type="dxa"/>
            <w:tcBorders/>
            <w:shd w:fill="auto" w:val="clear"/>
            <w:vAlign w:val="bottom"/>
          </w:tcPr>
          <w:p>
            <w:pPr>
              <w:pStyle w:val="TableContents"/>
              <w:spacing w:before="0" w:after="1"/>
              <w:ind w:left="0" w:right="0" w:hanging="0"/>
              <w:jc w:val="right"/>
              <w:rPr>
                <w:sz w:val="15"/>
              </w:rPr>
            </w:pPr>
            <w:r>
              <w:rPr>
                <w:sz w:val="15"/>
              </w:rPr>
              <w:t>--</w:t>
            </w:r>
          </w:p>
        </w:tc>
        <w:tc>
          <w:tcPr>
            <w:tcW w:w="95" w:type="dxa"/>
            <w:tcBorders/>
            <w:shd w:fill="auto" w:val="clear"/>
            <w:vAlign w:val="bottom"/>
          </w:tcPr>
          <w:p>
            <w:pPr>
              <w:pStyle w:val="TableContents"/>
              <w:spacing w:before="0" w:after="1"/>
              <w:ind w:left="0" w:right="0" w:hanging="0"/>
              <w:jc w:val="right"/>
              <w:rPr/>
            </w:pPr>
            <w:r>
              <w:rPr/>
              <w:t> </w:t>
            </w:r>
          </w:p>
        </w:tc>
        <w:tc>
          <w:tcPr>
            <w:tcW w:w="935" w:type="dxa"/>
            <w:tcBorders/>
            <w:shd w:fill="auto" w:val="clear"/>
            <w:vAlign w:val="bottom"/>
          </w:tcPr>
          <w:p>
            <w:pPr>
              <w:pStyle w:val="TableContents"/>
              <w:spacing w:before="0" w:after="283"/>
              <w:rPr/>
            </w:pPr>
            <w:r>
              <w:rPr/>
              <w:t xml:space="preserve">15,595  </w:t>
            </w:r>
          </w:p>
        </w:tc>
      </w:tr>
      <w:tr>
        <w:trPr/>
        <w:tc>
          <w:tcPr>
            <w:tcW w:w="2150" w:type="dxa"/>
            <w:tcBorders/>
            <w:shd w:fill="auto" w:val="clear"/>
            <w:vAlign w:val="bottom"/>
          </w:tcPr>
          <w:p>
            <w:pPr>
              <w:pStyle w:val="TableContents"/>
              <w:spacing w:before="0" w:after="1"/>
              <w:ind w:left="0" w:right="0" w:hanging="0"/>
              <w:jc w:val="both"/>
              <w:rPr>
                <w:sz w:val="15"/>
              </w:rPr>
            </w:pPr>
            <w:r>
              <w:rPr>
                <w:sz w:val="15"/>
              </w:rPr>
              <w:t>General and administrative expense</w:t>
            </w:r>
          </w:p>
        </w:tc>
        <w:tc>
          <w:tcPr>
            <w:tcW w:w="118" w:type="dxa"/>
            <w:tcBorders/>
            <w:shd w:fill="auto" w:val="clear"/>
            <w:vAlign w:val="bottom"/>
          </w:tcPr>
          <w:p>
            <w:pPr>
              <w:pStyle w:val="TableContents"/>
              <w:spacing w:before="0" w:after="1"/>
              <w:ind w:left="0" w:right="0" w:hanging="0"/>
              <w:jc w:val="right"/>
              <w:rPr/>
            </w:pPr>
            <w:r>
              <w:rPr/>
              <w:t> </w:t>
            </w:r>
          </w:p>
        </w:tc>
        <w:tc>
          <w:tcPr>
            <w:tcW w:w="1146" w:type="dxa"/>
            <w:tcBorders/>
            <w:shd w:fill="auto" w:val="clear"/>
            <w:vAlign w:val="bottom"/>
          </w:tcPr>
          <w:p>
            <w:pPr>
              <w:pStyle w:val="TableContents"/>
              <w:spacing w:before="0" w:after="283"/>
              <w:rPr/>
            </w:pPr>
            <w:r>
              <w:rPr/>
              <w:t xml:space="preserve">2,598  </w:t>
            </w:r>
          </w:p>
        </w:tc>
        <w:tc>
          <w:tcPr>
            <w:tcW w:w="95" w:type="dxa"/>
            <w:tcBorders/>
            <w:shd w:fill="auto" w:val="clear"/>
            <w:vAlign w:val="bottom"/>
          </w:tcPr>
          <w:p>
            <w:pPr>
              <w:pStyle w:val="TableContents"/>
              <w:spacing w:before="0" w:after="1"/>
              <w:ind w:left="0" w:right="0" w:hanging="0"/>
              <w:jc w:val="right"/>
              <w:rPr/>
            </w:pPr>
            <w:r>
              <w:rPr/>
              <w:t> </w:t>
            </w:r>
          </w:p>
        </w:tc>
        <w:tc>
          <w:tcPr>
            <w:tcW w:w="800" w:type="dxa"/>
            <w:tcBorders/>
            <w:shd w:fill="auto" w:val="clear"/>
            <w:vAlign w:val="bottom"/>
          </w:tcPr>
          <w:p>
            <w:pPr>
              <w:pStyle w:val="TableContents"/>
              <w:spacing w:before="0" w:after="283"/>
              <w:rPr/>
            </w:pPr>
            <w:r>
              <w:rPr/>
              <w:t xml:space="preserve">718  </w:t>
            </w:r>
          </w:p>
        </w:tc>
        <w:tc>
          <w:tcPr>
            <w:tcW w:w="190" w:type="dxa"/>
            <w:tcBorders/>
            <w:shd w:fill="auto" w:val="clear"/>
            <w:vAlign w:val="bottom"/>
          </w:tcPr>
          <w:p>
            <w:pPr>
              <w:pStyle w:val="TableContents"/>
              <w:spacing w:before="0" w:after="1"/>
              <w:ind w:left="0" w:right="0" w:hanging="0"/>
              <w:jc w:val="right"/>
              <w:rPr/>
            </w:pPr>
            <w:r>
              <w:rPr/>
              <w:t> </w:t>
            </w:r>
          </w:p>
        </w:tc>
        <w:tc>
          <w:tcPr>
            <w:tcW w:w="1540" w:type="dxa"/>
            <w:tcBorders/>
            <w:shd w:fill="auto" w:val="clear"/>
            <w:vAlign w:val="bottom"/>
          </w:tcPr>
          <w:p>
            <w:pPr>
              <w:pStyle w:val="TableContents"/>
              <w:spacing w:before="0" w:after="1"/>
              <w:ind w:left="0" w:right="0" w:hanging="0"/>
              <w:jc w:val="right"/>
              <w:rPr>
                <w:sz w:val="15"/>
              </w:rPr>
            </w:pPr>
            <w:r>
              <w:rPr>
                <w:sz w:val="15"/>
              </w:rPr>
              <w:t>--</w:t>
            </w:r>
          </w:p>
        </w:tc>
        <w:tc>
          <w:tcPr>
            <w:tcW w:w="95" w:type="dxa"/>
            <w:tcBorders/>
            <w:shd w:fill="auto" w:val="clear"/>
            <w:vAlign w:val="bottom"/>
          </w:tcPr>
          <w:p>
            <w:pPr>
              <w:pStyle w:val="TableContents"/>
              <w:spacing w:before="0" w:after="1"/>
              <w:ind w:left="0" w:right="0" w:hanging="0"/>
              <w:jc w:val="right"/>
              <w:rPr/>
            </w:pPr>
            <w:r>
              <w:rPr/>
              <w:t> </w:t>
            </w:r>
          </w:p>
        </w:tc>
        <w:tc>
          <w:tcPr>
            <w:tcW w:w="935" w:type="dxa"/>
            <w:tcBorders/>
            <w:shd w:fill="auto" w:val="clear"/>
            <w:vAlign w:val="bottom"/>
          </w:tcPr>
          <w:p>
            <w:pPr>
              <w:pStyle w:val="TableContents"/>
              <w:spacing w:before="0" w:after="283"/>
              <w:rPr/>
            </w:pPr>
            <w:r>
              <w:rPr/>
              <w:t xml:space="preserve">3,316  </w:t>
            </w:r>
          </w:p>
        </w:tc>
      </w:tr>
      <w:tr>
        <w:trPr/>
        <w:tc>
          <w:tcPr>
            <w:tcW w:w="2150" w:type="dxa"/>
            <w:tcBorders/>
            <w:shd w:fill="auto" w:val="clear"/>
            <w:vAlign w:val="bottom"/>
          </w:tcPr>
          <w:p>
            <w:pPr>
              <w:pStyle w:val="TableContents"/>
              <w:spacing w:before="0" w:after="1"/>
              <w:ind w:left="0" w:right="0" w:hanging="0"/>
              <w:jc w:val="both"/>
              <w:rPr>
                <w:sz w:val="15"/>
              </w:rPr>
            </w:pPr>
            <w:r>
              <w:rPr>
                <w:sz w:val="15"/>
              </w:rPr>
              <w:t>Impairment expense</w:t>
            </w:r>
          </w:p>
        </w:tc>
        <w:tc>
          <w:tcPr>
            <w:tcW w:w="118" w:type="dxa"/>
            <w:tcBorders/>
            <w:shd w:fill="auto" w:val="clear"/>
            <w:vAlign w:val="bottom"/>
          </w:tcPr>
          <w:p>
            <w:pPr>
              <w:pStyle w:val="TableContents"/>
              <w:spacing w:before="0" w:after="1"/>
              <w:ind w:left="0" w:right="0" w:hanging="0"/>
              <w:jc w:val="right"/>
              <w:rPr/>
            </w:pPr>
            <w:r>
              <w:rPr/>
              <w:t> </w:t>
            </w:r>
          </w:p>
        </w:tc>
        <w:tc>
          <w:tcPr>
            <w:tcW w:w="1146" w:type="dxa"/>
            <w:tcBorders/>
            <w:shd w:fill="auto" w:val="clear"/>
            <w:vAlign w:val="bottom"/>
          </w:tcPr>
          <w:p>
            <w:pPr>
              <w:pStyle w:val="TableContents"/>
              <w:spacing w:before="0" w:after="1"/>
              <w:ind w:left="0" w:right="0" w:hanging="0"/>
              <w:jc w:val="right"/>
              <w:rPr>
                <w:sz w:val="15"/>
              </w:rPr>
            </w:pPr>
            <w:r>
              <w:rPr>
                <w:sz w:val="15"/>
              </w:rPr>
              <w:t>--</w:t>
            </w:r>
          </w:p>
        </w:tc>
        <w:tc>
          <w:tcPr>
            <w:tcW w:w="95" w:type="dxa"/>
            <w:tcBorders/>
            <w:shd w:fill="auto" w:val="clear"/>
            <w:vAlign w:val="bottom"/>
          </w:tcPr>
          <w:p>
            <w:pPr>
              <w:pStyle w:val="TableContents"/>
              <w:spacing w:before="0" w:after="1"/>
              <w:ind w:left="0" w:right="0" w:hanging="0"/>
              <w:jc w:val="right"/>
              <w:rPr/>
            </w:pPr>
            <w:r>
              <w:rPr/>
              <w:t> </w:t>
            </w:r>
          </w:p>
        </w:tc>
        <w:tc>
          <w:tcPr>
            <w:tcW w:w="800" w:type="dxa"/>
            <w:tcBorders/>
            <w:shd w:fill="auto" w:val="clear"/>
            <w:vAlign w:val="bottom"/>
          </w:tcPr>
          <w:p>
            <w:pPr>
              <w:pStyle w:val="TableContents"/>
              <w:spacing w:before="0" w:after="283"/>
              <w:rPr/>
            </w:pPr>
            <w:r>
              <w:rPr/>
              <w:t xml:space="preserve">1,463  </w:t>
            </w:r>
          </w:p>
        </w:tc>
        <w:tc>
          <w:tcPr>
            <w:tcW w:w="190" w:type="dxa"/>
            <w:tcBorders/>
            <w:shd w:fill="auto" w:val="clear"/>
            <w:vAlign w:val="bottom"/>
          </w:tcPr>
          <w:p>
            <w:pPr>
              <w:pStyle w:val="TableContents"/>
              <w:spacing w:before="0" w:after="1"/>
              <w:ind w:left="0" w:right="0" w:hanging="0"/>
              <w:jc w:val="right"/>
              <w:rPr/>
            </w:pPr>
            <w:r>
              <w:rPr/>
              <w:t> </w:t>
            </w:r>
          </w:p>
        </w:tc>
        <w:tc>
          <w:tcPr>
            <w:tcW w:w="1540" w:type="dxa"/>
            <w:tcBorders/>
            <w:shd w:fill="auto" w:val="clear"/>
            <w:vAlign w:val="bottom"/>
          </w:tcPr>
          <w:p>
            <w:pPr>
              <w:pStyle w:val="TableContents"/>
              <w:spacing w:before="0" w:after="1"/>
              <w:ind w:left="0" w:right="0" w:hanging="0"/>
              <w:jc w:val="right"/>
              <w:rPr>
                <w:sz w:val="15"/>
              </w:rPr>
            </w:pPr>
            <w:r>
              <w:rPr>
                <w:sz w:val="15"/>
              </w:rPr>
              <w:t>--</w:t>
            </w:r>
          </w:p>
        </w:tc>
        <w:tc>
          <w:tcPr>
            <w:tcW w:w="95" w:type="dxa"/>
            <w:tcBorders/>
            <w:shd w:fill="auto" w:val="clear"/>
            <w:vAlign w:val="bottom"/>
          </w:tcPr>
          <w:p>
            <w:pPr>
              <w:pStyle w:val="TableContents"/>
              <w:spacing w:before="0" w:after="1"/>
              <w:ind w:left="0" w:right="0" w:hanging="0"/>
              <w:jc w:val="right"/>
              <w:rPr/>
            </w:pPr>
            <w:r>
              <w:rPr/>
              <w:t> </w:t>
            </w:r>
          </w:p>
        </w:tc>
        <w:tc>
          <w:tcPr>
            <w:tcW w:w="935" w:type="dxa"/>
            <w:tcBorders/>
            <w:shd w:fill="auto" w:val="clear"/>
            <w:vAlign w:val="bottom"/>
          </w:tcPr>
          <w:p>
            <w:pPr>
              <w:pStyle w:val="TableContents"/>
              <w:spacing w:before="0" w:after="283"/>
              <w:rPr/>
            </w:pPr>
            <w:r>
              <w:rPr/>
              <w:t xml:space="preserve">1,463  </w:t>
            </w:r>
          </w:p>
        </w:tc>
      </w:tr>
      <w:tr>
        <w:trPr/>
        <w:tc>
          <w:tcPr>
            <w:tcW w:w="215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sz w:val="15"/>
              </w:rPr>
            </w:pPr>
            <w:r>
              <w:rPr>
                <w:sz w:val="15"/>
              </w:rPr>
              <w:t>Segment operating income</w:t>
            </w:r>
          </w:p>
        </w:tc>
        <w:tc>
          <w:tcPr>
            <w:tcW w:w="118"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5"/>
              </w:rPr>
            </w:pPr>
            <w:r>
              <w:rPr>
                <w:sz w:val="15"/>
              </w:rPr>
              <w:t>$</w:t>
            </w:r>
          </w:p>
        </w:tc>
        <w:tc>
          <w:tcPr>
            <w:tcW w:w="1146"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22,911  </w:t>
            </w:r>
          </w:p>
        </w:tc>
        <w:tc>
          <w:tcPr>
            <w:tcW w:w="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5"/>
              </w:rPr>
            </w:pPr>
            <w:r>
              <w:rPr>
                <w:sz w:val="15"/>
              </w:rPr>
              <w:t>$</w:t>
            </w:r>
          </w:p>
        </w:tc>
        <w:tc>
          <w:tcPr>
            <w:tcW w:w="80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9,471  </w:t>
            </w:r>
          </w:p>
        </w:tc>
        <w:tc>
          <w:tcPr>
            <w:tcW w:w="19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5"/>
              </w:rPr>
            </w:pPr>
            <w:r>
              <w:rPr>
                <w:sz w:val="15"/>
              </w:rPr>
              <w:t>$</w:t>
            </w:r>
          </w:p>
        </w:tc>
        <w:tc>
          <w:tcPr>
            <w:tcW w:w="154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5"/>
              </w:rPr>
            </w:pPr>
            <w:r>
              <w:rPr>
                <w:sz w:val="15"/>
              </w:rPr>
              <w:t>--</w:t>
            </w:r>
          </w:p>
        </w:tc>
        <w:tc>
          <w:tcPr>
            <w:tcW w:w="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5"/>
              </w:rPr>
            </w:pPr>
            <w:r>
              <w:rPr>
                <w:sz w:val="15"/>
              </w:rPr>
              <w:t>$</w:t>
            </w:r>
          </w:p>
        </w:tc>
        <w:tc>
          <w:tcPr>
            <w:tcW w:w="93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32,382  </w:t>
            </w:r>
          </w:p>
        </w:tc>
      </w:tr>
    </w:tbl>
    <w:p>
      <w:pPr>
        <w:pStyle w:val="TextBody"/>
        <w:spacing w:before="0" w:after="0"/>
        <w:ind w:left="1440" w:right="0" w:hanging="0"/>
        <w:jc w:val="both"/>
        <w:rPr/>
      </w:pPr>
      <w:r>
        <w:rPr/>
        <w:t xml:space="preserve">  </w:t>
      </w:r>
    </w:p>
    <w:tbl>
      <w:tblPr>
        <w:tblW w:w="570" w:type="dxa"/>
        <w:jc w:val="left"/>
        <w:tblInd w:w="1440" w:type="dxa"/>
        <w:tblCellMar>
          <w:top w:w="0" w:type="dxa"/>
          <w:left w:w="0" w:type="dxa"/>
          <w:bottom w:w="0" w:type="dxa"/>
          <w:right w:w="0" w:type="dxa"/>
        </w:tblCellMar>
      </w:tblPr>
      <w:tblGrid>
        <w:gridCol w:w="75"/>
        <w:gridCol w:w="60"/>
        <w:gridCol w:w="60"/>
        <w:gridCol w:w="60"/>
        <w:gridCol w:w="60"/>
        <w:gridCol w:w="60"/>
        <w:gridCol w:w="60"/>
        <w:gridCol w:w="60"/>
        <w:gridCol w:w="75"/>
      </w:tblGrid>
      <w:tr>
        <w:trPr/>
        <w:tc>
          <w:tcPr>
            <w:tcW w:w="7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tbl>
      <w:tblPr>
        <w:tblW w:w="6597" w:type="dxa"/>
        <w:jc w:val="left"/>
        <w:tblInd w:w="1440" w:type="dxa"/>
        <w:tblCellMar>
          <w:top w:w="0" w:type="dxa"/>
          <w:left w:w="0" w:type="dxa"/>
          <w:bottom w:w="0" w:type="dxa"/>
          <w:right w:w="0" w:type="dxa"/>
        </w:tblCellMar>
      </w:tblPr>
      <w:tblGrid>
        <w:gridCol w:w="2150"/>
        <w:gridCol w:w="170"/>
        <w:gridCol w:w="1094"/>
        <w:gridCol w:w="112"/>
        <w:gridCol w:w="627"/>
        <w:gridCol w:w="275"/>
        <w:gridCol w:w="1454"/>
        <w:gridCol w:w="95"/>
        <w:gridCol w:w="620"/>
      </w:tblGrid>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center"/>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bottom w:val="single" w:sz="8"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Year Ended December 31, 2011</w:t>
            </w:r>
          </w:p>
        </w:tc>
        <w:tc>
          <w:tcPr>
            <w:tcW w:w="1264"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Cinema Exhibition</w:t>
            </w:r>
          </w:p>
        </w:tc>
        <w:tc>
          <w:tcPr>
            <w:tcW w:w="73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Real Estate</w:t>
            </w:r>
          </w:p>
        </w:tc>
        <w:tc>
          <w:tcPr>
            <w:tcW w:w="172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Intersegment Eliminations</w:t>
            </w:r>
          </w:p>
        </w:tc>
        <w:tc>
          <w:tcPr>
            <w:tcW w:w="715"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150"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Revenue</w:t>
            </w:r>
          </w:p>
        </w:tc>
        <w:tc>
          <w:tcPr>
            <w:tcW w:w="170"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225,849  </w:t>
            </w:r>
          </w:p>
        </w:tc>
        <w:tc>
          <w:tcPr>
            <w:tcW w:w="11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26,562  </w:t>
            </w:r>
          </w:p>
        </w:tc>
        <w:tc>
          <w:tcPr>
            <w:tcW w:w="27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(7,432)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244,979  </w:t>
            </w:r>
          </w:p>
        </w:tc>
      </w:tr>
      <w:tr>
        <w:trPr/>
        <w:tc>
          <w:tcPr>
            <w:tcW w:w="2150" w:type="dxa"/>
            <w:tcBorders/>
            <w:shd w:fill="FFFFFF" w:val="clear"/>
            <w:vAlign w:val="bottom"/>
          </w:tcPr>
          <w:p>
            <w:pPr>
              <w:pStyle w:val="TableContents"/>
              <w:spacing w:before="0" w:after="1"/>
              <w:ind w:left="0" w:right="0" w:hanging="0"/>
              <w:jc w:val="both"/>
              <w:rPr>
                <w:sz w:val="15"/>
              </w:rPr>
            </w:pPr>
            <w:r>
              <w:rPr>
                <w:sz w:val="15"/>
              </w:rPr>
              <w:t>Operating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189,647 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10,190 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283"/>
              <w:jc w:val="right"/>
              <w:rPr>
                <w:sz w:val="15"/>
              </w:rPr>
            </w:pPr>
            <w:r>
              <w:rPr>
                <w:sz w:val="15"/>
              </w:rPr>
              <w:t xml:space="preserve">(7,432) </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192,405  </w:t>
            </w:r>
          </w:p>
        </w:tc>
      </w:tr>
      <w:tr>
        <w:trPr/>
        <w:tc>
          <w:tcPr>
            <w:tcW w:w="2150" w:type="dxa"/>
            <w:tcBorders/>
            <w:shd w:fill="CCEEFF" w:val="clear"/>
            <w:vAlign w:val="bottom"/>
          </w:tcPr>
          <w:p>
            <w:pPr>
              <w:pStyle w:val="TableContents"/>
              <w:spacing w:before="0" w:after="1"/>
              <w:ind w:left="0" w:right="0" w:hanging="0"/>
              <w:jc w:val="both"/>
              <w:rPr>
                <w:sz w:val="15"/>
              </w:rPr>
            </w:pPr>
            <w:r>
              <w:rPr>
                <w:sz w:val="15"/>
              </w:rPr>
              <w:t>Depreciation and amortization</w:t>
            </w:r>
          </w:p>
        </w:tc>
        <w:tc>
          <w:tcPr>
            <w:tcW w:w="170" w:type="dxa"/>
            <w:tcBorders/>
            <w:shd w:fill="CCEEFF" w:val="clear"/>
            <w:vAlign w:val="bottom"/>
          </w:tcPr>
          <w:p>
            <w:pPr>
              <w:pStyle w:val="TableContents"/>
              <w:spacing w:before="0" w:after="1"/>
              <w:ind w:left="0" w:right="0" w:hanging="0"/>
              <w:jc w:val="right"/>
              <w:rPr/>
            </w:pPr>
            <w:r>
              <w:rPr/>
              <w:t> </w:t>
            </w:r>
          </w:p>
        </w:tc>
        <w:tc>
          <w:tcPr>
            <w:tcW w:w="1094" w:type="dxa"/>
            <w:tcBorders/>
            <w:shd w:fill="CCEEFF" w:val="clear"/>
            <w:vAlign w:val="bottom"/>
          </w:tcPr>
          <w:p>
            <w:pPr>
              <w:pStyle w:val="TableContents"/>
              <w:spacing w:before="0" w:after="283"/>
              <w:jc w:val="right"/>
              <w:rPr>
                <w:sz w:val="15"/>
              </w:rPr>
            </w:pPr>
            <w:r>
              <w:rPr>
                <w:sz w:val="15"/>
              </w:rPr>
              <w:t xml:space="preserve">11,842  </w:t>
            </w:r>
          </w:p>
        </w:tc>
        <w:tc>
          <w:tcPr>
            <w:tcW w:w="112" w:type="dxa"/>
            <w:tcBorders/>
            <w:shd w:fill="CCEEFF" w:val="clear"/>
            <w:vAlign w:val="bottom"/>
          </w:tcPr>
          <w:p>
            <w:pPr>
              <w:pStyle w:val="TableContents"/>
              <w:spacing w:before="0" w:after="1"/>
              <w:ind w:left="0" w:right="0" w:hanging="0"/>
              <w:jc w:val="right"/>
              <w:rPr/>
            </w:pPr>
            <w:r>
              <w:rPr/>
              <w:t> </w:t>
            </w:r>
          </w:p>
        </w:tc>
        <w:tc>
          <w:tcPr>
            <w:tcW w:w="627" w:type="dxa"/>
            <w:tcBorders/>
            <w:shd w:fill="CCEEFF" w:val="clear"/>
            <w:vAlign w:val="bottom"/>
          </w:tcPr>
          <w:p>
            <w:pPr>
              <w:pStyle w:val="TableContents"/>
              <w:spacing w:before="0" w:after="283"/>
              <w:jc w:val="right"/>
              <w:rPr>
                <w:sz w:val="15"/>
              </w:rPr>
            </w:pPr>
            <w:r>
              <w:rPr>
                <w:sz w:val="15"/>
              </w:rPr>
              <w:t xml:space="preserve">4,444  </w:t>
            </w:r>
          </w:p>
        </w:tc>
        <w:tc>
          <w:tcPr>
            <w:tcW w:w="275" w:type="dxa"/>
            <w:tcBorders/>
            <w:shd w:fill="CCEEFF" w:val="clear"/>
            <w:vAlign w:val="bottom"/>
          </w:tcPr>
          <w:p>
            <w:pPr>
              <w:pStyle w:val="TableContents"/>
              <w:spacing w:before="0" w:after="1"/>
              <w:ind w:left="0" w:right="0" w:hanging="0"/>
              <w:jc w:val="right"/>
              <w:rPr/>
            </w:pPr>
            <w:r>
              <w:rPr/>
              <w:t> </w:t>
            </w:r>
          </w:p>
        </w:tc>
        <w:tc>
          <w:tcPr>
            <w:tcW w:w="1454"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16,286  </w:t>
            </w:r>
          </w:p>
        </w:tc>
      </w:tr>
      <w:tr>
        <w:trPr/>
        <w:tc>
          <w:tcPr>
            <w:tcW w:w="2150" w:type="dxa"/>
            <w:tcBorders/>
            <w:shd w:fill="FFFFFF" w:val="clear"/>
            <w:vAlign w:val="bottom"/>
          </w:tcPr>
          <w:p>
            <w:pPr>
              <w:pStyle w:val="TableContents"/>
              <w:spacing w:before="0" w:after="1"/>
              <w:ind w:left="0" w:right="0" w:hanging="0"/>
              <w:jc w:val="both"/>
              <w:rPr>
                <w:sz w:val="15"/>
              </w:rPr>
            </w:pPr>
            <w:r>
              <w:rPr>
                <w:sz w:val="15"/>
              </w:rPr>
              <w:t>General and administrative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2,740 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646 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3,386 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Impairment expense</w:t>
            </w:r>
          </w:p>
        </w:tc>
        <w:tc>
          <w:tcPr>
            <w:tcW w:w="17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9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1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7"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369  </w:t>
            </w:r>
          </w:p>
        </w:tc>
        <w:tc>
          <w:tcPr>
            <w:tcW w:w="27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5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369  </w:t>
            </w:r>
          </w:p>
        </w:tc>
      </w:tr>
      <w:tr>
        <w:trPr/>
        <w:tc>
          <w:tcPr>
            <w:tcW w:w="21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Segment operating income</w:t>
            </w:r>
          </w:p>
        </w:tc>
        <w:tc>
          <w:tcPr>
            <w:tcW w:w="17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21,620  </w:t>
            </w:r>
          </w:p>
        </w:tc>
        <w:tc>
          <w:tcPr>
            <w:tcW w:w="11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10,913  </w:t>
            </w:r>
          </w:p>
        </w:tc>
        <w:tc>
          <w:tcPr>
            <w:tcW w:w="27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32,533  </w:t>
            </w:r>
          </w:p>
        </w:tc>
      </w:tr>
    </w:tbl>
    <w:p>
      <w:pPr>
        <w:pStyle w:val="TextBody"/>
        <w:spacing w:before="0" w:after="0"/>
        <w:ind w:left="1440" w:right="0" w:hanging="0"/>
        <w:jc w:val="both"/>
        <w:rPr/>
      </w:pPr>
      <w:r>
        <w:rPr/>
        <w:t xml:space="preserve">  </w:t>
      </w:r>
    </w:p>
    <w:tbl>
      <w:tblPr>
        <w:tblW w:w="6597" w:type="dxa"/>
        <w:jc w:val="left"/>
        <w:tblInd w:w="1440" w:type="dxa"/>
        <w:tblCellMar>
          <w:top w:w="0" w:type="dxa"/>
          <w:left w:w="0" w:type="dxa"/>
          <w:bottom w:w="0" w:type="dxa"/>
          <w:right w:w="0" w:type="dxa"/>
        </w:tblCellMar>
      </w:tblPr>
      <w:tblGrid>
        <w:gridCol w:w="2150"/>
        <w:gridCol w:w="170"/>
        <w:gridCol w:w="1094"/>
        <w:gridCol w:w="112"/>
        <w:gridCol w:w="627"/>
        <w:gridCol w:w="275"/>
        <w:gridCol w:w="1454"/>
        <w:gridCol w:w="95"/>
        <w:gridCol w:w="620"/>
      </w:tblGrid>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both"/>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shd w:fill="auto" w:val="clear"/>
            <w:vAlign w:val="bottom"/>
          </w:tcPr>
          <w:p>
            <w:pPr>
              <w:pStyle w:val="TableContents"/>
              <w:spacing w:before="0" w:after="1"/>
              <w:ind w:left="0" w:right="0" w:hanging="0"/>
              <w:jc w:val="both"/>
              <w:rPr/>
            </w:pPr>
            <w:r>
              <w:rPr/>
              <w:t> </w:t>
            </w:r>
          </w:p>
        </w:tc>
        <w:tc>
          <w:tcPr>
            <w:tcW w:w="170" w:type="dxa"/>
            <w:tcBorders/>
            <w:shd w:fill="auto" w:val="clear"/>
            <w:vAlign w:val="bottom"/>
          </w:tcPr>
          <w:p>
            <w:pPr>
              <w:pStyle w:val="TableContents"/>
              <w:spacing w:before="0" w:after="1"/>
              <w:ind w:left="0" w:right="0" w:hanging="0"/>
              <w:jc w:val="both"/>
              <w:rPr/>
            </w:pPr>
            <w:r>
              <w:rPr/>
              <w:t> </w:t>
            </w:r>
          </w:p>
        </w:tc>
        <w:tc>
          <w:tcPr>
            <w:tcW w:w="1094" w:type="dxa"/>
            <w:tcBorders/>
            <w:shd w:fill="auto" w:val="clear"/>
            <w:vAlign w:val="bottom"/>
          </w:tcPr>
          <w:p>
            <w:pPr>
              <w:pStyle w:val="TableContents"/>
              <w:spacing w:before="0" w:after="1"/>
              <w:ind w:left="0" w:right="0" w:hanging="0"/>
              <w:jc w:val="both"/>
              <w:rPr/>
            </w:pPr>
            <w:r>
              <w:rPr/>
              <w:t> </w:t>
            </w:r>
          </w:p>
        </w:tc>
        <w:tc>
          <w:tcPr>
            <w:tcW w:w="112" w:type="dxa"/>
            <w:tcBorders/>
            <w:shd w:fill="auto" w:val="clear"/>
            <w:vAlign w:val="bottom"/>
          </w:tcPr>
          <w:p>
            <w:pPr>
              <w:pStyle w:val="TableContents"/>
              <w:spacing w:before="0" w:after="1"/>
              <w:ind w:left="0" w:right="0" w:hanging="0"/>
              <w:jc w:val="both"/>
              <w:rPr/>
            </w:pPr>
            <w:r>
              <w:rPr/>
              <w:t> </w:t>
            </w:r>
          </w:p>
        </w:tc>
        <w:tc>
          <w:tcPr>
            <w:tcW w:w="627" w:type="dxa"/>
            <w:tcBorders/>
            <w:shd w:fill="auto" w:val="clear"/>
            <w:vAlign w:val="bottom"/>
          </w:tcPr>
          <w:p>
            <w:pPr>
              <w:pStyle w:val="TableContents"/>
              <w:spacing w:before="0" w:after="1"/>
              <w:ind w:left="0" w:right="0" w:hanging="0"/>
              <w:jc w:val="both"/>
              <w:rPr/>
            </w:pPr>
            <w:r>
              <w:rPr/>
              <w:t> </w:t>
            </w:r>
          </w:p>
        </w:tc>
        <w:tc>
          <w:tcPr>
            <w:tcW w:w="275" w:type="dxa"/>
            <w:tcBorders/>
            <w:shd w:fill="auto" w:val="clear"/>
            <w:vAlign w:val="bottom"/>
          </w:tcPr>
          <w:p>
            <w:pPr>
              <w:pStyle w:val="TableContents"/>
              <w:spacing w:before="0" w:after="1"/>
              <w:ind w:left="0" w:right="0" w:hanging="0"/>
              <w:jc w:val="center"/>
              <w:rPr/>
            </w:pPr>
            <w:r>
              <w:rPr/>
              <w:t> </w:t>
            </w:r>
          </w:p>
        </w:tc>
        <w:tc>
          <w:tcPr>
            <w:tcW w:w="1454"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150" w:type="dxa"/>
            <w:tcBorders>
              <w:bottom w:val="single" w:sz="8"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Year Ended December 31, 2010</w:t>
            </w:r>
          </w:p>
        </w:tc>
        <w:tc>
          <w:tcPr>
            <w:tcW w:w="1264"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Cinema Exhibition</w:t>
            </w:r>
          </w:p>
        </w:tc>
        <w:tc>
          <w:tcPr>
            <w:tcW w:w="73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Real Estate</w:t>
            </w:r>
          </w:p>
        </w:tc>
        <w:tc>
          <w:tcPr>
            <w:tcW w:w="1729"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Intersegment Eliminations</w:t>
            </w:r>
          </w:p>
        </w:tc>
        <w:tc>
          <w:tcPr>
            <w:tcW w:w="715" w:type="dxa"/>
            <w:gridSpan w:val="2"/>
            <w:tcBorders>
              <w:bottom w:val="single" w:sz="8"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Total</w:t>
            </w:r>
          </w:p>
        </w:tc>
      </w:tr>
      <w:tr>
        <w:trPr/>
        <w:tc>
          <w:tcPr>
            <w:tcW w:w="2150"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Revenue</w:t>
            </w:r>
          </w:p>
        </w:tc>
        <w:tc>
          <w:tcPr>
            <w:tcW w:w="170"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211,073  </w:t>
            </w:r>
          </w:p>
        </w:tc>
        <w:tc>
          <w:tcPr>
            <w:tcW w:w="112"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24,715  </w:t>
            </w:r>
          </w:p>
        </w:tc>
        <w:tc>
          <w:tcPr>
            <w:tcW w:w="27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(6,466)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229,322  </w:t>
            </w:r>
          </w:p>
        </w:tc>
      </w:tr>
      <w:tr>
        <w:trPr/>
        <w:tc>
          <w:tcPr>
            <w:tcW w:w="2150" w:type="dxa"/>
            <w:tcBorders/>
            <w:shd w:fill="FFFFFF" w:val="clear"/>
            <w:vAlign w:val="bottom"/>
          </w:tcPr>
          <w:p>
            <w:pPr>
              <w:pStyle w:val="TableContents"/>
              <w:spacing w:before="0" w:after="1"/>
              <w:ind w:left="0" w:right="0" w:hanging="0"/>
              <w:jc w:val="both"/>
              <w:rPr>
                <w:sz w:val="15"/>
              </w:rPr>
            </w:pPr>
            <w:r>
              <w:rPr>
                <w:sz w:val="15"/>
              </w:rPr>
              <w:t>Operating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178,261 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9,049 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283"/>
              <w:jc w:val="right"/>
              <w:rPr>
                <w:sz w:val="15"/>
              </w:rPr>
            </w:pPr>
            <w:r>
              <w:rPr>
                <w:sz w:val="15"/>
              </w:rPr>
              <w:t xml:space="preserve">(6,466) </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180,844  </w:t>
            </w:r>
          </w:p>
        </w:tc>
      </w:tr>
      <w:tr>
        <w:trPr/>
        <w:tc>
          <w:tcPr>
            <w:tcW w:w="2150" w:type="dxa"/>
            <w:tcBorders/>
            <w:shd w:fill="CCEEFF" w:val="clear"/>
            <w:vAlign w:val="bottom"/>
          </w:tcPr>
          <w:p>
            <w:pPr>
              <w:pStyle w:val="TableContents"/>
              <w:spacing w:before="0" w:after="1"/>
              <w:ind w:left="0" w:right="0" w:hanging="0"/>
              <w:jc w:val="both"/>
              <w:rPr>
                <w:sz w:val="15"/>
              </w:rPr>
            </w:pPr>
            <w:r>
              <w:rPr>
                <w:sz w:val="15"/>
              </w:rPr>
              <w:t>Depreciation and amortization</w:t>
            </w:r>
          </w:p>
        </w:tc>
        <w:tc>
          <w:tcPr>
            <w:tcW w:w="170" w:type="dxa"/>
            <w:tcBorders/>
            <w:shd w:fill="CCEEFF" w:val="clear"/>
            <w:vAlign w:val="bottom"/>
          </w:tcPr>
          <w:p>
            <w:pPr>
              <w:pStyle w:val="TableContents"/>
              <w:spacing w:before="0" w:after="1"/>
              <w:ind w:left="0" w:right="0" w:hanging="0"/>
              <w:jc w:val="right"/>
              <w:rPr/>
            </w:pPr>
            <w:r>
              <w:rPr/>
              <w:t> </w:t>
            </w:r>
          </w:p>
        </w:tc>
        <w:tc>
          <w:tcPr>
            <w:tcW w:w="1094" w:type="dxa"/>
            <w:tcBorders/>
            <w:shd w:fill="CCEEFF" w:val="clear"/>
            <w:vAlign w:val="bottom"/>
          </w:tcPr>
          <w:p>
            <w:pPr>
              <w:pStyle w:val="TableContents"/>
              <w:spacing w:before="0" w:after="283"/>
              <w:jc w:val="right"/>
              <w:rPr>
                <w:sz w:val="15"/>
              </w:rPr>
            </w:pPr>
            <w:r>
              <w:rPr>
                <w:sz w:val="15"/>
              </w:rPr>
              <w:t xml:space="preserve">10,559  </w:t>
            </w:r>
          </w:p>
        </w:tc>
        <w:tc>
          <w:tcPr>
            <w:tcW w:w="112" w:type="dxa"/>
            <w:tcBorders/>
            <w:shd w:fill="CCEEFF" w:val="clear"/>
            <w:vAlign w:val="bottom"/>
          </w:tcPr>
          <w:p>
            <w:pPr>
              <w:pStyle w:val="TableContents"/>
              <w:spacing w:before="0" w:after="1"/>
              <w:ind w:left="0" w:right="0" w:hanging="0"/>
              <w:jc w:val="right"/>
              <w:rPr/>
            </w:pPr>
            <w:r>
              <w:rPr/>
              <w:t> </w:t>
            </w:r>
          </w:p>
        </w:tc>
        <w:tc>
          <w:tcPr>
            <w:tcW w:w="627" w:type="dxa"/>
            <w:tcBorders/>
            <w:shd w:fill="CCEEFF" w:val="clear"/>
            <w:vAlign w:val="bottom"/>
          </w:tcPr>
          <w:p>
            <w:pPr>
              <w:pStyle w:val="TableContents"/>
              <w:spacing w:before="0" w:after="283"/>
              <w:jc w:val="right"/>
              <w:rPr>
                <w:sz w:val="15"/>
              </w:rPr>
            </w:pPr>
            <w:r>
              <w:rPr>
                <w:sz w:val="15"/>
              </w:rPr>
              <w:t xml:space="preserve">4,289  </w:t>
            </w:r>
          </w:p>
        </w:tc>
        <w:tc>
          <w:tcPr>
            <w:tcW w:w="275" w:type="dxa"/>
            <w:tcBorders/>
            <w:shd w:fill="CCEEFF" w:val="clear"/>
            <w:vAlign w:val="bottom"/>
          </w:tcPr>
          <w:p>
            <w:pPr>
              <w:pStyle w:val="TableContents"/>
              <w:spacing w:before="0" w:after="1"/>
              <w:ind w:left="0" w:right="0" w:hanging="0"/>
              <w:jc w:val="right"/>
              <w:rPr/>
            </w:pPr>
            <w:r>
              <w:rPr/>
              <w:t> </w:t>
            </w:r>
          </w:p>
        </w:tc>
        <w:tc>
          <w:tcPr>
            <w:tcW w:w="1454" w:type="dxa"/>
            <w:tcBorders/>
            <w:shd w:fill="CCEEFF" w:val="clear"/>
            <w:vAlign w:val="bottom"/>
          </w:tcPr>
          <w:p>
            <w:pPr>
              <w:pStyle w:val="TableContents"/>
              <w:spacing w:before="0" w:after="1"/>
              <w:ind w:left="0" w:right="0" w:hanging="0"/>
              <w:jc w:val="right"/>
              <w:rPr>
                <w:sz w:val="15"/>
              </w:rPr>
            </w:pPr>
            <w:r>
              <w:rPr>
                <w:sz w:val="15"/>
              </w:rPr>
              <w:t>--</w:t>
            </w:r>
          </w:p>
        </w:tc>
        <w:tc>
          <w:tcPr>
            <w:tcW w:w="95" w:type="dxa"/>
            <w:tcBorders/>
            <w:shd w:fill="CCEEFF" w:val="clear"/>
            <w:vAlign w:val="bottom"/>
          </w:tcPr>
          <w:p>
            <w:pPr>
              <w:pStyle w:val="TableContents"/>
              <w:spacing w:before="0" w:after="1"/>
              <w:ind w:left="0" w:right="0" w:hanging="0"/>
              <w:jc w:val="right"/>
              <w:rPr/>
            </w:pPr>
            <w:r>
              <w:rPr/>
              <w:t> </w:t>
            </w:r>
          </w:p>
        </w:tc>
        <w:tc>
          <w:tcPr>
            <w:tcW w:w="620" w:type="dxa"/>
            <w:tcBorders/>
            <w:shd w:fill="CCEEFF" w:val="clear"/>
            <w:vAlign w:val="bottom"/>
          </w:tcPr>
          <w:p>
            <w:pPr>
              <w:pStyle w:val="TableContents"/>
              <w:spacing w:before="0" w:after="283"/>
              <w:jc w:val="right"/>
              <w:rPr>
                <w:sz w:val="15"/>
              </w:rPr>
            </w:pPr>
            <w:r>
              <w:rPr>
                <w:sz w:val="15"/>
              </w:rPr>
              <w:t xml:space="preserve">14,848  </w:t>
            </w:r>
          </w:p>
        </w:tc>
      </w:tr>
      <w:tr>
        <w:trPr/>
        <w:tc>
          <w:tcPr>
            <w:tcW w:w="2150" w:type="dxa"/>
            <w:tcBorders/>
            <w:shd w:fill="FFFFFF" w:val="clear"/>
            <w:vAlign w:val="bottom"/>
          </w:tcPr>
          <w:p>
            <w:pPr>
              <w:pStyle w:val="TableContents"/>
              <w:spacing w:before="0" w:after="1"/>
              <w:ind w:left="0" w:right="0" w:hanging="0"/>
              <w:jc w:val="both"/>
              <w:rPr>
                <w:sz w:val="15"/>
              </w:rPr>
            </w:pPr>
            <w:r>
              <w:rPr>
                <w:sz w:val="15"/>
              </w:rPr>
              <w:t>General and administrative expense</w:t>
            </w:r>
          </w:p>
        </w:tc>
        <w:tc>
          <w:tcPr>
            <w:tcW w:w="170" w:type="dxa"/>
            <w:tcBorders/>
            <w:shd w:fill="FFFFFF" w:val="clear"/>
            <w:vAlign w:val="bottom"/>
          </w:tcPr>
          <w:p>
            <w:pPr>
              <w:pStyle w:val="TableContents"/>
              <w:spacing w:before="0" w:after="1"/>
              <w:ind w:left="0" w:right="0" w:hanging="0"/>
              <w:jc w:val="right"/>
              <w:rPr/>
            </w:pPr>
            <w:r>
              <w:rPr/>
              <w:t> </w:t>
            </w:r>
          </w:p>
        </w:tc>
        <w:tc>
          <w:tcPr>
            <w:tcW w:w="1094" w:type="dxa"/>
            <w:tcBorders/>
            <w:shd w:fill="FFFFFF" w:val="clear"/>
            <w:vAlign w:val="bottom"/>
          </w:tcPr>
          <w:p>
            <w:pPr>
              <w:pStyle w:val="TableContents"/>
              <w:spacing w:before="0" w:after="283"/>
              <w:jc w:val="right"/>
              <w:rPr>
                <w:sz w:val="15"/>
              </w:rPr>
            </w:pPr>
            <w:r>
              <w:rPr>
                <w:sz w:val="15"/>
              </w:rPr>
              <w:t xml:space="preserve">2,880  </w:t>
            </w:r>
          </w:p>
        </w:tc>
        <w:tc>
          <w:tcPr>
            <w:tcW w:w="112" w:type="dxa"/>
            <w:tcBorders/>
            <w:shd w:fill="FFFFFF" w:val="clear"/>
            <w:vAlign w:val="bottom"/>
          </w:tcPr>
          <w:p>
            <w:pPr>
              <w:pStyle w:val="TableContents"/>
              <w:spacing w:before="0" w:after="1"/>
              <w:ind w:left="0" w:right="0" w:hanging="0"/>
              <w:jc w:val="right"/>
              <w:rPr/>
            </w:pPr>
            <w:r>
              <w:rPr/>
              <w:t> </w:t>
            </w:r>
          </w:p>
        </w:tc>
        <w:tc>
          <w:tcPr>
            <w:tcW w:w="627" w:type="dxa"/>
            <w:tcBorders/>
            <w:shd w:fill="FFFFFF" w:val="clear"/>
            <w:vAlign w:val="bottom"/>
          </w:tcPr>
          <w:p>
            <w:pPr>
              <w:pStyle w:val="TableContents"/>
              <w:spacing w:before="0" w:after="283"/>
              <w:jc w:val="right"/>
              <w:rPr>
                <w:sz w:val="15"/>
              </w:rPr>
            </w:pPr>
            <w:r>
              <w:rPr>
                <w:sz w:val="15"/>
              </w:rPr>
              <w:t xml:space="preserve">1,043  </w:t>
            </w:r>
          </w:p>
        </w:tc>
        <w:tc>
          <w:tcPr>
            <w:tcW w:w="275" w:type="dxa"/>
            <w:tcBorders/>
            <w:shd w:fill="FFFFFF" w:val="clear"/>
            <w:vAlign w:val="bottom"/>
          </w:tcPr>
          <w:p>
            <w:pPr>
              <w:pStyle w:val="TableContents"/>
              <w:spacing w:before="0" w:after="1"/>
              <w:ind w:left="0" w:right="0" w:hanging="0"/>
              <w:jc w:val="right"/>
              <w:rPr/>
            </w:pPr>
            <w:r>
              <w:rPr/>
              <w:t> </w:t>
            </w:r>
          </w:p>
        </w:tc>
        <w:tc>
          <w:tcPr>
            <w:tcW w:w="1454" w:type="dxa"/>
            <w:tcBorders/>
            <w:shd w:fill="FFFFFF" w:val="clear"/>
            <w:vAlign w:val="bottom"/>
          </w:tcPr>
          <w:p>
            <w:pPr>
              <w:pStyle w:val="TableContents"/>
              <w:spacing w:before="0" w:after="1"/>
              <w:ind w:left="0" w:right="0" w:hanging="0"/>
              <w:jc w:val="right"/>
              <w:rPr>
                <w:sz w:val="15"/>
              </w:rPr>
            </w:pPr>
            <w:r>
              <w:rPr>
                <w:sz w:val="15"/>
              </w:rPr>
              <w:t>--</w:t>
            </w:r>
          </w:p>
        </w:tc>
        <w:tc>
          <w:tcPr>
            <w:tcW w:w="95" w:type="dxa"/>
            <w:tcBorders/>
            <w:shd w:fill="FFFFFF" w:val="clear"/>
            <w:vAlign w:val="bottom"/>
          </w:tcPr>
          <w:p>
            <w:pPr>
              <w:pStyle w:val="TableContents"/>
              <w:spacing w:before="0" w:after="1"/>
              <w:ind w:left="0" w:right="0" w:hanging="0"/>
              <w:jc w:val="right"/>
              <w:rPr/>
            </w:pPr>
            <w:r>
              <w:rPr/>
              <w:t> </w:t>
            </w:r>
          </w:p>
        </w:tc>
        <w:tc>
          <w:tcPr>
            <w:tcW w:w="620" w:type="dxa"/>
            <w:tcBorders/>
            <w:shd w:fill="FFFFFF" w:val="clear"/>
            <w:vAlign w:val="bottom"/>
          </w:tcPr>
          <w:p>
            <w:pPr>
              <w:pStyle w:val="TableContents"/>
              <w:spacing w:before="0" w:after="283"/>
              <w:jc w:val="right"/>
              <w:rPr>
                <w:sz w:val="15"/>
              </w:rPr>
            </w:pPr>
            <w:r>
              <w:rPr>
                <w:sz w:val="15"/>
              </w:rPr>
              <w:t xml:space="preserve">3,923 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5"/>
              </w:rPr>
            </w:pPr>
            <w:r>
              <w:rPr>
                <w:sz w:val="15"/>
              </w:rPr>
              <w:t>Impairment expense</w:t>
            </w:r>
          </w:p>
        </w:tc>
        <w:tc>
          <w:tcPr>
            <w:tcW w:w="17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9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112"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7"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2,239  </w:t>
            </w:r>
          </w:p>
        </w:tc>
        <w:tc>
          <w:tcPr>
            <w:tcW w:w="27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54" w:type="dxa"/>
            <w:tcBorders>
              <w:bottom w:val="single" w:sz="8" w:space="0" w:color="000000"/>
            </w:tcBorders>
            <w:shd w:fill="CCEEFF" w:val="clear"/>
            <w:tcMar>
              <w:bottom w:w="28" w:type="dxa"/>
            </w:tcMar>
            <w:vAlign w:val="bottom"/>
          </w:tcPr>
          <w:p>
            <w:pPr>
              <w:pStyle w:val="TableContents"/>
              <w:spacing w:before="0" w:after="1"/>
              <w:ind w:left="0" w:right="0" w:hanging="0"/>
              <w:jc w:val="right"/>
              <w:rPr>
                <w:sz w:val="15"/>
              </w:rPr>
            </w:pPr>
            <w:r>
              <w:rPr>
                <w:sz w:val="15"/>
              </w:rPr>
              <w:t>--</w:t>
            </w:r>
          </w:p>
        </w:tc>
        <w:tc>
          <w:tcPr>
            <w:tcW w:w="95"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CCEEFF" w:val="clear"/>
            <w:tcMar>
              <w:bottom w:w="28" w:type="dxa"/>
            </w:tcMar>
            <w:vAlign w:val="bottom"/>
          </w:tcPr>
          <w:p>
            <w:pPr>
              <w:pStyle w:val="TableContents"/>
              <w:spacing w:before="0" w:after="283"/>
              <w:jc w:val="right"/>
              <w:rPr>
                <w:sz w:val="15"/>
              </w:rPr>
            </w:pPr>
            <w:r>
              <w:rPr>
                <w:sz w:val="15"/>
              </w:rPr>
              <w:t xml:space="preserve">2,239  </w:t>
            </w:r>
          </w:p>
        </w:tc>
      </w:tr>
      <w:tr>
        <w:trPr/>
        <w:tc>
          <w:tcPr>
            <w:tcW w:w="21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5"/>
              </w:rPr>
            </w:pPr>
            <w:r>
              <w:rPr>
                <w:sz w:val="15"/>
              </w:rPr>
              <w:t>Segment operating income</w:t>
            </w:r>
          </w:p>
        </w:tc>
        <w:tc>
          <w:tcPr>
            <w:tcW w:w="17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09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19,373  </w:t>
            </w:r>
          </w:p>
        </w:tc>
        <w:tc>
          <w:tcPr>
            <w:tcW w:w="112"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7"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8,095  </w:t>
            </w:r>
          </w:p>
        </w:tc>
        <w:tc>
          <w:tcPr>
            <w:tcW w:w="27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1454"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5"/>
              </w:rPr>
            </w:pPr>
            <w:r>
              <w:rPr>
                <w:sz w:val="15"/>
              </w:rPr>
              <w:t>$</w:t>
            </w:r>
          </w:p>
        </w:tc>
        <w:tc>
          <w:tcPr>
            <w:tcW w:w="6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5"/>
              </w:rPr>
            </w:pPr>
            <w:r>
              <w:rPr>
                <w:sz w:val="15"/>
              </w:rPr>
              <w:t xml:space="preserve">27,468  </w:t>
            </w:r>
          </w:p>
        </w:tc>
      </w:tr>
    </w:tbl>
    <w:p>
      <w:pPr>
        <w:pStyle w:val="TextBody"/>
        <w:spacing w:before="0" w:after="0"/>
        <w:ind w:left="1440" w:right="0" w:hanging="0"/>
        <w:jc w:val="both"/>
        <w:rPr/>
      </w:pPr>
      <w:r>
        <w:rPr/>
        <w:t xml:space="preserve">  </w:t>
      </w:r>
    </w:p>
    <w:p>
      <w:pPr>
        <w:pStyle w:val="TextBody"/>
        <w:pBdr/>
        <w:spacing w:before="0" w:after="0"/>
        <w:ind w:left="1440" w:right="0" w:hanging="0"/>
        <w:jc w:val="both"/>
        <w:rPr/>
      </w:pPr>
      <w:r>
        <w:rPr/>
        <w:t xml:space="preserve">  </w:t>
      </w:r>
    </w:p>
    <w:p>
      <w:pPr>
        <w:pStyle w:val="TextBody"/>
        <w:pBdr/>
        <w:spacing w:before="0" w:after="0"/>
        <w:ind w:left="1440" w:right="0" w:hanging="0"/>
        <w:jc w:val="both"/>
        <w:rPr/>
      </w:pPr>
      <w:r>
        <w:rPr/>
        <w:t xml:space="preserve">  </w:t>
      </w:r>
    </w:p>
    <w:p>
      <w:pPr>
        <w:pStyle w:val="TextBody"/>
        <w:pBdr/>
        <w:spacing w:before="0" w:after="0"/>
        <w:ind w:left="1440" w:right="0" w:hanging="0"/>
        <w:jc w:val="both"/>
        <w:rPr/>
      </w:pPr>
      <w:r>
        <w:rPr/>
        <w:t xml:space="preserve">  </w:t>
      </w:r>
    </w:p>
    <w:p>
      <w:pPr>
        <w:pStyle w:val="TextBody"/>
        <w:pBdr/>
        <w:spacing w:before="0" w:after="0"/>
        <w:ind w:left="1440" w:right="0" w:hanging="0"/>
        <w:jc w:val="both"/>
        <w:rPr/>
      </w:pPr>
      <w:r>
        <w:rPr/>
        <w:t xml:space="preserve">  </w:t>
      </w:r>
    </w:p>
    <w:tbl>
      <w:tblPr>
        <w:tblW w:w="7130" w:type="dxa"/>
        <w:jc w:val="left"/>
        <w:tblInd w:w="1440" w:type="dxa"/>
        <w:tblCellMar>
          <w:top w:w="0" w:type="dxa"/>
          <w:left w:w="0" w:type="dxa"/>
          <w:bottom w:w="0" w:type="dxa"/>
          <w:right w:w="0" w:type="dxa"/>
        </w:tblCellMar>
      </w:tblPr>
      <w:tblGrid>
        <w:gridCol w:w="4985"/>
        <w:gridCol w:w="60"/>
        <w:gridCol w:w="60"/>
        <w:gridCol w:w="95"/>
        <w:gridCol w:w="575"/>
        <w:gridCol w:w="95"/>
        <w:gridCol w:w="575"/>
        <w:gridCol w:w="95"/>
        <w:gridCol w:w="590"/>
      </w:tblGrid>
      <w:tr>
        <w:trPr/>
        <w:tc>
          <w:tcPr>
            <w:tcW w:w="49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498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both"/>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75"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90" w:type="dxa"/>
            <w:tcBorders/>
            <w:shd w:fill="auto" w:val="clear"/>
            <w:vAlign w:val="bottom"/>
          </w:tcPr>
          <w:p>
            <w:pPr>
              <w:pStyle w:val="TableContents"/>
              <w:spacing w:before="0" w:after="1"/>
              <w:ind w:left="0" w:right="0" w:hanging="0"/>
              <w:jc w:val="both"/>
              <w:rPr/>
            </w:pPr>
            <w:r>
              <w:rPr/>
              <w:t> </w:t>
            </w:r>
          </w:p>
        </w:tc>
      </w:tr>
      <w:tr>
        <w:trPr/>
        <w:tc>
          <w:tcPr>
            <w:tcW w:w="4985" w:type="dxa"/>
            <w:tcBorders/>
            <w:shd w:fill="auto" w:val="clear"/>
            <w:vAlign w:val="bottom"/>
          </w:tcPr>
          <w:p>
            <w:pPr>
              <w:pStyle w:val="TableContents"/>
              <w:spacing w:before="0" w:after="1"/>
              <w:ind w:left="0" w:right="0" w:hanging="0"/>
              <w:jc w:val="both"/>
              <w:rPr>
                <w:b/>
                <w:sz w:val="15"/>
              </w:rPr>
            </w:pPr>
            <w:r>
              <w:rPr>
                <w:b/>
                <w:sz w:val="15"/>
              </w:rPr>
              <w:t>Reconciliation to net income attributable</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75" w:type="dxa"/>
            <w:tcBorders/>
            <w:shd w:fill="auto" w:val="clear"/>
            <w:vAlign w:val="bottom"/>
          </w:tcPr>
          <w:p>
            <w:pPr>
              <w:pStyle w:val="TableContents"/>
              <w:spacing w:before="0" w:after="1"/>
              <w:ind w:left="0" w:right="0" w:hanging="0"/>
              <w:jc w:val="center"/>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75" w:type="dxa"/>
            <w:tcBorders/>
            <w:shd w:fill="auto" w:val="clear"/>
            <w:vAlign w:val="bottom"/>
          </w:tcPr>
          <w:p>
            <w:pPr>
              <w:pStyle w:val="TableContents"/>
              <w:spacing w:before="0" w:after="1"/>
              <w:ind w:left="0" w:right="0" w:hanging="0"/>
              <w:jc w:val="center"/>
              <w:rPr/>
            </w:pPr>
            <w:r>
              <w:rPr/>
              <w:t> </w:t>
            </w:r>
          </w:p>
        </w:tc>
        <w:tc>
          <w:tcPr>
            <w:tcW w:w="95" w:type="dxa"/>
            <w:tcBorders/>
            <w:shd w:fill="auto" w:val="clear"/>
            <w:vAlign w:val="bottom"/>
          </w:tcPr>
          <w:p>
            <w:pPr>
              <w:pStyle w:val="TableContents"/>
              <w:spacing w:before="0" w:after="1"/>
              <w:ind w:left="0" w:right="0" w:hanging="0"/>
              <w:jc w:val="right"/>
              <w:rPr/>
            </w:pPr>
            <w:r>
              <w:rPr/>
              <w:t> </w:t>
            </w:r>
          </w:p>
        </w:tc>
        <w:tc>
          <w:tcPr>
            <w:tcW w:w="590" w:type="dxa"/>
            <w:tcBorders/>
            <w:shd w:fill="auto" w:val="clear"/>
            <w:vAlign w:val="bottom"/>
          </w:tcPr>
          <w:p>
            <w:pPr>
              <w:pStyle w:val="TableContents"/>
              <w:spacing w:before="0" w:after="1"/>
              <w:ind w:left="0" w:right="0" w:hanging="0"/>
              <w:jc w:val="center"/>
              <w:rPr/>
            </w:pPr>
            <w:r>
              <w:rPr/>
              <w:t> </w:t>
            </w:r>
          </w:p>
        </w:tc>
      </w:tr>
      <w:tr>
        <w:trPr/>
        <w:tc>
          <w:tcPr>
            <w:tcW w:w="498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5"/>
              </w:rPr>
            </w:pPr>
            <w:r>
              <w:rPr>
                <w:b/>
                <w:sz w:val="15"/>
              </w:rPr>
              <w:t>to Reading International, Inc. shareholders: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2012</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7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2011</w:t>
            </w:r>
          </w:p>
        </w:tc>
        <w:tc>
          <w:tcPr>
            <w:tcW w:w="9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59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5"/>
              </w:rPr>
            </w:pPr>
            <w:r>
              <w:rPr>
                <w:b/>
                <w:sz w:val="15"/>
              </w:rPr>
              <w:t>2010</w:t>
            </w:r>
          </w:p>
        </w:tc>
      </w:tr>
      <w:tr>
        <w:trPr/>
        <w:tc>
          <w:tcPr>
            <w:tcW w:w="4985" w:type="dxa"/>
            <w:tcBorders>
              <w:top w:val="single" w:sz="12" w:space="0" w:color="000000"/>
            </w:tcBorders>
            <w:shd w:fill="CCEEFF" w:val="clear"/>
            <w:tcMar>
              <w:top w:w="28" w:type="dxa"/>
            </w:tcMar>
            <w:vAlign w:val="bottom"/>
          </w:tcPr>
          <w:p>
            <w:pPr>
              <w:pStyle w:val="TableContents"/>
              <w:spacing w:before="0" w:after="1"/>
              <w:ind w:left="0" w:right="0" w:hanging="0"/>
              <w:jc w:val="both"/>
              <w:rPr>
                <w:sz w:val="15"/>
              </w:rPr>
            </w:pPr>
            <w:r>
              <w:rPr>
                <w:sz w:val="15"/>
              </w:rPr>
              <w:t>Total segment operating income</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32,382 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32,533  </w:t>
            </w:r>
          </w:p>
        </w:tc>
        <w:tc>
          <w:tcPr>
            <w:tcW w:w="95" w:type="dxa"/>
            <w:tcBorders>
              <w:top w:val="single" w:sz="12"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27,468  </w:t>
            </w:r>
          </w:p>
        </w:tc>
      </w:tr>
      <w:tr>
        <w:trPr/>
        <w:tc>
          <w:tcPr>
            <w:tcW w:w="4985" w:type="dxa"/>
            <w:tcBorders/>
            <w:shd w:fill="FFFFFF" w:val="clear"/>
            <w:vAlign w:val="bottom"/>
          </w:tcPr>
          <w:p>
            <w:pPr>
              <w:pStyle w:val="TableContents"/>
              <w:spacing w:before="0" w:after="1"/>
              <w:ind w:left="120" w:right="0" w:hanging="0"/>
              <w:jc w:val="both"/>
              <w:rPr>
                <w:sz w:val="15"/>
              </w:rPr>
            </w:pPr>
            <w:r>
              <w:rPr>
                <w:sz w:val="15"/>
              </w:rPr>
              <w:t>Non-segment:</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1"/>
              <w:ind w:left="0" w:right="0" w:hanging="0"/>
              <w:jc w:val="right"/>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1"/>
              <w:ind w:left="0" w:right="0" w:hanging="0"/>
              <w:jc w:val="right"/>
              <w:rPr/>
            </w:pPr>
            <w:r>
              <w:rPr/>
              <w:t> </w:t>
            </w:r>
          </w:p>
        </w:tc>
      </w:tr>
      <w:tr>
        <w:trPr/>
        <w:tc>
          <w:tcPr>
            <w:tcW w:w="4985" w:type="dxa"/>
            <w:tcBorders/>
            <w:shd w:fill="CCEEFF" w:val="clear"/>
            <w:vAlign w:val="bottom"/>
          </w:tcPr>
          <w:p>
            <w:pPr>
              <w:pStyle w:val="TableContents"/>
              <w:spacing w:before="0" w:after="1"/>
              <w:ind w:left="240" w:right="0" w:hanging="0"/>
              <w:jc w:val="both"/>
              <w:rPr>
                <w:sz w:val="15"/>
              </w:rPr>
            </w:pPr>
            <w:r>
              <w:rPr>
                <w:sz w:val="15"/>
              </w:rPr>
              <w:t>Depreciation and amortization expense</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454 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309 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715  </w:t>
            </w:r>
          </w:p>
        </w:tc>
      </w:tr>
      <w:tr>
        <w:trPr/>
        <w:tc>
          <w:tcPr>
            <w:tcW w:w="4985" w:type="dxa"/>
            <w:tcBorders>
              <w:bottom w:val="single" w:sz="8" w:space="0" w:color="000000"/>
            </w:tcBorders>
            <w:shd w:fill="FFFFFF" w:val="clear"/>
            <w:tcMar>
              <w:bottom w:w="28" w:type="dxa"/>
            </w:tcMar>
            <w:vAlign w:val="bottom"/>
          </w:tcPr>
          <w:p>
            <w:pPr>
              <w:pStyle w:val="TableContents"/>
              <w:spacing w:before="0" w:after="1"/>
              <w:ind w:left="240" w:right="0" w:hanging="0"/>
              <w:jc w:val="both"/>
              <w:rPr>
                <w:sz w:val="15"/>
              </w:rPr>
            </w:pPr>
            <w:r>
              <w:rPr>
                <w:sz w:val="15"/>
              </w:rPr>
              <w:t>General and administrative expense</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12,801 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14,046 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13,684  </w:t>
            </w:r>
          </w:p>
        </w:tc>
      </w:tr>
      <w:tr>
        <w:trPr/>
        <w:tc>
          <w:tcPr>
            <w:tcW w:w="4985"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Operating income</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19,127 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18,178 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59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13,069  </w:t>
            </w:r>
          </w:p>
        </w:tc>
      </w:tr>
      <w:tr>
        <w:trPr/>
        <w:tc>
          <w:tcPr>
            <w:tcW w:w="4985" w:type="dxa"/>
            <w:tcBorders/>
            <w:shd w:fill="FFFFFF" w:val="clear"/>
            <w:vAlign w:val="bottom"/>
          </w:tcPr>
          <w:p>
            <w:pPr>
              <w:pStyle w:val="TableContents"/>
              <w:spacing w:before="0" w:after="1"/>
              <w:ind w:left="120" w:right="0" w:hanging="0"/>
              <w:jc w:val="both"/>
              <w:rPr>
                <w:sz w:val="15"/>
              </w:rPr>
            </w:pPr>
            <w:r>
              <w:rPr>
                <w:sz w:val="15"/>
              </w:rPr>
              <w:t>Interest expense, net</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(16,426)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(21,038)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(12,286) </w:t>
            </w:r>
          </w:p>
        </w:tc>
      </w:tr>
      <w:tr>
        <w:trPr/>
        <w:tc>
          <w:tcPr>
            <w:tcW w:w="4985" w:type="dxa"/>
            <w:tcBorders/>
            <w:shd w:fill="CCEEFF" w:val="clear"/>
            <w:vAlign w:val="bottom"/>
          </w:tcPr>
          <w:p>
            <w:pPr>
              <w:pStyle w:val="TableContents"/>
              <w:spacing w:before="0" w:after="1"/>
              <w:ind w:left="120" w:right="0" w:hanging="0"/>
              <w:jc w:val="both"/>
              <w:rPr>
                <w:sz w:val="15"/>
              </w:rPr>
            </w:pPr>
            <w:r>
              <w:rPr>
                <w:sz w:val="15"/>
              </w:rPr>
              <w:t>Other income (loss)</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(563)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1,157 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(347) </w:t>
            </w:r>
          </w:p>
        </w:tc>
      </w:tr>
      <w:tr>
        <w:trPr/>
        <w:tc>
          <w:tcPr>
            <w:tcW w:w="4985" w:type="dxa"/>
            <w:tcBorders/>
            <w:shd w:fill="FFFFFF" w:val="clear"/>
            <w:vAlign w:val="bottom"/>
          </w:tcPr>
          <w:p>
            <w:pPr>
              <w:pStyle w:val="TableContents"/>
              <w:spacing w:before="0" w:after="1"/>
              <w:ind w:left="120" w:right="0" w:hanging="0"/>
              <w:jc w:val="both"/>
              <w:rPr>
                <w:sz w:val="15"/>
              </w:rPr>
            </w:pPr>
            <w:r>
              <w:rPr>
                <w:sz w:val="15"/>
              </w:rPr>
              <w:t>Gain (loss) on sale of assets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144 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(67)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352  </w:t>
            </w:r>
          </w:p>
        </w:tc>
      </w:tr>
      <w:tr>
        <w:trPr/>
        <w:tc>
          <w:tcPr>
            <w:tcW w:w="4985" w:type="dxa"/>
            <w:tcBorders/>
            <w:shd w:fill="CCEEFF" w:val="clear"/>
            <w:vAlign w:val="bottom"/>
          </w:tcPr>
          <w:p>
            <w:pPr>
              <w:pStyle w:val="TableContents"/>
              <w:spacing w:before="0" w:after="1"/>
              <w:ind w:left="120" w:right="0" w:hanging="0"/>
              <w:jc w:val="both"/>
              <w:rPr>
                <w:sz w:val="15"/>
              </w:rPr>
            </w:pPr>
            <w:r>
              <w:rPr>
                <w:sz w:val="15"/>
              </w:rPr>
              <w:t>Income tax benefit (expense)</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(4,904)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12,330 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(14,264) </w:t>
            </w:r>
          </w:p>
        </w:tc>
      </w:tr>
      <w:tr>
        <w:trPr/>
        <w:tc>
          <w:tcPr>
            <w:tcW w:w="4985" w:type="dxa"/>
            <w:tcBorders/>
            <w:shd w:fill="FFFFFF" w:val="clear"/>
            <w:vAlign w:val="bottom"/>
          </w:tcPr>
          <w:p>
            <w:pPr>
              <w:pStyle w:val="TableContents"/>
              <w:spacing w:before="0" w:after="1"/>
              <w:ind w:left="120" w:right="0" w:hanging="0"/>
              <w:jc w:val="both"/>
              <w:rPr>
                <w:sz w:val="15"/>
              </w:rPr>
            </w:pPr>
            <w:r>
              <w:rPr>
                <w:sz w:val="15"/>
              </w:rPr>
              <w:t>Equity earnings (loss) of unconsolidated joint ventures and entities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1,621  </w:t>
            </w:r>
          </w:p>
        </w:tc>
        <w:tc>
          <w:tcPr>
            <w:tcW w:w="95" w:type="dxa"/>
            <w:tcBorders/>
            <w:shd w:fill="FFFFFF" w:val="clear"/>
            <w:vAlign w:val="bottom"/>
          </w:tcPr>
          <w:p>
            <w:pPr>
              <w:pStyle w:val="TableContents"/>
              <w:spacing w:before="0" w:after="1"/>
              <w:ind w:left="0" w:right="0" w:hanging="0"/>
              <w:jc w:val="right"/>
              <w:rPr/>
            </w:pPr>
            <w:r>
              <w:rPr/>
              <w:t> </w:t>
            </w:r>
          </w:p>
        </w:tc>
        <w:tc>
          <w:tcPr>
            <w:tcW w:w="575" w:type="dxa"/>
            <w:tcBorders/>
            <w:shd w:fill="FFFFFF" w:val="clear"/>
            <w:vAlign w:val="bottom"/>
          </w:tcPr>
          <w:p>
            <w:pPr>
              <w:pStyle w:val="TableContents"/>
              <w:spacing w:before="0" w:after="283"/>
              <w:jc w:val="right"/>
              <w:rPr>
                <w:sz w:val="15"/>
              </w:rPr>
            </w:pPr>
            <w:r>
              <w:rPr>
                <w:sz w:val="15"/>
              </w:rPr>
              <w:t xml:space="preserve">(1,552) </w:t>
            </w:r>
          </w:p>
        </w:tc>
        <w:tc>
          <w:tcPr>
            <w:tcW w:w="95" w:type="dxa"/>
            <w:tcBorders/>
            <w:shd w:fill="FFFFFF" w:val="clear"/>
            <w:vAlign w:val="bottom"/>
          </w:tcPr>
          <w:p>
            <w:pPr>
              <w:pStyle w:val="TableContents"/>
              <w:spacing w:before="0" w:after="1"/>
              <w:ind w:left="0" w:right="0" w:hanging="0"/>
              <w:jc w:val="right"/>
              <w:rPr/>
            </w:pPr>
            <w:r>
              <w:rPr/>
              <w:t> </w:t>
            </w:r>
          </w:p>
        </w:tc>
        <w:tc>
          <w:tcPr>
            <w:tcW w:w="590" w:type="dxa"/>
            <w:tcBorders/>
            <w:shd w:fill="FFFFFF" w:val="clear"/>
            <w:vAlign w:val="bottom"/>
          </w:tcPr>
          <w:p>
            <w:pPr>
              <w:pStyle w:val="TableContents"/>
              <w:spacing w:before="0" w:after="283"/>
              <w:jc w:val="right"/>
              <w:rPr>
                <w:sz w:val="15"/>
              </w:rPr>
            </w:pPr>
            <w:r>
              <w:rPr>
                <w:sz w:val="15"/>
              </w:rPr>
              <w:t xml:space="preserve">1,345  </w:t>
            </w:r>
          </w:p>
        </w:tc>
      </w:tr>
      <w:tr>
        <w:trPr/>
        <w:tc>
          <w:tcPr>
            <w:tcW w:w="4985" w:type="dxa"/>
            <w:tcBorders/>
            <w:shd w:fill="CCEEFF" w:val="clear"/>
            <w:vAlign w:val="bottom"/>
          </w:tcPr>
          <w:p>
            <w:pPr>
              <w:pStyle w:val="TableContents"/>
              <w:spacing w:before="0" w:after="1"/>
              <w:ind w:left="120" w:right="0" w:hanging="0"/>
              <w:jc w:val="both"/>
              <w:rPr>
                <w:sz w:val="15"/>
              </w:rPr>
            </w:pPr>
            <w:r>
              <w:rPr>
                <w:sz w:val="15"/>
              </w:rPr>
              <w:t>Income (loss) from discontinued operations</w:t>
            </w:r>
          </w:p>
        </w:tc>
        <w:tc>
          <w:tcPr>
            <w:tcW w:w="60" w:type="dxa"/>
            <w:tcBorders/>
            <w:shd w:fill="CCEEFF" w:val="clear"/>
            <w:vAlign w:val="bottom"/>
          </w:tcPr>
          <w:p>
            <w:pPr>
              <w:pStyle w:val="TableContents"/>
              <w:spacing w:before="0" w:after="1"/>
              <w:ind w:left="0" w:right="0" w:hanging="0"/>
              <w:jc w:val="both"/>
              <w:rPr/>
            </w:pPr>
            <w:r>
              <w:rPr/>
              <w:t> </w:t>
            </w:r>
          </w:p>
        </w:tc>
        <w:tc>
          <w:tcPr>
            <w:tcW w:w="60" w:type="dxa"/>
            <w:tcBorders/>
            <w:shd w:fill="CCEEFF" w:val="clear"/>
            <w:vAlign w:val="bottom"/>
          </w:tcPr>
          <w:p>
            <w:pPr>
              <w:pStyle w:val="TableContents"/>
              <w:spacing w:before="0" w:after="1"/>
              <w:ind w:left="0" w:right="0" w:hanging="0"/>
              <w:jc w:val="both"/>
              <w:rPr/>
            </w:pPr>
            <w:r>
              <w:rPr/>
              <w:t>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(85) </w:t>
            </w:r>
          </w:p>
        </w:tc>
        <w:tc>
          <w:tcPr>
            <w:tcW w:w="95" w:type="dxa"/>
            <w:tcBorders/>
            <w:shd w:fill="CCEEFF" w:val="clear"/>
            <w:vAlign w:val="bottom"/>
          </w:tcPr>
          <w:p>
            <w:pPr>
              <w:pStyle w:val="TableContents"/>
              <w:spacing w:before="0" w:after="1"/>
              <w:ind w:left="0" w:right="0" w:hanging="0"/>
              <w:jc w:val="right"/>
              <w:rPr/>
            </w:pPr>
            <w:r>
              <w:rPr/>
              <w:t> </w:t>
            </w:r>
          </w:p>
        </w:tc>
        <w:tc>
          <w:tcPr>
            <w:tcW w:w="575" w:type="dxa"/>
            <w:tcBorders/>
            <w:shd w:fill="CCEEFF" w:val="clear"/>
            <w:vAlign w:val="bottom"/>
          </w:tcPr>
          <w:p>
            <w:pPr>
              <w:pStyle w:val="TableContents"/>
              <w:spacing w:before="0" w:after="283"/>
              <w:jc w:val="right"/>
              <w:rPr>
                <w:sz w:val="15"/>
              </w:rPr>
            </w:pPr>
            <w:r>
              <w:rPr>
                <w:sz w:val="15"/>
              </w:rPr>
              <w:t xml:space="preserve">232  </w:t>
            </w:r>
          </w:p>
        </w:tc>
        <w:tc>
          <w:tcPr>
            <w:tcW w:w="95" w:type="dxa"/>
            <w:tcBorders/>
            <w:shd w:fill="CCEEFF" w:val="clear"/>
            <w:vAlign w:val="bottom"/>
          </w:tcPr>
          <w:p>
            <w:pPr>
              <w:pStyle w:val="TableContents"/>
              <w:spacing w:before="0" w:after="1"/>
              <w:ind w:left="0" w:right="0" w:hanging="0"/>
              <w:jc w:val="right"/>
              <w:rPr/>
            </w:pPr>
            <w:r>
              <w:rPr/>
              <w:t> </w:t>
            </w:r>
          </w:p>
        </w:tc>
        <w:tc>
          <w:tcPr>
            <w:tcW w:w="590" w:type="dxa"/>
            <w:tcBorders/>
            <w:shd w:fill="CCEEFF" w:val="clear"/>
            <w:vAlign w:val="bottom"/>
          </w:tcPr>
          <w:p>
            <w:pPr>
              <w:pStyle w:val="TableContents"/>
              <w:spacing w:before="0" w:after="283"/>
              <w:jc w:val="right"/>
              <w:rPr>
                <w:sz w:val="15"/>
              </w:rPr>
            </w:pPr>
            <w:r>
              <w:rPr>
                <w:sz w:val="15"/>
              </w:rPr>
              <w:t xml:space="preserve">97  </w:t>
            </w:r>
          </w:p>
        </w:tc>
      </w:tr>
      <w:tr>
        <w:trPr/>
        <w:tc>
          <w:tcPr>
            <w:tcW w:w="498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5"/>
              </w:rPr>
            </w:pPr>
            <w:r>
              <w:rPr>
                <w:sz w:val="15"/>
              </w:rPr>
              <w:t>Gain (loss) on sale of discontinued operation</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(320)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1,656 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1"/>
              <w:ind w:left="0" w:right="0" w:hanging="0"/>
              <w:jc w:val="right"/>
              <w:rPr>
                <w:sz w:val="15"/>
              </w:rPr>
            </w:pPr>
            <w:r>
              <w:rPr>
                <w:sz w:val="15"/>
              </w:rPr>
              <w:t>--</w:t>
            </w:r>
          </w:p>
        </w:tc>
      </w:tr>
      <w:tr>
        <w:trPr/>
        <w:tc>
          <w:tcPr>
            <w:tcW w:w="4985" w:type="dxa"/>
            <w:tcBorders>
              <w:top w:val="single" w:sz="8" w:space="0" w:color="000000"/>
            </w:tcBorders>
            <w:shd w:fill="CCEEFF" w:val="clear"/>
            <w:tcMar>
              <w:top w:w="28" w:type="dxa"/>
            </w:tcMar>
            <w:vAlign w:val="bottom"/>
          </w:tcPr>
          <w:p>
            <w:pPr>
              <w:pStyle w:val="TableContents"/>
              <w:spacing w:before="0" w:after="1"/>
              <w:ind w:left="0" w:right="0" w:hanging="0"/>
              <w:jc w:val="both"/>
              <w:rPr>
                <w:sz w:val="15"/>
              </w:rPr>
            </w:pPr>
            <w:r>
              <w:rPr>
                <w:sz w:val="15"/>
              </w:rPr>
              <w:t>Net income (loss)</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(1,406)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10,896  </w:t>
            </w:r>
          </w:p>
        </w:tc>
        <w:tc>
          <w:tcPr>
            <w:tcW w:w="95" w:type="dxa"/>
            <w:tcBorders>
              <w:top w:val="single" w:sz="8" w:space="0" w:color="000000"/>
            </w:tcBorders>
            <w:shd w:fill="CCEEFF" w:val="clear"/>
            <w:tcMar>
              <w:top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tcBorders>
            <w:shd w:fill="CCEEFF" w:val="clear"/>
            <w:tcMar>
              <w:top w:w="28" w:type="dxa"/>
            </w:tcMar>
            <w:vAlign w:val="bottom"/>
          </w:tcPr>
          <w:p>
            <w:pPr>
              <w:pStyle w:val="TableContents"/>
              <w:spacing w:before="0" w:after="283"/>
              <w:jc w:val="right"/>
              <w:rPr>
                <w:sz w:val="15"/>
              </w:rPr>
            </w:pPr>
            <w:r>
              <w:rPr>
                <w:sz w:val="15"/>
              </w:rPr>
              <w:t xml:space="preserve">(12,034) </w:t>
            </w:r>
          </w:p>
        </w:tc>
      </w:tr>
      <w:tr>
        <w:trPr/>
        <w:tc>
          <w:tcPr>
            <w:tcW w:w="4985" w:type="dxa"/>
            <w:tcBorders>
              <w:bottom w:val="single" w:sz="8" w:space="0" w:color="000000"/>
            </w:tcBorders>
            <w:shd w:fill="FFFFFF" w:val="clear"/>
            <w:tcMar>
              <w:bottom w:w="28" w:type="dxa"/>
            </w:tcMar>
            <w:vAlign w:val="bottom"/>
          </w:tcPr>
          <w:p>
            <w:pPr>
              <w:pStyle w:val="TableContents"/>
              <w:spacing w:before="0" w:after="1"/>
              <w:ind w:left="120" w:right="0" w:hanging="0"/>
              <w:jc w:val="both"/>
              <w:rPr>
                <w:sz w:val="15"/>
              </w:rPr>
            </w:pPr>
            <w:r>
              <w:rPr>
                <w:sz w:val="15"/>
              </w:rPr>
              <w:t>Net (income) loss attributable to noncontrolling interests</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492 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7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(940) </w:t>
            </w:r>
          </w:p>
        </w:tc>
        <w:tc>
          <w:tcPr>
            <w:tcW w:w="95"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9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(616) </w:t>
            </w:r>
          </w:p>
        </w:tc>
      </w:tr>
      <w:tr>
        <w:trPr/>
        <w:tc>
          <w:tcPr>
            <w:tcW w:w="498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5"/>
              </w:rPr>
            </w:pPr>
            <w:r>
              <w:rPr>
                <w:sz w:val="15"/>
              </w:rPr>
              <w:t>Net income (loss) attributable to Reading International, Inc. common shareholders</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(914)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7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9,956  </w:t>
            </w:r>
          </w:p>
        </w:tc>
        <w:tc>
          <w:tcPr>
            <w:tcW w:w="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5"/>
              </w:rPr>
            </w:pPr>
            <w:r>
              <w:rPr>
                <w:sz w:val="15"/>
              </w:rPr>
              <w:t>$</w:t>
            </w:r>
          </w:p>
        </w:tc>
        <w:tc>
          <w:tcPr>
            <w:tcW w:w="59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(12,650) </w:t>
            </w:r>
          </w:p>
        </w:tc>
      </w:tr>
    </w:tbl>
    <w:p>
      <w:pPr>
        <w:pStyle w:val="TextBody"/>
        <w:spacing w:before="100" w:after="100"/>
        <w:ind w:left="1440" w:right="0" w:hanging="0"/>
        <w:jc w:val="both"/>
        <w:rPr/>
      </w:pPr>
      <w:r>
        <w:rPr/>
        <w:t xml:space="preserve">  </w:t>
      </w:r>
    </w:p>
    <w:tbl>
      <w:tblPr>
        <w:tblW w:w="3605" w:type="dxa"/>
        <w:jc w:val="left"/>
        <w:tblInd w:w="1440" w:type="dxa"/>
        <w:tblCellMar>
          <w:top w:w="0" w:type="dxa"/>
          <w:left w:w="0" w:type="dxa"/>
          <w:bottom w:w="0" w:type="dxa"/>
          <w:right w:w="0" w:type="dxa"/>
        </w:tblCellMar>
      </w:tblPr>
      <w:tblGrid>
        <w:gridCol w:w="1445"/>
        <w:gridCol w:w="110"/>
        <w:gridCol w:w="605"/>
        <w:gridCol w:w="110"/>
        <w:gridCol w:w="605"/>
        <w:gridCol w:w="110"/>
        <w:gridCol w:w="620"/>
      </w:tblGrid>
      <w:tr>
        <w:trPr/>
        <w:tc>
          <w:tcPr>
            <w:tcW w:w="144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144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144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050" w:type="dxa"/>
            <w:gridSpan w:val="5"/>
            <w:tcBorders/>
            <w:shd w:fill="auto" w:val="clear"/>
            <w:vAlign w:val="bottom"/>
          </w:tcPr>
          <w:p>
            <w:pPr>
              <w:pStyle w:val="TableContents"/>
              <w:spacing w:before="0" w:after="1"/>
              <w:ind w:left="0" w:right="0" w:hanging="0"/>
              <w:jc w:val="center"/>
              <w:rPr>
                <w:b/>
                <w:sz w:val="17"/>
                <w:u w:val="single"/>
              </w:rPr>
            </w:pPr>
            <w:r>
              <w:rPr>
                <w:b/>
                <w:sz w:val="17"/>
                <w:u w:val="single"/>
              </w:rPr>
              <w:t>December 31,</w:t>
            </w:r>
          </w:p>
        </w:tc>
      </w:tr>
      <w:tr>
        <w:trPr/>
        <w:tc>
          <w:tcPr>
            <w:tcW w:w="144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Summary of assets: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144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Segment  assets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408,667 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414,608 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5"/>
              </w:rPr>
            </w:pPr>
            <w:r>
              <w:rPr>
                <w:sz w:val="15"/>
              </w:rPr>
              <w:t xml:space="preserve">406,569  </w:t>
            </w:r>
          </w:p>
        </w:tc>
      </w:tr>
      <w:tr>
        <w:trPr/>
        <w:tc>
          <w:tcPr>
            <w:tcW w:w="144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Corporate assets</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19,921 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16,156 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5"/>
              </w:rPr>
            </w:pPr>
            <w:r>
              <w:rPr>
                <w:sz w:val="15"/>
              </w:rPr>
              <w:t xml:space="preserve">23,780  </w:t>
            </w:r>
          </w:p>
        </w:tc>
      </w:tr>
      <w:tr>
        <w:trPr/>
        <w:tc>
          <w:tcPr>
            <w:tcW w:w="144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Assets</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428,588 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430,764 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5"/>
              </w:rPr>
            </w:pPr>
            <w:r>
              <w:rPr>
                <w:sz w:val="15"/>
              </w:rPr>
              <w:t xml:space="preserve">430,349  </w:t>
            </w:r>
          </w:p>
        </w:tc>
      </w:tr>
    </w:tbl>
    <w:p>
      <w:pPr>
        <w:pStyle w:val="TextBody"/>
        <w:pBdr/>
        <w:spacing w:before="100" w:after="100"/>
        <w:ind w:left="1440" w:right="0" w:hanging="0"/>
        <w:jc w:val="both"/>
        <w:rPr/>
      </w:pPr>
      <w:r>
        <w:rPr/>
        <w:t xml:space="preserve">  </w:t>
      </w:r>
    </w:p>
    <w:p>
      <w:pPr>
        <w:pStyle w:val="TextBody"/>
        <w:pBdr/>
        <w:spacing w:before="0" w:after="0"/>
        <w:ind w:left="1440" w:right="0" w:hanging="0"/>
        <w:jc w:val="both"/>
        <w:rPr/>
      </w:pPr>
      <w:r>
        <w:rPr/>
        <w:t xml:space="preserve">  </w:t>
      </w:r>
    </w:p>
    <w:tbl>
      <w:tblPr>
        <w:tblW w:w="4565" w:type="dxa"/>
        <w:jc w:val="left"/>
        <w:tblInd w:w="1440" w:type="dxa"/>
        <w:tblCellMar>
          <w:top w:w="0" w:type="dxa"/>
          <w:left w:w="0" w:type="dxa"/>
          <w:bottom w:w="0" w:type="dxa"/>
          <w:right w:w="0" w:type="dxa"/>
        </w:tblCellMar>
      </w:tblPr>
      <w:tblGrid>
        <w:gridCol w:w="2495"/>
        <w:gridCol w:w="110"/>
        <w:gridCol w:w="605"/>
        <w:gridCol w:w="110"/>
        <w:gridCol w:w="515"/>
        <w:gridCol w:w="110"/>
        <w:gridCol w:w="620"/>
      </w:tblGrid>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5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r>
      <w:tr>
        <w:trPr/>
        <w:tc>
          <w:tcPr>
            <w:tcW w:w="24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960" w:type="dxa"/>
            <w:gridSpan w:val="5"/>
            <w:tcBorders/>
            <w:shd w:fill="auto" w:val="clear"/>
            <w:vAlign w:val="bottom"/>
          </w:tcPr>
          <w:p>
            <w:pPr>
              <w:pStyle w:val="TableContents"/>
              <w:spacing w:before="0" w:after="1"/>
              <w:ind w:left="0" w:right="0" w:hanging="0"/>
              <w:jc w:val="center"/>
              <w:rPr>
                <w:b/>
                <w:sz w:val="17"/>
                <w:u w:val="single"/>
              </w:rPr>
            </w:pPr>
            <w:r>
              <w:rPr>
                <w:b/>
                <w:sz w:val="17"/>
                <w:u w:val="single"/>
              </w:rPr>
              <w:t>December 31,</w:t>
            </w:r>
          </w:p>
        </w:tc>
      </w:tr>
      <w:tr>
        <w:trPr/>
        <w:tc>
          <w:tcPr>
            <w:tcW w:w="249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Summary of capital expenditures: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5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249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Segment capital expenditures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13,390 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51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8,419 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18,942  </w:t>
            </w:r>
          </w:p>
        </w:tc>
      </w:tr>
      <w:tr>
        <w:trPr/>
        <w:tc>
          <w:tcPr>
            <w:tcW w:w="249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Corporate capital expenditures</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333 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51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957 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429  </w:t>
            </w:r>
          </w:p>
        </w:tc>
      </w:tr>
      <w:tr>
        <w:trPr/>
        <w:tc>
          <w:tcPr>
            <w:tcW w:w="249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capital expenditures</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13,723 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51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9,376 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19,371 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sz w:val="17"/>
        </w:rPr>
        <w:t xml:space="preserve">The cinema results shown above include revenue and operating expense directly linked to our cinema assets.  The real estate results include rental income from our properties and live theater venues and operating expense directly linked to our property assets.  </w:t>
      </w:r>
    </w:p>
    <w:p>
      <w:pPr>
        <w:pStyle w:val="TextBody"/>
        <w:spacing w:before="0" w:after="200"/>
        <w:ind w:left="1440" w:right="0" w:firstLine="720"/>
        <w:jc w:val="both"/>
        <w:rPr>
          <w:sz w:val="17"/>
        </w:rPr>
      </w:pPr>
      <w:r>
        <w:rPr>
          <w:sz w:val="17"/>
        </w:rPr>
        <w:t xml:space="preserve">The following table sets forth the book value of our operating property by geographical area (dollars in thousands): </w:t>
      </w:r>
    </w:p>
    <w:tbl>
      <w:tblPr>
        <w:tblW w:w="3370" w:type="dxa"/>
        <w:jc w:val="left"/>
        <w:tblInd w:w="1440" w:type="dxa"/>
        <w:tblCellMar>
          <w:top w:w="0" w:type="dxa"/>
          <w:left w:w="0" w:type="dxa"/>
          <w:bottom w:w="0" w:type="dxa"/>
          <w:right w:w="0" w:type="dxa"/>
        </w:tblCellMar>
      </w:tblPr>
      <w:tblGrid>
        <w:gridCol w:w="1745"/>
        <w:gridCol w:w="110"/>
        <w:gridCol w:w="695"/>
        <w:gridCol w:w="110"/>
        <w:gridCol w:w="710"/>
      </w:tblGrid>
      <w:tr>
        <w:trPr/>
        <w:tc>
          <w:tcPr>
            <w:tcW w:w="174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174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174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1515" w:type="dxa"/>
            <w:gridSpan w:val="3"/>
            <w:tcBorders/>
            <w:shd w:fill="auto" w:val="clear"/>
          </w:tcPr>
          <w:p>
            <w:pPr>
              <w:pStyle w:val="TableContents"/>
              <w:spacing w:before="0" w:after="1"/>
              <w:ind w:left="0" w:right="0" w:hanging="0"/>
              <w:jc w:val="center"/>
              <w:rPr>
                <w:b/>
                <w:sz w:val="17"/>
                <w:u w:val="single"/>
              </w:rPr>
            </w:pPr>
            <w:r>
              <w:rPr>
                <w:b/>
                <w:sz w:val="17"/>
                <w:u w:val="single"/>
              </w:rPr>
              <w:t>December 31,</w:t>
            </w:r>
          </w:p>
        </w:tc>
      </w:tr>
      <w:tr>
        <w:trPr/>
        <w:tc>
          <w:tcPr>
            <w:tcW w:w="174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7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745"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Australia</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106,020 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106,263  </w:t>
            </w:r>
          </w:p>
        </w:tc>
      </w:tr>
      <w:tr>
        <w:trPr/>
        <w:tc>
          <w:tcPr>
            <w:tcW w:w="1745" w:type="dxa"/>
            <w:tcBorders/>
            <w:shd w:fill="FFFFFF" w:val="clear"/>
          </w:tcPr>
          <w:p>
            <w:pPr>
              <w:pStyle w:val="TableContents"/>
              <w:spacing w:before="0" w:after="1"/>
              <w:ind w:left="0" w:right="0" w:hanging="0"/>
              <w:jc w:val="both"/>
              <w:rPr>
                <w:sz w:val="17"/>
              </w:rPr>
            </w:pPr>
            <w:r>
              <w:rPr>
                <w:sz w:val="17"/>
              </w:rPr>
              <w:t>New Zealand</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35,456 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33,322  </w:t>
            </w:r>
          </w:p>
        </w:tc>
      </w:tr>
      <w:tr>
        <w:trPr/>
        <w:tc>
          <w:tcPr>
            <w:tcW w:w="1745" w:type="dxa"/>
            <w:tcBorders>
              <w:bottom w:val="single" w:sz="8" w:space="0" w:color="000000"/>
            </w:tcBorders>
            <w:shd w:fill="CCEEFF" w:val="clear"/>
            <w:tcMar>
              <w:bottom w:w="28" w:type="dxa"/>
            </w:tcMar>
          </w:tcPr>
          <w:p>
            <w:pPr>
              <w:pStyle w:val="TableContents"/>
              <w:spacing w:before="0" w:after="1"/>
              <w:ind w:left="0" w:right="0" w:hanging="0"/>
              <w:jc w:val="both"/>
              <w:rPr>
                <w:sz w:val="17"/>
              </w:rPr>
            </w:pPr>
            <w:r>
              <w:rPr>
                <w:sz w:val="17"/>
              </w:rPr>
              <w:t>United States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61,302 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64,195  </w:t>
            </w:r>
          </w:p>
        </w:tc>
      </w:tr>
      <w:tr>
        <w:trPr/>
        <w:tc>
          <w:tcPr>
            <w:tcW w:w="1745"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both"/>
              <w:rPr>
                <w:sz w:val="17"/>
              </w:rPr>
            </w:pPr>
            <w:r>
              <w:rPr>
                <w:sz w:val="17"/>
              </w:rPr>
              <w:t>Total operating property</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202,778 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203,780 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pPr>
      <w:r>
        <w:rPr/>
        <w:t>            </w:t>
      </w:r>
      <w:r>
        <w:rPr>
          <w:sz w:val="17"/>
        </w:rPr>
        <w:t xml:space="preserve">The following table sets forth our revenue by geographical area (dollars in thousands): </w:t>
      </w:r>
    </w:p>
    <w:tbl>
      <w:tblPr>
        <w:tblW w:w="3425" w:type="dxa"/>
        <w:jc w:val="left"/>
        <w:tblInd w:w="1440" w:type="dxa"/>
        <w:tblCellMar>
          <w:top w:w="0" w:type="dxa"/>
          <w:left w:w="0" w:type="dxa"/>
          <w:bottom w:w="0" w:type="dxa"/>
          <w:right w:w="0" w:type="dxa"/>
        </w:tblCellMar>
      </w:tblPr>
      <w:tblGrid>
        <w:gridCol w:w="995"/>
        <w:gridCol w:w="110"/>
        <w:gridCol w:w="695"/>
        <w:gridCol w:w="110"/>
        <w:gridCol w:w="695"/>
        <w:gridCol w:w="110"/>
        <w:gridCol w:w="710"/>
      </w:tblGrid>
      <w:tr>
        <w:trPr/>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99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2320" w:type="dxa"/>
            <w:gridSpan w:val="5"/>
            <w:tcBorders/>
            <w:shd w:fill="auto" w:val="clear"/>
          </w:tcPr>
          <w:p>
            <w:pPr>
              <w:pStyle w:val="TableContents"/>
              <w:spacing w:before="0" w:after="1"/>
              <w:ind w:left="0" w:right="0" w:hanging="0"/>
              <w:jc w:val="center"/>
              <w:rPr>
                <w:b/>
                <w:sz w:val="17"/>
                <w:u w:val="single"/>
              </w:rPr>
            </w:pPr>
            <w:r>
              <w:rPr>
                <w:b/>
                <w:sz w:val="17"/>
                <w:u w:val="single"/>
              </w:rPr>
              <w:t>December 31,</w:t>
            </w:r>
          </w:p>
        </w:tc>
      </w:tr>
      <w:tr>
        <w:trPr/>
        <w:tc>
          <w:tcPr>
            <w:tcW w:w="995"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tcPr>
          <w:p>
            <w:pPr>
              <w:pStyle w:val="TableContents"/>
              <w:spacing w:before="0" w:after="1"/>
              <w:ind w:left="0" w:right="0" w:hanging="0"/>
              <w:jc w:val="both"/>
              <w:rPr/>
            </w:pPr>
            <w:r>
              <w:rPr/>
              <w:t> </w:t>
            </w:r>
          </w:p>
        </w:tc>
        <w:tc>
          <w:tcPr>
            <w:tcW w:w="695"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695"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tcPr>
          <w:p>
            <w:pPr>
              <w:pStyle w:val="TableContents"/>
              <w:spacing w:before="0" w:after="1"/>
              <w:ind w:left="0" w:right="0" w:hanging="0"/>
              <w:jc w:val="center"/>
              <w:rPr/>
            </w:pPr>
            <w:r>
              <w:rPr/>
              <w:t> </w:t>
            </w:r>
          </w:p>
        </w:tc>
        <w:tc>
          <w:tcPr>
            <w:tcW w:w="710" w:type="dxa"/>
            <w:tcBorders>
              <w:bottom w:val="single" w:sz="12" w:space="0" w:color="000000"/>
            </w:tcBorders>
            <w:shd w:fill="auto" w:val="clear"/>
            <w:tcMar>
              <w:bottom w:w="28" w:type="dxa"/>
            </w:tcMar>
          </w:tcPr>
          <w:p>
            <w:pPr>
              <w:pStyle w:val="TableContents"/>
              <w:spacing w:before="0" w:after="1"/>
              <w:ind w:left="0" w:right="0" w:hanging="0"/>
              <w:jc w:val="center"/>
              <w:rPr>
                <w:b/>
                <w:sz w:val="17"/>
              </w:rPr>
            </w:pPr>
            <w:r>
              <w:rPr>
                <w:b/>
                <w:sz w:val="17"/>
              </w:rPr>
              <w:t>2010</w:t>
            </w:r>
          </w:p>
        </w:tc>
      </w:tr>
      <w:tr>
        <w:trPr/>
        <w:tc>
          <w:tcPr>
            <w:tcW w:w="995" w:type="dxa"/>
            <w:tcBorders>
              <w:top w:val="single" w:sz="12" w:space="0" w:color="000000"/>
            </w:tcBorders>
            <w:shd w:fill="CCEEFF" w:val="clear"/>
            <w:tcMar>
              <w:top w:w="28" w:type="dxa"/>
            </w:tcMar>
          </w:tcPr>
          <w:p>
            <w:pPr>
              <w:pStyle w:val="TableContents"/>
              <w:spacing w:before="0" w:after="1"/>
              <w:ind w:left="0" w:right="0" w:hanging="0"/>
              <w:jc w:val="both"/>
              <w:rPr>
                <w:sz w:val="17"/>
              </w:rPr>
            </w:pPr>
            <w:r>
              <w:rPr>
                <w:sz w:val="17"/>
              </w:rPr>
              <w:t>Australia</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tcPr>
          <w:p>
            <w:pPr>
              <w:pStyle w:val="TableContents"/>
              <w:spacing w:before="0" w:after="283"/>
              <w:jc w:val="right"/>
              <w:rPr>
                <w:sz w:val="17"/>
              </w:rPr>
            </w:pPr>
            <w:r>
              <w:rPr>
                <w:sz w:val="17"/>
              </w:rPr>
              <w:t xml:space="preserve">108,320  </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695" w:type="dxa"/>
            <w:tcBorders>
              <w:top w:val="single" w:sz="12" w:space="0" w:color="000000"/>
            </w:tcBorders>
            <w:shd w:fill="CCEEFF" w:val="clear"/>
            <w:tcMar>
              <w:top w:w="28" w:type="dxa"/>
            </w:tcMar>
          </w:tcPr>
          <w:p>
            <w:pPr>
              <w:pStyle w:val="TableContents"/>
              <w:spacing w:before="0" w:after="283"/>
              <w:jc w:val="right"/>
              <w:rPr>
                <w:sz w:val="17"/>
              </w:rPr>
            </w:pPr>
            <w:r>
              <w:rPr>
                <w:sz w:val="17"/>
              </w:rPr>
              <w:t xml:space="preserve">110,742  </w:t>
            </w:r>
          </w:p>
        </w:tc>
        <w:tc>
          <w:tcPr>
            <w:tcW w:w="110" w:type="dxa"/>
            <w:tcBorders>
              <w:top w:val="single" w:sz="12" w:space="0" w:color="000000"/>
            </w:tcBorders>
            <w:shd w:fill="CCEEFF" w:val="clear"/>
            <w:tcMar>
              <w:top w:w="28" w:type="dxa"/>
            </w:tcMar>
          </w:tcPr>
          <w:p>
            <w:pPr>
              <w:pStyle w:val="TableContents"/>
              <w:spacing w:before="0" w:after="1"/>
              <w:ind w:left="0" w:right="0" w:hanging="0"/>
              <w:jc w:val="right"/>
              <w:rPr>
                <w:sz w:val="17"/>
              </w:rPr>
            </w:pPr>
            <w:r>
              <w:rPr>
                <w:sz w:val="17"/>
              </w:rPr>
              <w:t>$</w:t>
            </w:r>
          </w:p>
        </w:tc>
        <w:tc>
          <w:tcPr>
            <w:tcW w:w="710" w:type="dxa"/>
            <w:tcBorders>
              <w:top w:val="single" w:sz="12" w:space="0" w:color="000000"/>
            </w:tcBorders>
            <w:shd w:fill="CCEEFF" w:val="clear"/>
            <w:tcMar>
              <w:top w:w="28" w:type="dxa"/>
            </w:tcMar>
          </w:tcPr>
          <w:p>
            <w:pPr>
              <w:pStyle w:val="TableContents"/>
              <w:spacing w:before="0" w:after="283"/>
              <w:jc w:val="right"/>
              <w:rPr>
                <w:sz w:val="17"/>
              </w:rPr>
            </w:pPr>
            <w:r>
              <w:rPr>
                <w:sz w:val="17"/>
              </w:rPr>
              <w:t xml:space="preserve">93,417  </w:t>
            </w:r>
          </w:p>
        </w:tc>
      </w:tr>
      <w:tr>
        <w:trPr/>
        <w:tc>
          <w:tcPr>
            <w:tcW w:w="995" w:type="dxa"/>
            <w:tcBorders/>
            <w:shd w:fill="FFFFFF" w:val="clear"/>
          </w:tcPr>
          <w:p>
            <w:pPr>
              <w:pStyle w:val="TableContents"/>
              <w:spacing w:before="0" w:after="1"/>
              <w:ind w:left="0" w:right="0" w:hanging="0"/>
              <w:jc w:val="both"/>
              <w:rPr>
                <w:sz w:val="17"/>
              </w:rPr>
            </w:pPr>
            <w:r>
              <w:rPr>
                <w:sz w:val="17"/>
              </w:rPr>
              <w:t>New Zealand</w:t>
            </w:r>
          </w:p>
        </w:tc>
        <w:tc>
          <w:tcPr>
            <w:tcW w:w="110" w:type="dxa"/>
            <w:tcBorders/>
            <w:shd w:fill="FFFFFF" w:val="clear"/>
          </w:tcPr>
          <w:p>
            <w:pPr>
              <w:pStyle w:val="TableContents"/>
              <w:spacing w:before="0" w:after="1"/>
              <w:ind w:left="0" w:right="0" w:hanging="0"/>
              <w:jc w:val="right"/>
              <w:rPr/>
            </w:pPr>
            <w:r>
              <w:rPr/>
              <w:t> </w:t>
            </w:r>
          </w:p>
        </w:tc>
        <w:tc>
          <w:tcPr>
            <w:tcW w:w="695" w:type="dxa"/>
            <w:tcBorders/>
            <w:shd w:fill="FFFFFF" w:val="clear"/>
          </w:tcPr>
          <w:p>
            <w:pPr>
              <w:pStyle w:val="TableContents"/>
              <w:spacing w:before="0" w:after="283"/>
              <w:jc w:val="right"/>
              <w:rPr>
                <w:sz w:val="17"/>
              </w:rPr>
            </w:pPr>
            <w:r>
              <w:rPr>
                <w:sz w:val="17"/>
              </w:rPr>
              <w:t xml:space="preserve">24,608  </w:t>
            </w:r>
          </w:p>
        </w:tc>
        <w:tc>
          <w:tcPr>
            <w:tcW w:w="110" w:type="dxa"/>
            <w:tcBorders/>
            <w:shd w:fill="FFFFFF" w:val="clear"/>
          </w:tcPr>
          <w:p>
            <w:pPr>
              <w:pStyle w:val="TableContents"/>
              <w:spacing w:before="0" w:after="1"/>
              <w:ind w:left="0" w:right="0" w:hanging="0"/>
              <w:jc w:val="right"/>
              <w:rPr/>
            </w:pPr>
            <w:r>
              <w:rPr/>
              <w:t> </w:t>
            </w:r>
          </w:p>
        </w:tc>
        <w:tc>
          <w:tcPr>
            <w:tcW w:w="695" w:type="dxa"/>
            <w:tcBorders/>
            <w:shd w:fill="FFFFFF" w:val="clear"/>
          </w:tcPr>
          <w:p>
            <w:pPr>
              <w:pStyle w:val="TableContents"/>
              <w:spacing w:before="0" w:after="283"/>
              <w:jc w:val="right"/>
              <w:rPr>
                <w:sz w:val="17"/>
              </w:rPr>
            </w:pPr>
            <w:r>
              <w:rPr>
                <w:sz w:val="17"/>
              </w:rPr>
              <w:t xml:space="preserve">22,247  </w:t>
            </w:r>
          </w:p>
        </w:tc>
        <w:tc>
          <w:tcPr>
            <w:tcW w:w="110" w:type="dxa"/>
            <w:tcBorders/>
            <w:shd w:fill="FFFFFF" w:val="clear"/>
          </w:tcPr>
          <w:p>
            <w:pPr>
              <w:pStyle w:val="TableContents"/>
              <w:spacing w:before="0" w:after="1"/>
              <w:ind w:left="0" w:right="0" w:hanging="0"/>
              <w:jc w:val="right"/>
              <w:rPr/>
            </w:pPr>
            <w:r>
              <w:rPr/>
              <w:t> </w:t>
            </w:r>
          </w:p>
        </w:tc>
        <w:tc>
          <w:tcPr>
            <w:tcW w:w="710" w:type="dxa"/>
            <w:tcBorders/>
            <w:shd w:fill="FFFFFF" w:val="clear"/>
          </w:tcPr>
          <w:p>
            <w:pPr>
              <w:pStyle w:val="TableContents"/>
              <w:spacing w:before="0" w:after="283"/>
              <w:jc w:val="right"/>
              <w:rPr>
                <w:sz w:val="17"/>
              </w:rPr>
            </w:pPr>
            <w:r>
              <w:rPr>
                <w:sz w:val="17"/>
              </w:rPr>
              <w:t xml:space="preserve">25,339  </w:t>
            </w:r>
          </w:p>
        </w:tc>
      </w:tr>
      <w:tr>
        <w:trPr/>
        <w:tc>
          <w:tcPr>
            <w:tcW w:w="995" w:type="dxa"/>
            <w:tcBorders>
              <w:bottom w:val="single" w:sz="8" w:space="0" w:color="000000"/>
            </w:tcBorders>
            <w:shd w:fill="CCEEFF" w:val="clear"/>
            <w:tcMar>
              <w:bottom w:w="28" w:type="dxa"/>
            </w:tcMar>
          </w:tcPr>
          <w:p>
            <w:pPr>
              <w:pStyle w:val="TableContents"/>
              <w:spacing w:before="0" w:after="1"/>
              <w:ind w:left="0" w:right="0" w:hanging="0"/>
              <w:jc w:val="both"/>
              <w:rPr>
                <w:sz w:val="17"/>
              </w:rPr>
            </w:pPr>
            <w:r>
              <w:rPr>
                <w:sz w:val="17"/>
              </w:rPr>
              <w:t>United States</w:t>
            </w:r>
          </w:p>
        </w:tc>
        <w:tc>
          <w:tcPr>
            <w:tcW w:w="110" w:type="dxa"/>
            <w:tcBorders>
              <w:bottom w:val="single" w:sz="8" w:space="0" w:color="000000"/>
            </w:tcBorders>
            <w:shd w:fill="CCEEFF" w:val="clear"/>
            <w:tcMar>
              <w:bottom w:w="28" w:type="dxa"/>
            </w:tcMar>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121,502  </w:t>
            </w:r>
          </w:p>
        </w:tc>
        <w:tc>
          <w:tcPr>
            <w:tcW w:w="110" w:type="dxa"/>
            <w:tcBorders>
              <w:bottom w:val="single" w:sz="8" w:space="0" w:color="000000"/>
            </w:tcBorders>
            <w:shd w:fill="CCEEFF" w:val="clear"/>
            <w:tcMar>
              <w:bottom w:w="28" w:type="dxa"/>
            </w:tcMar>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111,990  </w:t>
            </w:r>
          </w:p>
        </w:tc>
        <w:tc>
          <w:tcPr>
            <w:tcW w:w="110" w:type="dxa"/>
            <w:tcBorders>
              <w:bottom w:val="single" w:sz="8" w:space="0" w:color="000000"/>
            </w:tcBorders>
            <w:shd w:fill="CCEEFF" w:val="clear"/>
            <w:tcMar>
              <w:bottom w:w="28" w:type="dxa"/>
            </w:tcMar>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110,566  </w:t>
            </w:r>
          </w:p>
        </w:tc>
      </w:tr>
      <w:tr>
        <w:trPr/>
        <w:tc>
          <w:tcPr>
            <w:tcW w:w="995"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both"/>
              <w:rPr>
                <w:sz w:val="17"/>
              </w:rPr>
            </w:pPr>
            <w:r>
              <w:rPr>
                <w:sz w:val="17"/>
              </w:rPr>
              <w:t>Total revenue</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tcPr>
          <w:p>
            <w:pPr>
              <w:pStyle w:val="TableContents"/>
              <w:spacing w:before="0" w:after="283"/>
              <w:jc w:val="right"/>
              <w:rPr>
                <w:sz w:val="17"/>
              </w:rPr>
            </w:pPr>
            <w:r>
              <w:rPr>
                <w:sz w:val="17"/>
              </w:rPr>
              <w:t xml:space="preserve">254,430  </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tcPr>
          <w:p>
            <w:pPr>
              <w:pStyle w:val="TableContents"/>
              <w:spacing w:before="0" w:after="283"/>
              <w:jc w:val="right"/>
              <w:rPr>
                <w:sz w:val="17"/>
              </w:rPr>
            </w:pPr>
            <w:r>
              <w:rPr>
                <w:sz w:val="17"/>
              </w:rPr>
              <w:t xml:space="preserve">244,979  </w:t>
            </w:r>
          </w:p>
        </w:tc>
        <w:tc>
          <w:tcPr>
            <w:tcW w:w="110"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right"/>
              <w:rPr>
                <w:sz w:val="17"/>
              </w:rPr>
            </w:pPr>
            <w:r>
              <w:rPr>
                <w:sz w:val="17"/>
              </w:rPr>
              <w:t>$</w:t>
            </w:r>
          </w:p>
        </w:tc>
        <w:tc>
          <w:tcPr>
            <w:tcW w:w="710" w:type="dxa"/>
            <w:tcBorders>
              <w:top w:val="single" w:sz="8" w:space="0" w:color="000000"/>
              <w:bottom w:val="single" w:sz="12" w:space="0" w:color="000000"/>
            </w:tcBorders>
            <w:shd w:fill="FFFFFF" w:val="clear"/>
            <w:tcMar>
              <w:top w:w="28" w:type="dxa"/>
              <w:bottom w:w="28" w:type="dxa"/>
            </w:tcMar>
          </w:tcPr>
          <w:p>
            <w:pPr>
              <w:pStyle w:val="TableContents"/>
              <w:spacing w:before="0" w:after="283"/>
              <w:jc w:val="right"/>
              <w:rPr>
                <w:sz w:val="17"/>
              </w:rPr>
            </w:pPr>
            <w:r>
              <w:rPr>
                <w:sz w:val="17"/>
              </w:rPr>
              <w:t xml:space="preserve">229,322  </w:t>
            </w:r>
          </w:p>
        </w:tc>
      </w:tr>
    </w:tbl>
    <w:p>
      <w:pPr>
        <w:pStyle w:val="TextBody"/>
        <w:spacing w:before="0" w:after="0"/>
        <w:ind w:left="1440" w:right="0" w:hanging="0"/>
        <w:jc w:val="both"/>
        <w:rPr/>
      </w:pPr>
      <w:r>
        <w:rPr/>
        <w:t xml:space="preserve">  </w:t>
      </w:r>
    </w:p>
    <w:p>
      <w:pPr>
        <w:pStyle w:val="TextBody"/>
        <w:pBdr/>
        <w:spacing w:before="100" w:after="100"/>
        <w:ind w:left="1440" w:right="0" w:hanging="0"/>
        <w:jc w:val="both"/>
        <w:rPr>
          <w:rFonts w:ascii="Courier New" w:hAnsi="Courier New"/>
          <w:sz w:val="17"/>
        </w:rPr>
      </w:pPr>
      <w:r>
        <w:rPr>
          <w:rFonts w:ascii="Times New Roman" w:hAnsi="Times New Roman"/>
          <w:b/>
          <w:sz w:val="17"/>
          <w:u w:val="single"/>
        </w:rPr>
        <w:t>Note 23 – Unaudited Quarterly Financial Information (dollars in thousands, except per share amounts)</w:t>
      </w:r>
      <w:r>
        <w:rPr>
          <w:rFonts w:ascii="Courier New" w:hAnsi="Courier New"/>
          <w:sz w:val="17"/>
        </w:rPr>
        <w:t xml:space="preserve"> </w:t>
      </w:r>
    </w:p>
    <w:p>
      <w:pPr>
        <w:pStyle w:val="TextBody"/>
        <w:pBdr/>
        <w:spacing w:before="0" w:after="0"/>
        <w:ind w:left="1440" w:right="0" w:hanging="0"/>
        <w:jc w:val="both"/>
        <w:rPr/>
      </w:pPr>
      <w:r>
        <w:rPr/>
        <w:t xml:space="preserve">  </w:t>
      </w:r>
    </w:p>
    <w:tbl>
      <w:tblPr>
        <w:tblW w:w="8010" w:type="dxa"/>
        <w:jc w:val="left"/>
        <w:tblInd w:w="1440" w:type="dxa"/>
        <w:tblCellMar>
          <w:top w:w="0" w:type="dxa"/>
          <w:left w:w="0" w:type="dxa"/>
          <w:bottom w:w="0" w:type="dxa"/>
          <w:right w:w="0" w:type="dxa"/>
        </w:tblCellMar>
      </w:tblPr>
      <w:tblGrid>
        <w:gridCol w:w="5075"/>
        <w:gridCol w:w="110"/>
        <w:gridCol w:w="620"/>
        <w:gridCol w:w="110"/>
        <w:gridCol w:w="620"/>
        <w:gridCol w:w="110"/>
        <w:gridCol w:w="620"/>
        <w:gridCol w:w="110"/>
        <w:gridCol w:w="635"/>
      </w:tblGrid>
      <w:tr>
        <w:trPr/>
        <w:tc>
          <w:tcPr>
            <w:tcW w:w="507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35" w:type="dxa"/>
            <w:tcBorders/>
            <w:shd w:fill="auto" w:val="clear"/>
            <w:vAlign w:val="bottom"/>
          </w:tcPr>
          <w:p>
            <w:pPr>
              <w:pStyle w:val="TableContents"/>
              <w:spacing w:before="0" w:after="1"/>
              <w:ind w:left="0" w:right="0" w:hanging="0"/>
              <w:jc w:val="both"/>
              <w:rPr/>
            </w:pPr>
            <w:r>
              <w:rPr/>
              <w:t> </w:t>
            </w:r>
          </w:p>
        </w:tc>
      </w:tr>
      <w:tr>
        <w:trPr/>
        <w:tc>
          <w:tcPr>
            <w:tcW w:w="507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35" w:type="dxa"/>
            <w:tcBorders/>
            <w:shd w:fill="auto" w:val="clear"/>
            <w:vAlign w:val="bottom"/>
          </w:tcPr>
          <w:p>
            <w:pPr>
              <w:pStyle w:val="TableContents"/>
              <w:spacing w:before="0" w:after="1"/>
              <w:ind w:left="0" w:right="0" w:hanging="0"/>
              <w:jc w:val="both"/>
              <w:rPr/>
            </w:pPr>
            <w:r>
              <w:rPr/>
              <w:t> </w:t>
            </w:r>
          </w:p>
        </w:tc>
      </w:tr>
      <w:tr>
        <w:trPr/>
        <w:tc>
          <w:tcPr>
            <w:tcW w:w="5075" w:type="dxa"/>
            <w:tcBorders/>
            <w:shd w:fill="auto" w:val="clear"/>
            <w:vAlign w:val="bottom"/>
          </w:tcPr>
          <w:p>
            <w:pPr>
              <w:pStyle w:val="TableContents"/>
              <w:spacing w:before="0" w:after="1"/>
              <w:ind w:left="0" w:right="0" w:hanging="0"/>
              <w:jc w:val="center"/>
              <w:rPr/>
            </w:pPr>
            <w:r>
              <w:rPr/>
              <w:t> </w:t>
            </w:r>
          </w:p>
        </w:tc>
        <w:tc>
          <w:tcPr>
            <w:tcW w:w="110"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center"/>
              <w:rPr>
                <w:b/>
                <w:sz w:val="17"/>
              </w:rPr>
            </w:pPr>
            <w:r>
              <w:rPr>
                <w:b/>
                <w:sz w:val="17"/>
              </w:rPr>
              <w:t>First</w:t>
            </w:r>
          </w:p>
        </w:tc>
        <w:tc>
          <w:tcPr>
            <w:tcW w:w="110"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center"/>
              <w:rPr>
                <w:b/>
                <w:sz w:val="17"/>
              </w:rPr>
            </w:pPr>
            <w:r>
              <w:rPr>
                <w:b/>
                <w:sz w:val="17"/>
              </w:rPr>
              <w:t>Second</w:t>
            </w:r>
          </w:p>
        </w:tc>
        <w:tc>
          <w:tcPr>
            <w:tcW w:w="110" w:type="dxa"/>
            <w:tcBorders/>
            <w:shd w:fill="auto" w:val="clear"/>
            <w:vAlign w:val="bottom"/>
          </w:tcPr>
          <w:p>
            <w:pPr>
              <w:pStyle w:val="TableContents"/>
              <w:spacing w:before="0" w:after="1"/>
              <w:ind w:left="0" w:right="0" w:hanging="0"/>
              <w:jc w:val="center"/>
              <w:rPr/>
            </w:pPr>
            <w:r>
              <w:rPr/>
              <w:t> </w:t>
            </w:r>
          </w:p>
        </w:tc>
        <w:tc>
          <w:tcPr>
            <w:tcW w:w="620" w:type="dxa"/>
            <w:tcBorders/>
            <w:shd w:fill="auto" w:val="clear"/>
            <w:vAlign w:val="bottom"/>
          </w:tcPr>
          <w:p>
            <w:pPr>
              <w:pStyle w:val="TableContents"/>
              <w:spacing w:before="0" w:after="1"/>
              <w:ind w:left="0" w:right="0" w:hanging="0"/>
              <w:jc w:val="center"/>
              <w:rPr>
                <w:b/>
                <w:sz w:val="17"/>
              </w:rPr>
            </w:pPr>
            <w:r>
              <w:rPr>
                <w:b/>
                <w:sz w:val="17"/>
              </w:rPr>
              <w:t>Third</w:t>
            </w:r>
          </w:p>
        </w:tc>
        <w:tc>
          <w:tcPr>
            <w:tcW w:w="110" w:type="dxa"/>
            <w:tcBorders/>
            <w:shd w:fill="auto" w:val="clear"/>
            <w:vAlign w:val="bottom"/>
          </w:tcPr>
          <w:p>
            <w:pPr>
              <w:pStyle w:val="TableContents"/>
              <w:spacing w:before="0" w:after="1"/>
              <w:ind w:left="0" w:right="0" w:hanging="0"/>
              <w:jc w:val="center"/>
              <w:rPr/>
            </w:pPr>
            <w:r>
              <w:rPr/>
              <w:t> </w:t>
            </w:r>
          </w:p>
        </w:tc>
        <w:tc>
          <w:tcPr>
            <w:tcW w:w="635" w:type="dxa"/>
            <w:tcBorders/>
            <w:shd w:fill="auto" w:val="clear"/>
            <w:vAlign w:val="bottom"/>
          </w:tcPr>
          <w:p>
            <w:pPr>
              <w:pStyle w:val="TableContents"/>
              <w:spacing w:before="0" w:after="1"/>
              <w:ind w:left="0" w:right="0" w:hanging="0"/>
              <w:jc w:val="center"/>
              <w:rPr>
                <w:b/>
                <w:sz w:val="17"/>
              </w:rPr>
            </w:pPr>
            <w:r>
              <w:rPr>
                <w:b/>
                <w:sz w:val="17"/>
              </w:rPr>
              <w:t>Fourth</w:t>
            </w:r>
          </w:p>
        </w:tc>
      </w:tr>
      <w:tr>
        <w:trPr/>
        <w:tc>
          <w:tcPr>
            <w:tcW w:w="507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Quarter</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Quarter</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Quarter</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Quarter</w:t>
            </w:r>
          </w:p>
        </w:tc>
      </w:tr>
      <w:tr>
        <w:trPr/>
        <w:tc>
          <w:tcPr>
            <w:tcW w:w="507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Revenue</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62,431 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62,948 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63,934 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3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65,117  </w:t>
            </w:r>
          </w:p>
        </w:tc>
      </w:tr>
      <w:tr>
        <w:trPr/>
        <w:tc>
          <w:tcPr>
            <w:tcW w:w="5075" w:type="dxa"/>
            <w:tcBorders/>
            <w:shd w:fill="FFFFFF" w:val="clear"/>
            <w:vAlign w:val="bottom"/>
          </w:tcPr>
          <w:p>
            <w:pPr>
              <w:pStyle w:val="TableContents"/>
              <w:spacing w:before="0" w:after="1"/>
              <w:ind w:left="0" w:right="0" w:hanging="0"/>
              <w:jc w:val="both"/>
              <w:rPr>
                <w:sz w:val="17"/>
              </w:rPr>
            </w:pPr>
            <w:r>
              <w:rPr>
                <w:sz w:val="17"/>
              </w:rPr>
              <w:t>Net income (loss)</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(109)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224 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396 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35" w:type="dxa"/>
            <w:tcBorders/>
            <w:shd w:fill="FFFFFF" w:val="clear"/>
            <w:vAlign w:val="bottom"/>
          </w:tcPr>
          <w:p>
            <w:pPr>
              <w:pStyle w:val="TableContents"/>
              <w:spacing w:before="0" w:after="283"/>
              <w:jc w:val="right"/>
              <w:rPr>
                <w:sz w:val="17"/>
              </w:rPr>
            </w:pPr>
            <w:r>
              <w:rPr>
                <w:sz w:val="17"/>
              </w:rPr>
              <w:t xml:space="preserve">(1,917) </w:t>
            </w:r>
          </w:p>
        </w:tc>
      </w:tr>
      <w:tr>
        <w:trPr/>
        <w:tc>
          <w:tcPr>
            <w:tcW w:w="5075" w:type="dxa"/>
            <w:tcBorders/>
            <w:shd w:fill="CCEEFF" w:val="clear"/>
            <w:vAlign w:val="bottom"/>
          </w:tcPr>
          <w:p>
            <w:pPr>
              <w:pStyle w:val="TableContents"/>
              <w:spacing w:before="0" w:after="1"/>
              <w:ind w:left="0" w:right="0" w:hanging="0"/>
              <w:jc w:val="both"/>
              <w:rPr>
                <w:sz w:val="17"/>
              </w:rPr>
            </w:pPr>
            <w:r>
              <w:rPr>
                <w:sz w:val="17"/>
              </w:rPr>
              <w:t>Net income (loss) attributable to Reading International, Inc. shareholders</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(239)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239 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363 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35" w:type="dxa"/>
            <w:tcBorders/>
            <w:shd w:fill="CCEEFF" w:val="clear"/>
            <w:vAlign w:val="bottom"/>
          </w:tcPr>
          <w:p>
            <w:pPr>
              <w:pStyle w:val="TableContents"/>
              <w:spacing w:before="0" w:after="283"/>
              <w:jc w:val="right"/>
              <w:rPr>
                <w:sz w:val="17"/>
              </w:rPr>
            </w:pPr>
            <w:r>
              <w:rPr>
                <w:sz w:val="17"/>
              </w:rPr>
              <w:t xml:space="preserve">(1,277) </w:t>
            </w:r>
          </w:p>
        </w:tc>
      </w:tr>
      <w:tr>
        <w:trPr/>
        <w:tc>
          <w:tcPr>
            <w:tcW w:w="5075" w:type="dxa"/>
            <w:tcBorders/>
            <w:shd w:fill="FFFFFF" w:val="clear"/>
            <w:vAlign w:val="bottom"/>
          </w:tcPr>
          <w:p>
            <w:pPr>
              <w:pStyle w:val="TableContents"/>
              <w:spacing w:before="0" w:after="1"/>
              <w:ind w:left="0" w:right="0" w:hanging="0"/>
              <w:jc w:val="both"/>
              <w:rPr>
                <w:sz w:val="17"/>
              </w:rPr>
            </w:pPr>
            <w:r>
              <w:rPr>
                <w:sz w:val="17"/>
              </w:rPr>
              <w:t>Basic earnings (loss) per share</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(0.01)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0.01 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0.02 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35" w:type="dxa"/>
            <w:tcBorders/>
            <w:shd w:fill="FFFFFF" w:val="clear"/>
            <w:vAlign w:val="bottom"/>
          </w:tcPr>
          <w:p>
            <w:pPr>
              <w:pStyle w:val="TableContents"/>
              <w:spacing w:before="0" w:after="283"/>
              <w:jc w:val="right"/>
              <w:rPr>
                <w:sz w:val="17"/>
              </w:rPr>
            </w:pPr>
            <w:r>
              <w:rPr>
                <w:sz w:val="17"/>
              </w:rPr>
              <w:t xml:space="preserve">(0.06) </w:t>
            </w:r>
          </w:p>
        </w:tc>
      </w:tr>
      <w:tr>
        <w:trPr/>
        <w:tc>
          <w:tcPr>
            <w:tcW w:w="5075" w:type="dxa"/>
            <w:tcBorders/>
            <w:shd w:fill="CCEEFF" w:val="clear"/>
            <w:vAlign w:val="bottom"/>
          </w:tcPr>
          <w:p>
            <w:pPr>
              <w:pStyle w:val="TableContents"/>
              <w:spacing w:before="0" w:after="1"/>
              <w:ind w:left="0" w:right="0" w:hanging="0"/>
              <w:jc w:val="both"/>
              <w:rPr>
                <w:sz w:val="17"/>
              </w:rPr>
            </w:pPr>
            <w:r>
              <w:rPr>
                <w:sz w:val="17"/>
              </w:rPr>
              <w:t>Diluted earnings (loss) per share</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(0.01)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0.01 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0.02 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35" w:type="dxa"/>
            <w:tcBorders/>
            <w:shd w:fill="CCEEFF" w:val="clear"/>
            <w:vAlign w:val="bottom"/>
          </w:tcPr>
          <w:p>
            <w:pPr>
              <w:pStyle w:val="TableContents"/>
              <w:spacing w:before="0" w:after="283"/>
              <w:jc w:val="right"/>
              <w:rPr>
                <w:sz w:val="17"/>
              </w:rPr>
            </w:pPr>
            <w:r>
              <w:rPr>
                <w:sz w:val="17"/>
              </w:rPr>
              <w:t xml:space="preserve">(0.06) </w:t>
            </w:r>
          </w:p>
        </w:tc>
      </w:tr>
      <w:tr>
        <w:trPr/>
        <w:tc>
          <w:tcPr>
            <w:tcW w:w="5075" w:type="dxa"/>
            <w:tcBorders/>
            <w:shd w:fill="FFFFFF" w:val="clear"/>
          </w:tcPr>
          <w:p>
            <w:pPr>
              <w:pStyle w:val="TableContents"/>
              <w:spacing w:before="0" w:after="1"/>
              <w:ind w:left="240" w:right="0" w:hanging="0"/>
              <w:jc w:val="both"/>
              <w:rPr/>
            </w:pPr>
            <w:r>
              <w:rPr/>
              <w:t> </w:t>
            </w:r>
          </w:p>
        </w:tc>
        <w:tc>
          <w:tcPr>
            <w:tcW w:w="110" w:type="dxa"/>
            <w:tcBorders/>
            <w:shd w:fill="FFFFFF" w:val="clear"/>
          </w:tcPr>
          <w:p>
            <w:pPr>
              <w:pStyle w:val="TableContents"/>
              <w:spacing w:before="0" w:after="1"/>
              <w:ind w:left="240" w:right="0" w:hanging="0"/>
              <w:jc w:val="both"/>
              <w:rPr/>
            </w:pPr>
            <w:r>
              <w:rPr/>
              <w:t> </w:t>
            </w:r>
          </w:p>
        </w:tc>
        <w:tc>
          <w:tcPr>
            <w:tcW w:w="620" w:type="dxa"/>
            <w:tcBorders/>
            <w:shd w:fill="FFFFFF" w:val="clear"/>
          </w:tcPr>
          <w:p>
            <w:pPr>
              <w:pStyle w:val="TableContents"/>
              <w:spacing w:before="0" w:after="1"/>
              <w:ind w:left="0" w:right="0" w:hanging="0"/>
              <w:jc w:val="both"/>
              <w:rPr/>
            </w:pPr>
            <w:r>
              <w:rPr/>
              <w:t> </w:t>
            </w:r>
          </w:p>
        </w:tc>
        <w:tc>
          <w:tcPr>
            <w:tcW w:w="110" w:type="dxa"/>
            <w:tcBorders/>
            <w:shd w:fill="FFFFFF" w:val="clear"/>
          </w:tcPr>
          <w:p>
            <w:pPr>
              <w:pStyle w:val="TableContents"/>
              <w:spacing w:before="0" w:after="1"/>
              <w:ind w:left="240" w:right="0" w:hanging="0"/>
              <w:jc w:val="both"/>
              <w:rPr/>
            </w:pPr>
            <w:r>
              <w:rPr/>
              <w:t> </w:t>
            </w:r>
          </w:p>
        </w:tc>
        <w:tc>
          <w:tcPr>
            <w:tcW w:w="620" w:type="dxa"/>
            <w:tcBorders/>
            <w:shd w:fill="FFFFFF" w:val="clear"/>
          </w:tcPr>
          <w:p>
            <w:pPr>
              <w:pStyle w:val="TableContents"/>
              <w:spacing w:before="0" w:after="1"/>
              <w:ind w:left="0" w:right="0" w:hanging="0"/>
              <w:jc w:val="both"/>
              <w:rPr/>
            </w:pPr>
            <w:r>
              <w:rPr/>
              <w:t> </w:t>
            </w:r>
          </w:p>
        </w:tc>
        <w:tc>
          <w:tcPr>
            <w:tcW w:w="110" w:type="dxa"/>
            <w:tcBorders/>
            <w:shd w:fill="FFFFFF" w:val="clear"/>
          </w:tcPr>
          <w:p>
            <w:pPr>
              <w:pStyle w:val="TableContents"/>
              <w:spacing w:before="0" w:after="1"/>
              <w:ind w:left="240" w:right="0" w:hanging="0"/>
              <w:jc w:val="both"/>
              <w:rPr/>
            </w:pPr>
            <w:r>
              <w:rPr/>
              <w:t> </w:t>
            </w:r>
          </w:p>
        </w:tc>
        <w:tc>
          <w:tcPr>
            <w:tcW w:w="620" w:type="dxa"/>
            <w:tcBorders/>
            <w:shd w:fill="FFFFFF" w:val="clear"/>
          </w:tcPr>
          <w:p>
            <w:pPr>
              <w:pStyle w:val="TableContents"/>
              <w:spacing w:before="0" w:after="1"/>
              <w:ind w:left="0" w:right="0" w:hanging="0"/>
              <w:jc w:val="both"/>
              <w:rPr/>
            </w:pPr>
            <w:r>
              <w:rPr/>
              <w:t> </w:t>
            </w:r>
          </w:p>
        </w:tc>
        <w:tc>
          <w:tcPr>
            <w:tcW w:w="110" w:type="dxa"/>
            <w:tcBorders/>
            <w:shd w:fill="FFFFFF" w:val="clear"/>
          </w:tcPr>
          <w:p>
            <w:pPr>
              <w:pStyle w:val="TableContents"/>
              <w:spacing w:before="0" w:after="1"/>
              <w:ind w:left="240" w:right="0" w:hanging="0"/>
              <w:jc w:val="both"/>
              <w:rPr/>
            </w:pPr>
            <w:r>
              <w:rPr/>
              <w:t> </w:t>
            </w:r>
          </w:p>
        </w:tc>
        <w:tc>
          <w:tcPr>
            <w:tcW w:w="635" w:type="dxa"/>
            <w:tcBorders/>
            <w:shd w:fill="FFFFFF" w:val="clear"/>
          </w:tcPr>
          <w:p>
            <w:pPr>
              <w:pStyle w:val="TableContents"/>
              <w:spacing w:before="0" w:after="1"/>
              <w:ind w:left="0" w:right="0" w:hanging="0"/>
              <w:jc w:val="both"/>
              <w:rPr/>
            </w:pPr>
            <w:r>
              <w:rPr/>
              <w:t> </w:t>
            </w:r>
          </w:p>
        </w:tc>
      </w:tr>
      <w:tr>
        <w:trPr/>
        <w:tc>
          <w:tcPr>
            <w:tcW w:w="5075" w:type="dxa"/>
            <w:tcBorders>
              <w:bottom w:val="single" w:sz="12" w:space="0" w:color="000000"/>
            </w:tcBorders>
            <w:shd w:fill="CCEEFF" w:val="clear"/>
            <w:tcMar>
              <w:bottom w:w="28" w:type="dxa"/>
            </w:tcMar>
          </w:tcPr>
          <w:p>
            <w:pPr>
              <w:pStyle w:val="TableContents"/>
              <w:spacing w:before="0" w:after="1"/>
              <w:ind w:left="0" w:right="0" w:hanging="0"/>
              <w:jc w:val="both"/>
              <w:rPr>
                <w:b/>
                <w:sz w:val="17"/>
              </w:rPr>
            </w:pPr>
            <w:r>
              <w:rPr>
                <w:b/>
                <w:sz w:val="17"/>
              </w:rPr>
              <w:t>2011</w:t>
            </w:r>
          </w:p>
        </w:tc>
        <w:tc>
          <w:tcPr>
            <w:tcW w:w="110" w:type="dxa"/>
            <w:tcBorders>
              <w:bottom w:val="single" w:sz="12" w:space="0" w:color="000000"/>
            </w:tcBorders>
            <w:shd w:fill="CCEEFF" w:val="clear"/>
            <w:tcMar>
              <w:bottom w:w="28" w:type="dxa"/>
            </w:tcMar>
          </w:tcPr>
          <w:p>
            <w:pPr>
              <w:pStyle w:val="TableContents"/>
              <w:spacing w:before="0" w:after="1"/>
              <w:ind w:left="240" w:right="0" w:hanging="0"/>
              <w:jc w:val="both"/>
              <w:rPr/>
            </w:pPr>
            <w:r>
              <w:rPr/>
              <w:t> </w:t>
            </w:r>
          </w:p>
        </w:tc>
        <w:tc>
          <w:tcPr>
            <w:tcW w:w="620" w:type="dxa"/>
            <w:tcBorders>
              <w:bottom w:val="single" w:sz="12" w:space="0" w:color="000000"/>
            </w:tcBorders>
            <w:shd w:fill="CCEEFF"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CCEEFF" w:val="clear"/>
            <w:tcMar>
              <w:bottom w:w="28" w:type="dxa"/>
            </w:tcMar>
          </w:tcPr>
          <w:p>
            <w:pPr>
              <w:pStyle w:val="TableContents"/>
              <w:spacing w:before="0" w:after="1"/>
              <w:ind w:left="240" w:right="0" w:hanging="0"/>
              <w:jc w:val="both"/>
              <w:rPr/>
            </w:pPr>
            <w:r>
              <w:rPr/>
              <w:t> </w:t>
            </w:r>
          </w:p>
        </w:tc>
        <w:tc>
          <w:tcPr>
            <w:tcW w:w="620" w:type="dxa"/>
            <w:tcBorders>
              <w:bottom w:val="single" w:sz="12" w:space="0" w:color="000000"/>
            </w:tcBorders>
            <w:shd w:fill="CCEEFF"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CCEEFF" w:val="clear"/>
            <w:tcMar>
              <w:bottom w:w="28" w:type="dxa"/>
            </w:tcMar>
          </w:tcPr>
          <w:p>
            <w:pPr>
              <w:pStyle w:val="TableContents"/>
              <w:spacing w:before="0" w:after="1"/>
              <w:ind w:left="240" w:right="0" w:hanging="0"/>
              <w:jc w:val="both"/>
              <w:rPr/>
            </w:pPr>
            <w:r>
              <w:rPr/>
              <w:t> </w:t>
            </w:r>
          </w:p>
        </w:tc>
        <w:tc>
          <w:tcPr>
            <w:tcW w:w="620" w:type="dxa"/>
            <w:tcBorders>
              <w:bottom w:val="single" w:sz="12" w:space="0" w:color="000000"/>
            </w:tcBorders>
            <w:shd w:fill="CCEEFF" w:val="clear"/>
            <w:tcMar>
              <w:bottom w:w="28" w:type="dxa"/>
            </w:tcMar>
          </w:tcPr>
          <w:p>
            <w:pPr>
              <w:pStyle w:val="TableContents"/>
              <w:spacing w:before="0" w:after="1"/>
              <w:ind w:left="0" w:right="0" w:hanging="0"/>
              <w:jc w:val="both"/>
              <w:rPr/>
            </w:pPr>
            <w:r>
              <w:rPr/>
              <w:t> </w:t>
            </w:r>
          </w:p>
        </w:tc>
        <w:tc>
          <w:tcPr>
            <w:tcW w:w="110" w:type="dxa"/>
            <w:tcBorders>
              <w:bottom w:val="single" w:sz="12" w:space="0" w:color="000000"/>
            </w:tcBorders>
            <w:shd w:fill="CCEEFF" w:val="clear"/>
            <w:tcMar>
              <w:bottom w:w="28" w:type="dxa"/>
            </w:tcMar>
          </w:tcPr>
          <w:p>
            <w:pPr>
              <w:pStyle w:val="TableContents"/>
              <w:spacing w:before="0" w:after="1"/>
              <w:ind w:left="240" w:right="0" w:hanging="0"/>
              <w:jc w:val="both"/>
              <w:rPr/>
            </w:pPr>
            <w:r>
              <w:rPr/>
              <w:t> </w:t>
            </w:r>
          </w:p>
        </w:tc>
        <w:tc>
          <w:tcPr>
            <w:tcW w:w="635" w:type="dxa"/>
            <w:tcBorders>
              <w:bottom w:val="single" w:sz="12" w:space="0" w:color="000000"/>
            </w:tcBorders>
            <w:shd w:fill="CCEEFF" w:val="clear"/>
            <w:tcMar>
              <w:bottom w:w="28" w:type="dxa"/>
            </w:tcMar>
          </w:tcPr>
          <w:p>
            <w:pPr>
              <w:pStyle w:val="TableContents"/>
              <w:spacing w:before="0" w:after="1"/>
              <w:ind w:left="0" w:right="0" w:hanging="0"/>
              <w:jc w:val="both"/>
              <w:rPr/>
            </w:pPr>
            <w:r>
              <w:rPr/>
              <w:t> </w:t>
            </w:r>
          </w:p>
        </w:tc>
      </w:tr>
      <w:tr>
        <w:trPr/>
        <w:tc>
          <w:tcPr>
            <w:tcW w:w="5075" w:type="dxa"/>
            <w:tcBorders>
              <w:top w:val="single" w:sz="12" w:space="0" w:color="000000"/>
            </w:tcBorders>
            <w:shd w:fill="FFFFFF" w:val="clear"/>
            <w:tcMar>
              <w:top w:w="28" w:type="dxa"/>
            </w:tcMar>
          </w:tcPr>
          <w:p>
            <w:pPr>
              <w:pStyle w:val="TableContents"/>
              <w:spacing w:before="0" w:after="1"/>
              <w:ind w:left="0" w:right="0" w:hanging="0"/>
              <w:jc w:val="both"/>
              <w:rPr>
                <w:sz w:val="17"/>
              </w:rPr>
            </w:pPr>
            <w:r>
              <w:rPr>
                <w:sz w:val="17"/>
              </w:rPr>
              <w:t>Revenue</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54,044 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66,960 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620"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66,554 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sz w:val="17"/>
              </w:rPr>
            </w:pPr>
            <w:r>
              <w:rPr>
                <w:sz w:val="17"/>
              </w:rPr>
              <w:t>$</w:t>
            </w:r>
          </w:p>
        </w:tc>
        <w:tc>
          <w:tcPr>
            <w:tcW w:w="635" w:type="dxa"/>
            <w:tcBorders>
              <w:top w:val="single" w:sz="12" w:space="0" w:color="000000"/>
            </w:tcBorders>
            <w:shd w:fill="FFFFFF" w:val="clear"/>
            <w:tcMar>
              <w:top w:w="28" w:type="dxa"/>
            </w:tcMar>
            <w:vAlign w:val="bottom"/>
          </w:tcPr>
          <w:p>
            <w:pPr>
              <w:pStyle w:val="TableContents"/>
              <w:spacing w:before="0" w:after="283"/>
              <w:jc w:val="right"/>
              <w:rPr>
                <w:sz w:val="17"/>
              </w:rPr>
            </w:pPr>
            <w:r>
              <w:rPr>
                <w:sz w:val="17"/>
              </w:rPr>
              <w:t xml:space="preserve">57,421  </w:t>
            </w:r>
          </w:p>
        </w:tc>
      </w:tr>
      <w:tr>
        <w:trPr/>
        <w:tc>
          <w:tcPr>
            <w:tcW w:w="5075" w:type="dxa"/>
            <w:tcBorders/>
            <w:shd w:fill="CCEEFF" w:val="clear"/>
          </w:tcPr>
          <w:p>
            <w:pPr>
              <w:pStyle w:val="TableContents"/>
              <w:spacing w:before="0" w:after="1"/>
              <w:ind w:left="0" w:right="0" w:hanging="0"/>
              <w:jc w:val="both"/>
              <w:rPr>
                <w:sz w:val="17"/>
              </w:rPr>
            </w:pPr>
            <w:r>
              <w:rPr>
                <w:sz w:val="17"/>
              </w:rPr>
              <w:t>Net income (loss)</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(2,247)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17,613 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291 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35" w:type="dxa"/>
            <w:tcBorders/>
            <w:shd w:fill="CCEEFF" w:val="clear"/>
            <w:vAlign w:val="bottom"/>
          </w:tcPr>
          <w:p>
            <w:pPr>
              <w:pStyle w:val="TableContents"/>
              <w:spacing w:before="0" w:after="283"/>
              <w:jc w:val="right"/>
              <w:rPr>
                <w:sz w:val="17"/>
              </w:rPr>
            </w:pPr>
            <w:r>
              <w:rPr>
                <w:sz w:val="17"/>
              </w:rPr>
              <w:t xml:space="preserve">(4,761) </w:t>
            </w:r>
          </w:p>
        </w:tc>
      </w:tr>
      <w:tr>
        <w:trPr/>
        <w:tc>
          <w:tcPr>
            <w:tcW w:w="5075" w:type="dxa"/>
            <w:tcBorders/>
            <w:shd w:fill="FFFFFF" w:val="clear"/>
          </w:tcPr>
          <w:p>
            <w:pPr>
              <w:pStyle w:val="TableContents"/>
              <w:spacing w:before="0" w:after="1"/>
              <w:ind w:left="0" w:right="0" w:hanging="0"/>
              <w:jc w:val="both"/>
              <w:rPr>
                <w:sz w:val="17"/>
              </w:rPr>
            </w:pPr>
            <w:r>
              <w:rPr>
                <w:sz w:val="17"/>
              </w:rPr>
              <w:t>Net income (loss) attributable to Reading International, Inc. shareholders</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(2,480)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17,432 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38 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35" w:type="dxa"/>
            <w:tcBorders/>
            <w:shd w:fill="FFFFFF" w:val="clear"/>
            <w:vAlign w:val="bottom"/>
          </w:tcPr>
          <w:p>
            <w:pPr>
              <w:pStyle w:val="TableContents"/>
              <w:spacing w:before="0" w:after="283"/>
              <w:jc w:val="right"/>
              <w:rPr>
                <w:sz w:val="17"/>
              </w:rPr>
            </w:pPr>
            <w:r>
              <w:rPr>
                <w:sz w:val="17"/>
              </w:rPr>
              <w:t xml:space="preserve">(5,034) </w:t>
            </w:r>
          </w:p>
        </w:tc>
      </w:tr>
      <w:tr>
        <w:trPr/>
        <w:tc>
          <w:tcPr>
            <w:tcW w:w="5075" w:type="dxa"/>
            <w:tcBorders/>
            <w:shd w:fill="CCEEFF" w:val="clear"/>
          </w:tcPr>
          <w:p>
            <w:pPr>
              <w:pStyle w:val="TableContents"/>
              <w:spacing w:before="0" w:after="1"/>
              <w:ind w:left="0" w:right="0" w:hanging="0"/>
              <w:jc w:val="both"/>
              <w:rPr>
                <w:sz w:val="17"/>
              </w:rPr>
            </w:pPr>
            <w:r>
              <w:rPr>
                <w:sz w:val="17"/>
              </w:rPr>
              <w:t>Basic earnings (loss) per share</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(0.11)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283"/>
              <w:jc w:val="right"/>
              <w:rPr>
                <w:sz w:val="17"/>
              </w:rPr>
            </w:pPr>
            <w:r>
              <w:rPr>
                <w:sz w:val="17"/>
              </w:rPr>
              <w:t xml:space="preserve">0.76 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2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635" w:type="dxa"/>
            <w:tcBorders/>
            <w:shd w:fill="CCEEFF" w:val="clear"/>
            <w:vAlign w:val="bottom"/>
          </w:tcPr>
          <w:p>
            <w:pPr>
              <w:pStyle w:val="TableContents"/>
              <w:spacing w:before="0" w:after="283"/>
              <w:jc w:val="right"/>
              <w:rPr>
                <w:sz w:val="17"/>
              </w:rPr>
            </w:pPr>
            <w:r>
              <w:rPr>
                <w:sz w:val="17"/>
              </w:rPr>
              <w:t xml:space="preserve">(0.21) </w:t>
            </w:r>
          </w:p>
        </w:tc>
      </w:tr>
      <w:tr>
        <w:trPr/>
        <w:tc>
          <w:tcPr>
            <w:tcW w:w="5075" w:type="dxa"/>
            <w:tcBorders/>
            <w:shd w:fill="FFFFFF" w:val="clear"/>
          </w:tcPr>
          <w:p>
            <w:pPr>
              <w:pStyle w:val="TableContents"/>
              <w:spacing w:before="0" w:after="1"/>
              <w:ind w:left="0" w:right="0" w:hanging="0"/>
              <w:jc w:val="both"/>
              <w:rPr>
                <w:sz w:val="17"/>
              </w:rPr>
            </w:pPr>
            <w:r>
              <w:rPr>
                <w:sz w:val="17"/>
              </w:rPr>
              <w:t>Diluted earnings (loss) per share</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(0.11)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283"/>
              <w:jc w:val="right"/>
              <w:rPr>
                <w:sz w:val="17"/>
              </w:rPr>
            </w:pPr>
            <w:r>
              <w:rPr>
                <w:sz w:val="17"/>
              </w:rPr>
              <w:t xml:space="preserve">0.76 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2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635" w:type="dxa"/>
            <w:tcBorders/>
            <w:shd w:fill="FFFFFF" w:val="clear"/>
            <w:vAlign w:val="bottom"/>
          </w:tcPr>
          <w:p>
            <w:pPr>
              <w:pStyle w:val="TableContents"/>
              <w:spacing w:before="0" w:after="283"/>
              <w:jc w:val="right"/>
              <w:rPr>
                <w:sz w:val="17"/>
              </w:rPr>
            </w:pPr>
            <w:r>
              <w:rPr>
                <w:sz w:val="17"/>
              </w:rPr>
              <w:t xml:space="preserve">(0.22)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u w:val="single"/>
        </w:rPr>
        <w:t> </w:t>
      </w: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99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b/>
          <w:sz w:val="17"/>
          <w:u w:val="single"/>
        </w:rPr>
        <w:t>Note 24 - Future Minimum Rental Income</w:t>
      </w:r>
      <w:r>
        <w:rPr>
          <w:sz w:val="17"/>
        </w:rPr>
        <w:t xml:space="preserve"> </w:t>
      </w:r>
    </w:p>
    <w:p>
      <w:pPr>
        <w:pStyle w:val="TextBody"/>
        <w:spacing w:before="0" w:after="200"/>
        <w:ind w:left="1440" w:right="0" w:hanging="0"/>
        <w:jc w:val="both"/>
        <w:rPr/>
      </w:pPr>
      <w:r>
        <w:rPr/>
        <w:t>            </w:t>
      </w:r>
      <w:r>
        <w:rPr>
          <w:sz w:val="17"/>
        </w:rPr>
        <w:t xml:space="preserve">Real estate revenue amounted to $19.7 million, $19.1 million, and $18.2 million, for the years ended December 31, 2012, 2011, and 2010, respectively.  Future minimum rental income under all contractual operating leases is summarized as follows (dollars in thousands): </w:t>
      </w:r>
    </w:p>
    <w:p>
      <w:pPr>
        <w:pStyle w:val="TextBody"/>
        <w:spacing w:before="0" w:after="0"/>
        <w:ind w:left="1440" w:right="0" w:hanging="0"/>
        <w:jc w:val="both"/>
        <w:rPr/>
      </w:pPr>
      <w:r>
        <w:rPr/>
        <w:t xml:space="preserve">  </w:t>
      </w:r>
    </w:p>
    <w:tbl>
      <w:tblPr>
        <w:tblW w:w="3420" w:type="dxa"/>
        <w:jc w:val="left"/>
        <w:tblInd w:w="1440" w:type="dxa"/>
        <w:tblCellMar>
          <w:top w:w="0" w:type="dxa"/>
          <w:left w:w="0" w:type="dxa"/>
          <w:bottom w:w="0" w:type="dxa"/>
          <w:right w:w="0" w:type="dxa"/>
        </w:tblCellMar>
      </w:tblPr>
      <w:tblGrid>
        <w:gridCol w:w="75"/>
        <w:gridCol w:w="2555"/>
        <w:gridCol w:w="110"/>
        <w:gridCol w:w="605"/>
        <w:gridCol w:w="75"/>
      </w:tblGrid>
      <w:tr>
        <w:trPr/>
        <w:tc>
          <w:tcPr>
            <w:tcW w:w="75" w:type="dxa"/>
            <w:tcBorders/>
            <w:shd w:fill="auto" w:val="clear"/>
            <w:vAlign w:val="bottom"/>
          </w:tcPr>
          <w:p>
            <w:pPr>
              <w:pStyle w:val="TableContents"/>
              <w:spacing w:before="0" w:after="1"/>
              <w:ind w:left="0" w:right="0" w:hanging="0"/>
              <w:jc w:val="both"/>
              <w:rPr/>
            </w:pPr>
            <w:r>
              <w:rPr/>
              <w:t> </w:t>
            </w:r>
          </w:p>
        </w:tc>
        <w:tc>
          <w:tcPr>
            <w:tcW w:w="25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255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05" w:type="dxa"/>
            <w:tcBorders/>
            <w:shd w:fill="auto" w:val="cle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auto" w:val="clear"/>
            <w:vAlign w:val="bottom"/>
          </w:tcPr>
          <w:p>
            <w:pPr>
              <w:pStyle w:val="TableContents"/>
              <w:spacing w:before="0" w:after="1"/>
              <w:ind w:left="0" w:right="0" w:hanging="0"/>
              <w:jc w:val="both"/>
              <w:rPr/>
            </w:pPr>
            <w:r>
              <w:rPr/>
              <w:t> </w:t>
            </w:r>
          </w:p>
        </w:tc>
        <w:tc>
          <w:tcPr>
            <w:tcW w:w="255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r>
              <w:rPr>
                <w:b/>
                <w:sz w:val="17"/>
              </w:rPr>
              <w:t>Year Ending December 31,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5"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75" w:type="dxa"/>
            <w:tcBorders/>
            <w:shd w:fill="auto"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55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2013</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10,913 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2555" w:type="dxa"/>
            <w:tcBorders/>
            <w:shd w:fill="FFFFFF" w:val="clear"/>
            <w:vAlign w:val="bottom"/>
          </w:tcPr>
          <w:p>
            <w:pPr>
              <w:pStyle w:val="TableContents"/>
              <w:spacing w:before="0" w:after="1"/>
              <w:ind w:left="0" w:right="0" w:hanging="0"/>
              <w:jc w:val="both"/>
              <w:rPr>
                <w:sz w:val="17"/>
              </w:rPr>
            </w:pPr>
            <w:r>
              <w:rPr>
                <w:sz w:val="17"/>
              </w:rPr>
              <w:t>2014</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7,596 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555" w:type="dxa"/>
            <w:tcBorders/>
            <w:shd w:fill="CCEEFF" w:val="clear"/>
            <w:vAlign w:val="bottom"/>
          </w:tcPr>
          <w:p>
            <w:pPr>
              <w:pStyle w:val="TableContents"/>
              <w:spacing w:before="0" w:after="1"/>
              <w:ind w:left="0" w:right="0" w:hanging="0"/>
              <w:jc w:val="both"/>
              <w:rPr>
                <w:sz w:val="17"/>
              </w:rPr>
            </w:pPr>
            <w:r>
              <w:rPr>
                <w:sz w:val="17"/>
              </w:rPr>
              <w:t>2015</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7,258 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2555" w:type="dxa"/>
            <w:tcBorders/>
            <w:shd w:fill="FFFFFF" w:val="clear"/>
            <w:vAlign w:val="bottom"/>
          </w:tcPr>
          <w:p>
            <w:pPr>
              <w:pStyle w:val="TableContents"/>
              <w:spacing w:before="0" w:after="1"/>
              <w:ind w:left="0" w:right="0" w:hanging="0"/>
              <w:jc w:val="both"/>
              <w:rPr>
                <w:sz w:val="17"/>
              </w:rPr>
            </w:pPr>
            <w:r>
              <w:rPr>
                <w:sz w:val="17"/>
              </w:rPr>
              <w:t>2016</w:t>
            </w:r>
          </w:p>
        </w:tc>
        <w:tc>
          <w:tcPr>
            <w:tcW w:w="110" w:type="dxa"/>
            <w:tcBorders/>
            <w:shd w:fill="FFFFFF" w:val="clear"/>
            <w:vAlign w:val="bottom"/>
          </w:tcPr>
          <w:p>
            <w:pPr>
              <w:pStyle w:val="TableContents"/>
              <w:spacing w:before="0" w:after="1"/>
              <w:ind w:left="0" w:right="0" w:hanging="0"/>
              <w:jc w:val="right"/>
              <w:rPr/>
            </w:pPr>
            <w:r>
              <w:rPr/>
              <w:t> </w:t>
            </w:r>
          </w:p>
        </w:tc>
        <w:tc>
          <w:tcPr>
            <w:tcW w:w="605" w:type="dxa"/>
            <w:tcBorders/>
            <w:shd w:fill="FFFFFF" w:val="clear"/>
            <w:vAlign w:val="bottom"/>
          </w:tcPr>
          <w:p>
            <w:pPr>
              <w:pStyle w:val="TableContents"/>
              <w:spacing w:before="0" w:after="283"/>
              <w:jc w:val="right"/>
              <w:rPr>
                <w:sz w:val="17"/>
              </w:rPr>
            </w:pPr>
            <w:r>
              <w:rPr>
                <w:sz w:val="17"/>
              </w:rPr>
              <w:t xml:space="preserve">5,934 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555" w:type="dxa"/>
            <w:tcBorders/>
            <w:shd w:fill="CCEEFF" w:val="clear"/>
            <w:vAlign w:val="bottom"/>
          </w:tcPr>
          <w:p>
            <w:pPr>
              <w:pStyle w:val="TableContents"/>
              <w:spacing w:before="0" w:after="1"/>
              <w:ind w:left="0" w:right="0" w:hanging="0"/>
              <w:jc w:val="both"/>
              <w:rPr>
                <w:sz w:val="17"/>
              </w:rPr>
            </w:pPr>
            <w:r>
              <w:rPr>
                <w:sz w:val="17"/>
              </w:rPr>
              <w:t>2017</w:t>
            </w:r>
          </w:p>
        </w:tc>
        <w:tc>
          <w:tcPr>
            <w:tcW w:w="110" w:type="dxa"/>
            <w:tcBorders/>
            <w:shd w:fill="CCEEFF" w:val="clear"/>
            <w:vAlign w:val="bottom"/>
          </w:tcPr>
          <w:p>
            <w:pPr>
              <w:pStyle w:val="TableContents"/>
              <w:spacing w:before="0" w:after="1"/>
              <w:ind w:left="0" w:right="0" w:hanging="0"/>
              <w:jc w:val="right"/>
              <w:rPr/>
            </w:pPr>
            <w:r>
              <w:rPr/>
              <w:t> </w:t>
            </w:r>
          </w:p>
        </w:tc>
        <w:tc>
          <w:tcPr>
            <w:tcW w:w="605" w:type="dxa"/>
            <w:tcBorders/>
            <w:shd w:fill="CCEEFF" w:val="clear"/>
            <w:vAlign w:val="bottom"/>
          </w:tcPr>
          <w:p>
            <w:pPr>
              <w:pStyle w:val="TableContents"/>
              <w:spacing w:before="0" w:after="283"/>
              <w:jc w:val="right"/>
              <w:rPr>
                <w:sz w:val="17"/>
              </w:rPr>
            </w:pPr>
            <w:r>
              <w:rPr>
                <w:sz w:val="17"/>
              </w:rPr>
              <w:t xml:space="preserve">231  </w:t>
            </w:r>
          </w:p>
        </w:tc>
        <w:tc>
          <w:tcPr>
            <w:tcW w:w="75" w:type="dxa"/>
            <w:tcBorders/>
            <w:shd w:fill="CCEEFF" w:val="clear"/>
            <w:vAlign w:val="bottom"/>
          </w:tcPr>
          <w:p>
            <w:pPr>
              <w:pStyle w:val="TableContents"/>
              <w:spacing w:before="0" w:after="1"/>
              <w:ind w:left="0" w:right="0" w:hanging="0"/>
              <w:jc w:val="both"/>
              <w:rPr/>
            </w:pPr>
            <w:r>
              <w:rPr/>
              <w:t> </w:t>
            </w:r>
          </w:p>
        </w:tc>
      </w:tr>
      <w:tr>
        <w:trPr/>
        <w:tc>
          <w:tcPr>
            <w:tcW w:w="75" w:type="dxa"/>
            <w:tcBorders/>
            <w:shd w:fill="FFFFFF" w:val="clear"/>
            <w:vAlign w:val="bottom"/>
          </w:tcPr>
          <w:p>
            <w:pPr>
              <w:pStyle w:val="TableContents"/>
              <w:spacing w:before="0" w:after="1"/>
              <w:ind w:left="0" w:right="0" w:hanging="0"/>
              <w:jc w:val="both"/>
              <w:rPr/>
            </w:pPr>
            <w:r>
              <w:rPr/>
              <w:t> </w:t>
            </w:r>
          </w:p>
        </w:tc>
        <w:tc>
          <w:tcPr>
            <w:tcW w:w="255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Thereafter</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60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30,711  </w:t>
            </w:r>
          </w:p>
        </w:tc>
        <w:tc>
          <w:tcPr>
            <w:tcW w:w="75" w:type="dxa"/>
            <w:tcBorders/>
            <w:shd w:fill="FFFFFF" w:val="clear"/>
            <w:vAlign w:val="bottom"/>
          </w:tcPr>
          <w:p>
            <w:pPr>
              <w:pStyle w:val="TableContents"/>
              <w:spacing w:before="0" w:after="1"/>
              <w:ind w:left="0" w:right="0" w:hanging="0"/>
              <w:jc w:val="both"/>
              <w:rPr/>
            </w:pPr>
            <w:r>
              <w:rPr/>
              <w:t> </w:t>
            </w:r>
          </w:p>
        </w:tc>
      </w:tr>
      <w:tr>
        <w:trPr/>
        <w:tc>
          <w:tcPr>
            <w:tcW w:w="75" w:type="dxa"/>
            <w:tcBorders/>
            <w:shd w:fill="CCEEFF" w:val="clear"/>
            <w:vAlign w:val="bottom"/>
          </w:tcPr>
          <w:p>
            <w:pPr>
              <w:pStyle w:val="TableContents"/>
              <w:spacing w:before="0" w:after="1"/>
              <w:ind w:left="0" w:right="0" w:hanging="0"/>
              <w:jc w:val="both"/>
              <w:rPr/>
            </w:pPr>
            <w:r>
              <w:rPr/>
              <w:t> </w:t>
            </w:r>
          </w:p>
        </w:tc>
        <w:tc>
          <w:tcPr>
            <w:tcW w:w="255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Total future minimum rental income</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0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62,643  </w:t>
            </w:r>
          </w:p>
        </w:tc>
        <w:tc>
          <w:tcPr>
            <w:tcW w:w="75" w:type="dxa"/>
            <w:tcBorders/>
            <w:shd w:fill="CCEEFF" w:val="clear"/>
            <w:vAlign w:val="bottom"/>
          </w:tcPr>
          <w:p>
            <w:pPr>
              <w:pStyle w:val="TableContents"/>
              <w:spacing w:before="0" w:after="1"/>
              <w:ind w:left="0" w:right="0" w:hanging="0"/>
              <w:jc w:val="both"/>
              <w:rPr/>
            </w:pPr>
            <w:r>
              <w:rPr/>
              <w:t>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u w:val="single"/>
        </w:rPr>
        <w:t>Note 25 – Related Parties and Transactions</w:t>
      </w:r>
      <w:r>
        <w:rPr>
          <w:sz w:val="17"/>
        </w:rPr>
        <w:t xml:space="preserve"> </w:t>
      </w:r>
    </w:p>
    <w:p>
      <w:pPr>
        <w:pStyle w:val="TextBody"/>
        <w:spacing w:before="0" w:after="200"/>
        <w:ind w:left="1440" w:right="0" w:hanging="0"/>
        <w:jc w:val="both"/>
        <w:rPr>
          <w:sz w:val="17"/>
        </w:rPr>
      </w:pPr>
      <w:r>
        <w:rPr>
          <w:sz w:val="17"/>
          <w:u w:val="single"/>
        </w:rPr>
        <w:t>Sutton Hill Capital</w:t>
      </w:r>
      <w:r>
        <w:rPr>
          <w:sz w:val="17"/>
        </w:rPr>
        <w:t xml:space="preserve"> </w:t>
      </w:r>
    </w:p>
    <w:p>
      <w:pPr>
        <w:pStyle w:val="TextBody"/>
        <w:spacing w:before="0" w:after="200"/>
        <w:ind w:left="1440" w:right="0" w:firstLine="720"/>
        <w:jc w:val="both"/>
        <w:rPr>
          <w:sz w:val="17"/>
        </w:rPr>
      </w:pPr>
      <w:r>
        <w:rPr>
          <w:sz w:val="17"/>
        </w:rPr>
        <w:t xml:space="preserve">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Michael Forman and of which Mr. Cotter is the managing member.  During 2012, 2011, and 2010, we paid rent to SHC in the amount of $590,000, $590,000, and $547,000, respectively. </w:t>
      </w:r>
    </w:p>
    <w:p>
      <w:pPr>
        <w:pStyle w:val="TextBody"/>
        <w:spacing w:before="0" w:after="200"/>
        <w:ind w:left="1440" w:right="0" w:firstLine="720"/>
        <w:jc w:val="both"/>
        <w:rPr>
          <w:sz w:val="17"/>
        </w:rPr>
      </w:pPr>
      <w:r>
        <w:rPr>
          <w:sz w:val="17"/>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$5.9 million presented under other liabilities (see Note 15 – </w:t>
      </w:r>
      <w:r>
        <w:rPr>
          <w:i/>
          <w:sz w:val="17"/>
        </w:rPr>
        <w:t>Other Liabilities</w:t>
      </w:r>
      <w:r>
        <w:rPr>
          <w:sz w:val="17"/>
        </w:rPr>
        <w:t xml:space="preserve">).  This resulted in a deemed equity distribution of $877,000. </w:t>
      </w:r>
    </w:p>
    <w:p>
      <w:pPr>
        <w:pStyle w:val="TextBody"/>
        <w:spacing w:before="0" w:after="200"/>
        <w:ind w:left="1440" w:right="0" w:firstLine="720"/>
        <w:jc w:val="both"/>
        <w:rPr>
          <w:sz w:val="17"/>
        </w:rPr>
      </w:pPr>
      <w:r>
        <w:rPr>
          <w:sz w:val="17"/>
        </w:rPr>
        <w:t xml:space="preserve">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 </w:t>
      </w:r>
    </w:p>
    <w:p>
      <w:pPr>
        <w:pStyle w:val="TextBody"/>
        <w:spacing w:before="0" w:after="200"/>
        <w:ind w:left="1440" w:right="0" w:hanging="0"/>
        <w:jc w:val="both"/>
        <w:rPr>
          <w:sz w:val="17"/>
        </w:rPr>
      </w:pPr>
      <w:r>
        <w:rPr>
          <w:sz w:val="17"/>
          <w:u w:val="single"/>
        </w:rPr>
        <w:t>OBI Management Agreement</w:t>
      </w:r>
      <w:r>
        <w:rPr>
          <w:sz w:val="17"/>
        </w:rPr>
        <w:t xml:space="preserve"> </w:t>
      </w:r>
    </w:p>
    <w:p>
      <w:pPr>
        <w:pStyle w:val="TextBody"/>
        <w:spacing w:before="0" w:after="200"/>
        <w:ind w:left="1440" w:right="0" w:hanging="0"/>
        <w:jc w:val="both"/>
        <w:rPr/>
      </w:pPr>
      <w:r>
        <w:rPr/>
        <w:t>            </w:t>
      </w:r>
      <w:r>
        <w:rPr>
          <w:sz w:val="17"/>
        </w:rPr>
        <w:t xml:space="preserve">Pursuant to a Theater Management Agreement (the “Management Agreement”), our live theater operations are managed by OBI LLC (“OBI Management”), which is wholly owned by Ms. Margaret Cotter who is the daughter of James J. Cotter and a member of our Board of Directors. </w:t>
      </w:r>
    </w:p>
    <w:p>
      <w:pPr>
        <w:pStyle w:val="TextBody"/>
        <w:spacing w:before="0" w:after="200"/>
        <w:ind w:left="1440" w:right="0" w:firstLine="720"/>
        <w:jc w:val="both"/>
        <w:rPr>
          <w:sz w:val="17"/>
        </w:rPr>
      </w:pPr>
      <w:r>
        <w:rPr>
          <w:sz w:val="17"/>
        </w:rPr>
        <w:t xml:space="preserve">The Management Agreement generally provides that we will pay OBI Management a combination of fixed and incentive fees, which historically have equated to approximately 21% of the net cash flow received by us from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sz w:val="17"/>
        </w:rPr>
        <w:t xml:space="preserve">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2012, OBI Management earned $390,000, which was 19.7% of net cash flows for the year.  In 2011, OBI Management earned $398,000, which was 19.4% of net cash flows for the year.  In 2010, OBI Management earned $416,000, which was 24.2% of net cash flows for the year.  In each year, we reimbursed travel related expenses for OBI Management personnel with respect to travel between New York City and Chicago in connection with the management of the Royal George complex.  </w:t>
      </w:r>
    </w:p>
    <w:p>
      <w:pPr>
        <w:pStyle w:val="TextBody"/>
        <w:spacing w:before="0" w:after="200"/>
        <w:ind w:left="1440" w:right="0" w:firstLine="720"/>
        <w:jc w:val="both"/>
        <w:rPr>
          <w:sz w:val="17"/>
        </w:rPr>
      </w:pPr>
      <w:r>
        <w:rPr>
          <w:sz w:val="17"/>
        </w:rPr>
        <w:t xml:space="preserve">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 </w:t>
      </w:r>
    </w:p>
    <w:p>
      <w:pPr>
        <w:pStyle w:val="TextBody"/>
        <w:spacing w:before="0" w:after="200"/>
        <w:ind w:left="1440" w:right="0" w:hanging="0"/>
        <w:jc w:val="both"/>
        <w:rPr>
          <w:sz w:val="17"/>
        </w:rPr>
      </w:pPr>
      <w:r>
        <w:rPr>
          <w:sz w:val="17"/>
          <w:u w:val="single"/>
        </w:rPr>
        <w:t>Live Theater Play Investment</w:t>
      </w:r>
      <w:r>
        <w:rPr>
          <w:sz w:val="17"/>
        </w:rPr>
        <w:t xml:space="preserve"> </w:t>
      </w:r>
    </w:p>
    <w:p>
      <w:pPr>
        <w:pStyle w:val="TextBody"/>
        <w:spacing w:before="0" w:after="200"/>
        <w:ind w:left="1440" w:right="0" w:hanging="0"/>
        <w:jc w:val="both"/>
        <w:rPr/>
      </w:pPr>
      <w:r>
        <w:rPr/>
        <w:t>            </w:t>
      </w:r>
      <w:r>
        <w:rPr>
          <w:sz w:val="17"/>
        </w:rPr>
        <w:t xml:space="preserve">From time to time, our officers and directors may invest in plays that lease our live theaters.  The play STOMP has been playing in our Orpheum Theatre since prior to the time we acquired the theater in 2001.  Messrs. James J. Cotter and Michael Forman own an approximately 5% interest in that play, an interest that they have held since prior to our acquisition of the theater. </w:t>
      </w:r>
    </w:p>
    <w:p>
      <w:pPr>
        <w:pStyle w:val="TextBody"/>
        <w:spacing w:before="0" w:after="200"/>
        <w:ind w:left="1440" w:right="0" w:hanging="0"/>
        <w:jc w:val="both"/>
        <w:rPr>
          <w:sz w:val="17"/>
        </w:rPr>
      </w:pPr>
      <w:r>
        <w:rPr>
          <w:sz w:val="17"/>
          <w:u w:val="single"/>
        </w:rPr>
        <w:t>Shadow View Land and Farming LLC </w:t>
      </w:r>
      <w:r>
        <w:rPr>
          <w:sz w:val="17"/>
        </w:rPr>
        <w:t xml:space="preserve"> </w:t>
      </w:r>
    </w:p>
    <w:p>
      <w:pPr>
        <w:pStyle w:val="TextBody"/>
        <w:spacing w:before="0" w:after="200"/>
        <w:ind w:left="1440" w:right="0" w:firstLine="720"/>
        <w:jc w:val="both"/>
        <w:rPr>
          <w:sz w:val="17"/>
        </w:rPr>
      </w:pPr>
      <w:r>
        <w:rPr>
          <w:sz w:val="17"/>
        </w:rPr>
        <w:t xml:space="preserve">During the 2012, Mr. James J. Cotter, our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Mr. Cotter owns a 50% interest.  We are the managing member of Shadow View Land and Farming, LLC. </w:t>
      </w:r>
    </w:p>
    <w:p>
      <w:pPr>
        <w:pStyle w:val="TextBody"/>
        <w:spacing w:before="0" w:after="200"/>
        <w:ind w:left="1440" w:right="0" w:hanging="0"/>
        <w:jc w:val="both"/>
        <w:rPr>
          <w:sz w:val="17"/>
        </w:rPr>
      </w:pPr>
      <w:r>
        <w:rPr>
          <w:b/>
          <w:sz w:val="17"/>
          <w:u w:val="single"/>
        </w:rPr>
        <w:t>Note 26 – Casualty Loss</w:t>
      </w:r>
      <w:r>
        <w:rPr>
          <w:sz w:val="17"/>
        </w:rPr>
        <w:t xml:space="preserve"> </w:t>
      </w:r>
    </w:p>
    <w:p>
      <w:pPr>
        <w:pStyle w:val="TextBody"/>
        <w:spacing w:before="0" w:after="200"/>
        <w:ind w:left="1440" w:right="0" w:firstLine="720"/>
        <w:jc w:val="both"/>
        <w:rPr>
          <w:sz w:val="17"/>
        </w:rPr>
      </w:pPr>
      <w:r>
        <w:rPr>
          <w:sz w:val="17"/>
        </w:rPr>
        <w:t xml:space="preserve">Our 8-screen complex in Christchurch, New Zealand, was damaged as a result of the devastating earthquake suffered by that city on February 22, 2011.  We have earthquake and lost profits insurance on that facility for which we have received to date $1.1 million (NZ$1.3 million) which is included in our other income (expense).  We are awaiting a final settlement payment on this claim for a nominally estimated amount to be received in 2013.  This cinema was reopened on November 17, 2011, but, as a result of a December 23, 2011 earthquake, the cinema was again temporarily closed for approximately two weeks. </w:t>
      </w:r>
    </w:p>
    <w:p>
      <w:pPr>
        <w:pStyle w:val="TextBody"/>
        <w:spacing w:before="0" w:after="200"/>
        <w:ind w:left="1440" w:right="0" w:firstLine="720"/>
        <w:jc w:val="both"/>
        <w:rPr>
          <w:sz w:val="17"/>
        </w:rPr>
      </w:pPr>
      <w:r>
        <w:rPr>
          <w:sz w:val="17"/>
        </w:rPr>
        <w:t xml:space="preserve">Additionally, the 3-screen complex in Christchurch, New Zealand owned by our Rialto Cinemas joint venture entity (“Rialto Cinemas”), was damaged as a result of the devastating earthquake suffered by that city on February 22, 2011, and has been closed since that date.  Pursuant to the lease on the property, in May 2011, Rialto Cinemas gave notice to the landlord that Rialto Cinemas would be terminating the cinema lease.  Rialto Cinemas and the landlord have terminated the lease under agreeable terms and did not result in a significant reduction to the value of our investment in the Rialto Cinemas joint venture relative to its carrying value.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0"/>
        <w:ind w:left="1440" w:right="0" w:hanging="0"/>
        <w:jc w:val="center"/>
        <w:rPr>
          <w:sz w:val="17"/>
        </w:rPr>
      </w:pPr>
      <w:r>
        <w:rPr>
          <w:b/>
          <w:sz w:val="17"/>
          <w:u w:val="single"/>
        </w:rPr>
        <w:t>Schedule II – Valuation and Qualifying Accounts</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2965"/>
        <w:gridCol w:w="110"/>
        <w:gridCol w:w="1468"/>
        <w:gridCol w:w="110"/>
        <w:gridCol w:w="1889"/>
        <w:gridCol w:w="110"/>
        <w:gridCol w:w="815"/>
        <w:gridCol w:w="110"/>
        <w:gridCol w:w="1188"/>
      </w:tblGrid>
      <w:tr>
        <w:trPr/>
        <w:tc>
          <w:tcPr>
            <w:tcW w:w="2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68"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889"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88" w:type="dxa"/>
            <w:tcBorders/>
            <w:shd w:fill="auto" w:val="clear"/>
            <w:vAlign w:val="bottom"/>
          </w:tcPr>
          <w:p>
            <w:pPr>
              <w:pStyle w:val="TableContents"/>
              <w:spacing w:before="0" w:after="1"/>
              <w:ind w:left="0" w:right="0" w:hanging="0"/>
              <w:jc w:val="both"/>
              <w:rPr/>
            </w:pPr>
            <w:r>
              <w:rPr/>
              <w:t> </w:t>
            </w:r>
          </w:p>
        </w:tc>
      </w:tr>
      <w:tr>
        <w:trPr/>
        <w:tc>
          <w:tcPr>
            <w:tcW w:w="29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68"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889"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88" w:type="dxa"/>
            <w:tcBorders/>
            <w:shd w:fill="auto" w:val="clear"/>
            <w:vAlign w:val="bottom"/>
          </w:tcPr>
          <w:p>
            <w:pPr>
              <w:pStyle w:val="TableContents"/>
              <w:spacing w:before="0" w:after="1"/>
              <w:ind w:left="0" w:right="0" w:hanging="0"/>
              <w:jc w:val="both"/>
              <w:rPr/>
            </w:pPr>
            <w:r>
              <w:rPr/>
              <w:t> </w:t>
            </w:r>
          </w:p>
        </w:tc>
      </w:tr>
      <w:tr>
        <w:trPr/>
        <w:tc>
          <w:tcPr>
            <w:tcW w:w="29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Description</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468"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Balance at beginning of year</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889"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Additions charged to costs and expenses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Deductions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88"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Balance at end of year</w:t>
            </w:r>
          </w:p>
        </w:tc>
      </w:tr>
      <w:tr>
        <w:trPr/>
        <w:tc>
          <w:tcPr>
            <w:tcW w:w="2965"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Allowance for doubtful accounts</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468"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889"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81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88"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r>
      <w:tr>
        <w:trPr/>
        <w:tc>
          <w:tcPr>
            <w:tcW w:w="2965" w:type="dxa"/>
            <w:tcBorders/>
            <w:shd w:fill="CCEEFF" w:val="clear"/>
            <w:vAlign w:val="bottom"/>
          </w:tcPr>
          <w:p>
            <w:pPr>
              <w:pStyle w:val="TableContents"/>
              <w:spacing w:before="0" w:after="1"/>
              <w:ind w:left="120" w:right="0" w:hanging="0"/>
              <w:jc w:val="both"/>
              <w:rPr>
                <w:sz w:val="17"/>
              </w:rPr>
            </w:pPr>
            <w:r>
              <w:rPr>
                <w:sz w:val="17"/>
              </w:rPr>
              <w:t>Year-ended December 31, 2012 – Allowance for doubtful accounts</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468" w:type="dxa"/>
            <w:tcBorders/>
            <w:shd w:fill="CCEEFF" w:val="clear"/>
            <w:vAlign w:val="bottom"/>
          </w:tcPr>
          <w:p>
            <w:pPr>
              <w:pStyle w:val="TableContents"/>
              <w:spacing w:before="0" w:after="283"/>
              <w:jc w:val="right"/>
              <w:rPr>
                <w:sz w:val="17"/>
              </w:rPr>
            </w:pPr>
            <w:r>
              <w:rPr>
                <w:sz w:val="17"/>
              </w:rPr>
              <w:t xml:space="preserve">53 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889" w:type="dxa"/>
            <w:tcBorders/>
            <w:shd w:fill="CCEEFF" w:val="clear"/>
            <w:vAlign w:val="bottom"/>
          </w:tcPr>
          <w:p>
            <w:pPr>
              <w:pStyle w:val="TableContents"/>
              <w:spacing w:before="0" w:after="283"/>
              <w:jc w:val="right"/>
              <w:rPr>
                <w:sz w:val="17"/>
              </w:rPr>
            </w:pPr>
            <w:r>
              <w:rPr>
                <w:sz w:val="17"/>
              </w:rPr>
              <w:t xml:space="preserve">367 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15" w:type="dxa"/>
            <w:tcBorders/>
            <w:shd w:fill="CCEEFF" w:val="clear"/>
            <w:vAlign w:val="bottom"/>
          </w:tcPr>
          <w:p>
            <w:pPr>
              <w:pStyle w:val="TableContents"/>
              <w:spacing w:before="0" w:after="283"/>
              <w:jc w:val="right"/>
              <w:rPr>
                <w:sz w:val="17"/>
              </w:rPr>
            </w:pPr>
            <w:r>
              <w:rPr>
                <w:sz w:val="17"/>
              </w:rPr>
              <w:t xml:space="preserve">211 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188" w:type="dxa"/>
            <w:tcBorders/>
            <w:shd w:fill="CCEEFF" w:val="clear"/>
            <w:vAlign w:val="bottom"/>
          </w:tcPr>
          <w:p>
            <w:pPr>
              <w:pStyle w:val="TableContents"/>
              <w:spacing w:before="0" w:after="283"/>
              <w:jc w:val="right"/>
              <w:rPr>
                <w:sz w:val="17"/>
              </w:rPr>
            </w:pPr>
            <w:r>
              <w:rPr>
                <w:sz w:val="17"/>
              </w:rPr>
              <w:t xml:space="preserve">209  </w:t>
            </w:r>
          </w:p>
        </w:tc>
      </w:tr>
      <w:tr>
        <w:trPr/>
        <w:tc>
          <w:tcPr>
            <w:tcW w:w="2965" w:type="dxa"/>
            <w:tcBorders/>
            <w:shd w:fill="FFFFFF" w:val="clear"/>
            <w:vAlign w:val="bottom"/>
          </w:tcPr>
          <w:p>
            <w:pPr>
              <w:pStyle w:val="TableContents"/>
              <w:spacing w:before="0" w:after="1"/>
              <w:ind w:left="120" w:right="0" w:hanging="0"/>
              <w:jc w:val="both"/>
              <w:rPr>
                <w:sz w:val="17"/>
              </w:rPr>
            </w:pPr>
            <w:r>
              <w:rPr>
                <w:sz w:val="17"/>
              </w:rPr>
              <w:t>Year-ended December 31, 2011 – Allowance for doubtful accounts</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468" w:type="dxa"/>
            <w:tcBorders/>
            <w:shd w:fill="FFFFFF" w:val="clear"/>
            <w:vAlign w:val="bottom"/>
          </w:tcPr>
          <w:p>
            <w:pPr>
              <w:pStyle w:val="TableContents"/>
              <w:spacing w:before="0" w:after="283"/>
              <w:jc w:val="right"/>
              <w:rPr>
                <w:sz w:val="17"/>
              </w:rPr>
            </w:pPr>
            <w:r>
              <w:rPr>
                <w:sz w:val="17"/>
              </w:rPr>
              <w:t xml:space="preserve">58 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889" w:type="dxa"/>
            <w:tcBorders/>
            <w:shd w:fill="FFFFFF" w:val="clear"/>
            <w:vAlign w:val="bottom"/>
          </w:tcPr>
          <w:p>
            <w:pPr>
              <w:pStyle w:val="TableContents"/>
              <w:spacing w:before="0" w:after="283"/>
              <w:jc w:val="right"/>
              <w:rPr>
                <w:sz w:val="17"/>
              </w:rPr>
            </w:pPr>
            <w:r>
              <w:rPr>
                <w:sz w:val="17"/>
              </w:rPr>
              <w:t xml:space="preserve">153 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815" w:type="dxa"/>
            <w:tcBorders/>
            <w:shd w:fill="FFFFFF" w:val="clear"/>
            <w:vAlign w:val="bottom"/>
          </w:tcPr>
          <w:p>
            <w:pPr>
              <w:pStyle w:val="TableContents"/>
              <w:spacing w:before="0" w:after="283"/>
              <w:jc w:val="right"/>
              <w:rPr>
                <w:sz w:val="17"/>
              </w:rPr>
            </w:pPr>
            <w:r>
              <w:rPr>
                <w:sz w:val="17"/>
              </w:rPr>
              <w:t xml:space="preserve">158 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188" w:type="dxa"/>
            <w:tcBorders/>
            <w:shd w:fill="FFFFFF" w:val="clear"/>
            <w:vAlign w:val="bottom"/>
          </w:tcPr>
          <w:p>
            <w:pPr>
              <w:pStyle w:val="TableContents"/>
              <w:spacing w:before="0" w:after="283"/>
              <w:jc w:val="right"/>
              <w:rPr>
                <w:sz w:val="17"/>
              </w:rPr>
            </w:pPr>
            <w:r>
              <w:rPr>
                <w:sz w:val="17"/>
              </w:rPr>
              <w:t xml:space="preserve">53  </w:t>
            </w:r>
          </w:p>
        </w:tc>
      </w:tr>
      <w:tr>
        <w:trPr/>
        <w:tc>
          <w:tcPr>
            <w:tcW w:w="2965" w:type="dxa"/>
            <w:tcBorders/>
            <w:shd w:fill="CCEEFF" w:val="clear"/>
            <w:vAlign w:val="bottom"/>
          </w:tcPr>
          <w:p>
            <w:pPr>
              <w:pStyle w:val="TableContents"/>
              <w:spacing w:before="0" w:after="1"/>
              <w:ind w:left="120" w:right="0" w:hanging="0"/>
              <w:jc w:val="both"/>
              <w:rPr>
                <w:sz w:val="17"/>
              </w:rPr>
            </w:pPr>
            <w:r>
              <w:rPr>
                <w:sz w:val="17"/>
              </w:rPr>
              <w:t>Year-ended December 31, 2010 – Allowance for doubtful accounts</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468" w:type="dxa"/>
            <w:tcBorders/>
            <w:shd w:fill="CCEEFF" w:val="clear"/>
            <w:vAlign w:val="bottom"/>
          </w:tcPr>
          <w:p>
            <w:pPr>
              <w:pStyle w:val="TableContents"/>
              <w:spacing w:before="0" w:after="283"/>
              <w:jc w:val="right"/>
              <w:rPr>
                <w:sz w:val="17"/>
              </w:rPr>
            </w:pPr>
            <w:r>
              <w:rPr>
                <w:sz w:val="17"/>
              </w:rPr>
              <w:t xml:space="preserve">207 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889" w:type="dxa"/>
            <w:tcBorders/>
            <w:shd w:fill="CCEEFF" w:val="clear"/>
            <w:vAlign w:val="bottom"/>
          </w:tcPr>
          <w:p>
            <w:pPr>
              <w:pStyle w:val="TableContents"/>
              <w:spacing w:before="0" w:after="283"/>
              <w:jc w:val="right"/>
              <w:rPr>
                <w:sz w:val="17"/>
              </w:rPr>
            </w:pPr>
            <w:r>
              <w:rPr>
                <w:sz w:val="17"/>
              </w:rPr>
              <w:t xml:space="preserve">69 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15" w:type="dxa"/>
            <w:tcBorders/>
            <w:shd w:fill="CCEEFF" w:val="clear"/>
            <w:vAlign w:val="bottom"/>
          </w:tcPr>
          <w:p>
            <w:pPr>
              <w:pStyle w:val="TableContents"/>
              <w:spacing w:before="0" w:after="283"/>
              <w:jc w:val="right"/>
              <w:rPr>
                <w:sz w:val="17"/>
              </w:rPr>
            </w:pPr>
            <w:r>
              <w:rPr>
                <w:sz w:val="17"/>
              </w:rPr>
              <w:t xml:space="preserve">218 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188" w:type="dxa"/>
            <w:tcBorders/>
            <w:shd w:fill="CCEEFF" w:val="clear"/>
            <w:vAlign w:val="bottom"/>
          </w:tcPr>
          <w:p>
            <w:pPr>
              <w:pStyle w:val="TableContents"/>
              <w:spacing w:before="0" w:after="283"/>
              <w:jc w:val="right"/>
              <w:rPr>
                <w:sz w:val="17"/>
              </w:rPr>
            </w:pPr>
            <w:r>
              <w:rPr>
                <w:sz w:val="17"/>
              </w:rPr>
              <w:t xml:space="preserve">58  </w:t>
            </w:r>
          </w:p>
        </w:tc>
      </w:tr>
      <w:tr>
        <w:trPr/>
        <w:tc>
          <w:tcPr>
            <w:tcW w:w="296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1468"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1889"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81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1188" w:type="dxa"/>
            <w:tcBorders/>
            <w:shd w:fill="FFFFFF" w:val="clear"/>
            <w:vAlign w:val="bottom"/>
          </w:tcPr>
          <w:p>
            <w:pPr>
              <w:pStyle w:val="TableContents"/>
              <w:spacing w:before="0" w:after="1"/>
              <w:ind w:left="0" w:right="0" w:hanging="0"/>
              <w:jc w:val="both"/>
              <w:rPr/>
            </w:pPr>
            <w:r>
              <w:rPr/>
              <w:t> </w:t>
            </w:r>
          </w:p>
        </w:tc>
      </w:tr>
      <w:tr>
        <w:trPr/>
        <w:tc>
          <w:tcPr>
            <w:tcW w:w="2965" w:type="dxa"/>
            <w:tcBorders/>
            <w:shd w:fill="CCEEFF" w:val="clear"/>
            <w:vAlign w:val="bottom"/>
          </w:tcPr>
          <w:p>
            <w:pPr>
              <w:pStyle w:val="TableContents"/>
              <w:spacing w:before="0" w:after="1"/>
              <w:ind w:left="0" w:right="0" w:hanging="0"/>
              <w:jc w:val="both"/>
              <w:rPr>
                <w:sz w:val="17"/>
              </w:rPr>
            </w:pPr>
            <w:r>
              <w:rPr>
                <w:sz w:val="17"/>
              </w:rPr>
              <w:t xml:space="preserve">Tax valuation allowance </w:t>
            </w:r>
          </w:p>
        </w:tc>
        <w:tc>
          <w:tcPr>
            <w:tcW w:w="110" w:type="dxa"/>
            <w:tcBorders/>
            <w:shd w:fill="CCEEFF" w:val="clear"/>
            <w:vAlign w:val="bottom"/>
          </w:tcPr>
          <w:p>
            <w:pPr>
              <w:pStyle w:val="TableContents"/>
              <w:spacing w:before="0" w:after="1"/>
              <w:ind w:left="0" w:right="0" w:hanging="0"/>
              <w:jc w:val="right"/>
              <w:rPr/>
            </w:pPr>
            <w:r>
              <w:rPr/>
              <w:t> </w:t>
            </w:r>
          </w:p>
        </w:tc>
        <w:tc>
          <w:tcPr>
            <w:tcW w:w="1468"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1889"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81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1188" w:type="dxa"/>
            <w:tcBorders/>
            <w:shd w:fill="CCEEFF" w:val="clear"/>
            <w:vAlign w:val="bottom"/>
          </w:tcPr>
          <w:p>
            <w:pPr>
              <w:pStyle w:val="TableContents"/>
              <w:spacing w:before="0" w:after="1"/>
              <w:ind w:left="0" w:right="0" w:hanging="0"/>
              <w:jc w:val="both"/>
              <w:rPr/>
            </w:pPr>
            <w:r>
              <w:rPr/>
              <w:t> </w:t>
            </w:r>
          </w:p>
        </w:tc>
      </w:tr>
      <w:tr>
        <w:trPr/>
        <w:tc>
          <w:tcPr>
            <w:tcW w:w="2965" w:type="dxa"/>
            <w:tcBorders/>
            <w:shd w:fill="FFFFFF" w:val="clear"/>
            <w:vAlign w:val="bottom"/>
          </w:tcPr>
          <w:p>
            <w:pPr>
              <w:pStyle w:val="TableContents"/>
              <w:spacing w:before="0" w:after="1"/>
              <w:ind w:left="120" w:right="0" w:hanging="0"/>
              <w:jc w:val="both"/>
              <w:rPr>
                <w:sz w:val="17"/>
              </w:rPr>
            </w:pPr>
            <w:r>
              <w:rPr>
                <w:sz w:val="17"/>
              </w:rPr>
              <w:t>Year-ended December 31, 2012 – Tax valuation allowance</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468" w:type="dxa"/>
            <w:tcBorders/>
            <w:shd w:fill="FFFFFF" w:val="clear"/>
            <w:vAlign w:val="bottom"/>
          </w:tcPr>
          <w:p>
            <w:pPr>
              <w:pStyle w:val="TableContents"/>
              <w:spacing w:before="0" w:after="283"/>
              <w:jc w:val="right"/>
              <w:rPr>
                <w:sz w:val="17"/>
              </w:rPr>
            </w:pPr>
            <w:r>
              <w:rPr>
                <w:sz w:val="17"/>
              </w:rPr>
              <w:t xml:space="preserve">38,461 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889"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815" w:type="dxa"/>
            <w:tcBorders/>
            <w:shd w:fill="FFFFFF" w:val="clear"/>
            <w:vAlign w:val="bottom"/>
          </w:tcPr>
          <w:p>
            <w:pPr>
              <w:pStyle w:val="TableContents"/>
              <w:spacing w:before="0" w:after="283"/>
              <w:jc w:val="right"/>
              <w:rPr>
                <w:sz w:val="17"/>
              </w:rPr>
            </w:pPr>
            <w:r>
              <w:rPr>
                <w:sz w:val="17"/>
              </w:rPr>
              <w:t xml:space="preserve">558 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188" w:type="dxa"/>
            <w:tcBorders/>
            <w:shd w:fill="FFFFFF" w:val="clear"/>
            <w:vAlign w:val="bottom"/>
          </w:tcPr>
          <w:p>
            <w:pPr>
              <w:pStyle w:val="TableContents"/>
              <w:spacing w:before="0" w:after="283"/>
              <w:jc w:val="right"/>
              <w:rPr>
                <w:sz w:val="17"/>
              </w:rPr>
            </w:pPr>
            <w:r>
              <w:rPr>
                <w:sz w:val="17"/>
              </w:rPr>
              <w:t xml:space="preserve">37,903  </w:t>
            </w:r>
          </w:p>
        </w:tc>
      </w:tr>
      <w:tr>
        <w:trPr/>
        <w:tc>
          <w:tcPr>
            <w:tcW w:w="2965" w:type="dxa"/>
            <w:tcBorders/>
            <w:shd w:fill="CCEEFF" w:val="clear"/>
            <w:vAlign w:val="bottom"/>
          </w:tcPr>
          <w:p>
            <w:pPr>
              <w:pStyle w:val="TableContents"/>
              <w:spacing w:before="0" w:after="1"/>
              <w:ind w:left="120" w:right="0" w:hanging="0"/>
              <w:jc w:val="both"/>
              <w:rPr>
                <w:sz w:val="17"/>
              </w:rPr>
            </w:pPr>
            <w:r>
              <w:rPr>
                <w:sz w:val="17"/>
              </w:rPr>
              <w:t>Year-ended December 31, 2011 – Tax valuation allowance</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468" w:type="dxa"/>
            <w:tcBorders/>
            <w:shd w:fill="CCEEFF" w:val="clear"/>
            <w:vAlign w:val="bottom"/>
          </w:tcPr>
          <w:p>
            <w:pPr>
              <w:pStyle w:val="TableContents"/>
              <w:spacing w:before="0" w:after="283"/>
              <w:jc w:val="right"/>
              <w:rPr>
                <w:sz w:val="17"/>
              </w:rPr>
            </w:pPr>
            <w:r>
              <w:rPr>
                <w:sz w:val="17"/>
              </w:rPr>
              <w:t xml:space="preserve">54,513 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889"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15" w:type="dxa"/>
            <w:tcBorders/>
            <w:shd w:fill="CCEEFF" w:val="clear"/>
            <w:vAlign w:val="bottom"/>
          </w:tcPr>
          <w:p>
            <w:pPr>
              <w:pStyle w:val="TableContents"/>
              <w:spacing w:before="0" w:after="283"/>
              <w:jc w:val="right"/>
              <w:rPr>
                <w:sz w:val="17"/>
              </w:rPr>
            </w:pPr>
            <w:r>
              <w:rPr>
                <w:sz w:val="17"/>
              </w:rPr>
              <w:t xml:space="preserve">16,052 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188" w:type="dxa"/>
            <w:tcBorders/>
            <w:shd w:fill="CCEEFF" w:val="clear"/>
            <w:vAlign w:val="bottom"/>
          </w:tcPr>
          <w:p>
            <w:pPr>
              <w:pStyle w:val="TableContents"/>
              <w:spacing w:before="0" w:after="283"/>
              <w:jc w:val="right"/>
              <w:rPr>
                <w:sz w:val="17"/>
              </w:rPr>
            </w:pPr>
            <w:r>
              <w:rPr>
                <w:sz w:val="17"/>
              </w:rPr>
              <w:t xml:space="preserve">38,461  </w:t>
            </w:r>
          </w:p>
        </w:tc>
      </w:tr>
      <w:tr>
        <w:trPr/>
        <w:tc>
          <w:tcPr>
            <w:tcW w:w="2965" w:type="dxa"/>
            <w:tcBorders/>
            <w:shd w:fill="FFFFFF" w:val="clear"/>
            <w:vAlign w:val="bottom"/>
          </w:tcPr>
          <w:p>
            <w:pPr>
              <w:pStyle w:val="TableContents"/>
              <w:spacing w:before="0" w:after="1"/>
              <w:ind w:left="120" w:right="0" w:hanging="0"/>
              <w:jc w:val="both"/>
              <w:rPr>
                <w:sz w:val="17"/>
              </w:rPr>
            </w:pPr>
            <w:r>
              <w:rPr>
                <w:sz w:val="17"/>
              </w:rPr>
              <w:t>Year-ended December 31, 2010 – Tax valuation allowance</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468" w:type="dxa"/>
            <w:tcBorders/>
            <w:shd w:fill="FFFFFF" w:val="clear"/>
            <w:vAlign w:val="bottom"/>
          </w:tcPr>
          <w:p>
            <w:pPr>
              <w:pStyle w:val="TableContents"/>
              <w:spacing w:before="0" w:after="283"/>
              <w:jc w:val="right"/>
              <w:rPr>
                <w:sz w:val="17"/>
              </w:rPr>
            </w:pPr>
            <w:r>
              <w:rPr>
                <w:sz w:val="17"/>
              </w:rPr>
              <w:t xml:space="preserve">59,603 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889"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815" w:type="dxa"/>
            <w:tcBorders/>
            <w:shd w:fill="FFFFFF" w:val="clear"/>
            <w:vAlign w:val="bottom"/>
          </w:tcPr>
          <w:p>
            <w:pPr>
              <w:pStyle w:val="TableContents"/>
              <w:spacing w:before="0" w:after="283"/>
              <w:jc w:val="right"/>
              <w:rPr>
                <w:sz w:val="17"/>
              </w:rPr>
            </w:pPr>
            <w:r>
              <w:rPr>
                <w:sz w:val="17"/>
              </w:rPr>
              <w:t xml:space="preserve">5,090  </w:t>
            </w:r>
          </w:p>
        </w:tc>
        <w:tc>
          <w:tcPr>
            <w:tcW w:w="110" w:type="dxa"/>
            <w:tcBorders/>
            <w:shd w:fill="FFFFFF" w:val="clear"/>
            <w:vAlign w:val="bottom"/>
          </w:tcPr>
          <w:p>
            <w:pPr>
              <w:pStyle w:val="TableContents"/>
              <w:spacing w:before="0" w:after="1"/>
              <w:ind w:left="0" w:right="0" w:hanging="0"/>
              <w:jc w:val="right"/>
              <w:rPr>
                <w:sz w:val="17"/>
              </w:rPr>
            </w:pPr>
            <w:r>
              <w:rPr>
                <w:sz w:val="17"/>
              </w:rPr>
              <w:t>$</w:t>
            </w:r>
          </w:p>
        </w:tc>
        <w:tc>
          <w:tcPr>
            <w:tcW w:w="1188" w:type="dxa"/>
            <w:tcBorders/>
            <w:shd w:fill="FFFFFF" w:val="clear"/>
            <w:vAlign w:val="bottom"/>
          </w:tcPr>
          <w:p>
            <w:pPr>
              <w:pStyle w:val="TableContents"/>
              <w:spacing w:before="0" w:after="283"/>
              <w:jc w:val="right"/>
              <w:rPr>
                <w:sz w:val="17"/>
              </w:rPr>
            </w:pPr>
            <w:r>
              <w:rPr>
                <w:sz w:val="17"/>
              </w:rPr>
              <w:t xml:space="preserve">54,513  </w:t>
            </w:r>
          </w:p>
        </w:tc>
      </w:tr>
    </w:tbl>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both"/>
        <w:rPr>
          <w:b/>
          <w:sz w:val="17"/>
          <w:u w:val="single"/>
        </w:rPr>
      </w:pPr>
      <w:r>
        <w:rPr>
          <w:b/>
          <w:sz w:val="17"/>
          <w:u w:val="single"/>
        </w:rPr>
        <w:t xml:space="preserve">Item 9 – Change in and Disagreements with Accountants on Accounting and Financial Disclosure </w:t>
      </w:r>
    </w:p>
    <w:p>
      <w:pPr>
        <w:pStyle w:val="TextBody"/>
        <w:spacing w:before="100" w:after="100"/>
        <w:ind w:left="1440" w:right="0" w:hanging="0"/>
        <w:jc w:val="both"/>
        <w:rPr>
          <w:rFonts w:ascii="Courier New" w:hAnsi="Courier New"/>
          <w:sz w:val="17"/>
        </w:rPr>
      </w:pPr>
      <w:r>
        <w:rPr>
          <w:rFonts w:ascii="Times New Roman" w:hAnsi="Times New Roman"/>
          <w:sz w:val="17"/>
        </w:rPr>
        <w:t>None.</w:t>
      </w:r>
      <w:r>
        <w:rPr>
          <w:rFonts w:ascii="Courier New" w:hAnsi="Courier New"/>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both"/>
        <w:rPr>
          <w:b/>
          <w:sz w:val="17"/>
          <w:u w:val="single"/>
        </w:rPr>
      </w:pPr>
      <w:r>
        <w:rPr>
          <w:b/>
          <w:sz w:val="17"/>
          <w:u w:val="single"/>
        </w:rPr>
        <w:t xml:space="preserve">Item 9A — Controls and Procedures </w:t>
      </w:r>
    </w:p>
    <w:p>
      <w:pPr>
        <w:pStyle w:val="TextBody"/>
        <w:pBdr/>
        <w:spacing w:before="100" w:after="100"/>
        <w:ind w:left="1440" w:right="0" w:hanging="0"/>
        <w:jc w:val="both"/>
        <w:rPr>
          <w:sz w:val="17"/>
        </w:rPr>
      </w:pPr>
      <w:r>
        <w:rPr>
          <w:b/>
          <w:sz w:val="17"/>
          <w:u w:val="single"/>
        </w:rPr>
        <w:t>Management’s Report on Internal Control Over Financial Reporting</w:t>
      </w:r>
      <w:r>
        <w:rPr>
          <w:sz w:val="17"/>
          <w:u w:val="single"/>
        </w:rPr>
        <w:t> </w:t>
      </w:r>
      <w:r>
        <w:rPr>
          <w:sz w:val="17"/>
        </w:rPr>
        <w:t xml:space="preserve"> </w:t>
      </w:r>
    </w:p>
    <w:p>
      <w:pPr>
        <w:pStyle w:val="TextBody"/>
        <w:pBdr/>
        <w:spacing w:before="100" w:after="100"/>
        <w:ind w:left="1440" w:right="0" w:firstLine="720"/>
        <w:jc w:val="both"/>
        <w:rPr>
          <w:sz w:val="17"/>
        </w:rPr>
      </w:pPr>
      <w:r>
        <w:rPr>
          <w:sz w:val="17"/>
        </w:rPr>
        <w:t xml:space="preserve">Our 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 </w:t>
      </w:r>
    </w:p>
    <w:p>
      <w:pPr>
        <w:pStyle w:val="TextBody"/>
        <w:pBdr/>
        <w:spacing w:before="100" w:after="100"/>
        <w:ind w:left="1440" w:right="0" w:firstLine="720"/>
        <w:jc w:val="both"/>
        <w:rPr>
          <w:sz w:val="17"/>
        </w:rPr>
      </w:pPr>
      <w:r>
        <w:rPr>
          <w:sz w:val="17"/>
        </w:rPr>
        <w:t xml:space="preserve">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w:t>
      </w:r>
    </w:p>
    <w:p>
      <w:pPr>
        <w:pStyle w:val="TextBody"/>
        <w:spacing w:before="100" w:after="100"/>
        <w:ind w:left="1440" w:right="0" w:hanging="0"/>
        <w:jc w:val="both"/>
        <w:rPr/>
      </w:pPr>
      <w:r>
        <w:rPr/>
        <w:t>            </w:t>
      </w:r>
      <w:r>
        <w:rPr>
          <w:sz w:val="17"/>
        </w:rPr>
        <w:t xml:space="preserve">Under the supervision and with the participation of our management, including our Chief Executive Officer and Chief Financial Officer, we conducted an evaluation of the effectiveness of our internal control over financial reporting based on the criteria established in </w:t>
      </w:r>
      <w:r>
        <w:rPr>
          <w:i/>
          <w:sz w:val="17"/>
        </w:rPr>
        <w:t>Internal Control—Integrated Framework</w:t>
      </w:r>
      <w:r>
        <w:rPr>
          <w:sz w:val="17"/>
        </w:rPr>
        <w:t xml:space="preserve">  issued by the Committee of Sponsoring Organizations (COSO) of the Treadway Commission.  Based on our evaluation under the COSO framework, our management concluded that our internal control over financial reporting was effective as of December 31, 2012.  The effectiveness of our internal control over financial reporting as of December 31, 2012 has been audited by Grant Thornton LLP, an independent registered public accounting firm, as stated in their report, which is included herein. </w:t>
      </w:r>
    </w:p>
    <w:p>
      <w:pPr>
        <w:pStyle w:val="TextBody"/>
        <w:pBdr/>
        <w:spacing w:before="100" w:after="100"/>
        <w:ind w:left="1440" w:right="0" w:hanging="0"/>
        <w:jc w:val="both"/>
        <w:rPr>
          <w:sz w:val="17"/>
        </w:rPr>
      </w:pPr>
      <w:r>
        <w:rPr>
          <w:b/>
          <w:sz w:val="17"/>
          <w:u w:val="single"/>
        </w:rPr>
        <w:t>Disclosure Controls and Procedures</w:t>
      </w:r>
      <w:r>
        <w:rPr>
          <w:sz w:val="17"/>
          <w:u w:val="single"/>
        </w:rPr>
        <w:t> </w:t>
      </w:r>
      <w:r>
        <w:rPr>
          <w:sz w:val="17"/>
        </w:rPr>
        <w:t xml:space="preserve"> </w:t>
      </w:r>
    </w:p>
    <w:p>
      <w:pPr>
        <w:pStyle w:val="TextBody"/>
        <w:pBdr/>
        <w:spacing w:before="100" w:after="100"/>
        <w:ind w:left="1440" w:right="0" w:firstLine="720"/>
        <w:jc w:val="both"/>
        <w:rPr>
          <w:sz w:val="17"/>
        </w:rPr>
      </w:pPr>
      <w:r>
        <w:rPr>
          <w:sz w:val="17"/>
        </w:rPr>
        <w:t xml:space="preserve">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general counsel, senior officers of each significant business line and other select employees assisted the Chief Executive Officer and the Chief Financial Officer in this evaluation.  Based upon that evaluation, our Chief Executive Officer and Chief Financial Officer concluded that our disclosure controls and procedures were effective as required by the Securities Exchange Act Rule 13a-15(e) and 15d – 15(e) as of the end of the period covered by this report. </w:t>
      </w:r>
    </w:p>
    <w:p>
      <w:pPr>
        <w:pStyle w:val="TextBody"/>
        <w:pBdr/>
        <w:spacing w:before="100" w:after="100"/>
        <w:ind w:left="1440" w:right="0" w:hanging="0"/>
        <w:jc w:val="both"/>
        <w:rPr>
          <w:sz w:val="17"/>
        </w:rPr>
      </w:pPr>
      <w:r>
        <w:rPr>
          <w:b/>
          <w:sz w:val="17"/>
          <w:u w:val="single"/>
        </w:rPr>
        <w:t>Changes in Internal Controls Over Financial Reporting</w:t>
      </w:r>
      <w:r>
        <w:rPr>
          <w:sz w:val="17"/>
          <w:u w:val="single"/>
        </w:rPr>
        <w:t> </w:t>
      </w:r>
      <w:r>
        <w:rPr>
          <w:sz w:val="17"/>
        </w:rPr>
        <w:t xml:space="preserve"> </w:t>
      </w:r>
    </w:p>
    <w:p>
      <w:pPr>
        <w:pStyle w:val="TextBody"/>
        <w:pBdr/>
        <w:spacing w:before="100" w:after="100"/>
        <w:ind w:left="1440" w:right="0" w:firstLine="720"/>
        <w:jc w:val="both"/>
        <w:rPr>
          <w:sz w:val="17"/>
        </w:rPr>
      </w:pPr>
      <w:r>
        <w:rPr>
          <w:sz w:val="17"/>
        </w:rPr>
        <w:t xml:space="preserve">No changes in internal control over financial reporting occurred during the quarter ended December 31, 2012, that have materially affected, or are likely to materially affect, our internal control over financial reporting.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pBdr/>
        <w:spacing w:before="100" w:after="100"/>
        <w:ind w:left="1440" w:right="0" w:hanging="0"/>
        <w:jc w:val="both"/>
        <w:rPr>
          <w:sz w:val="17"/>
        </w:rPr>
      </w:pPr>
      <w:r>
        <w:rPr>
          <w:b/>
          <w:sz w:val="17"/>
          <w:u w:val="single"/>
        </w:rPr>
        <w:t>Report of Independent Registered Public Accounting Firm</w:t>
      </w:r>
      <w:r>
        <w:rPr>
          <w:sz w:val="17"/>
        </w:rPr>
        <w:t xml:space="preserve"> </w:t>
      </w:r>
    </w:p>
    <w:p>
      <w:pPr>
        <w:pStyle w:val="TextBody"/>
        <w:pBdr/>
        <w:spacing w:before="0" w:after="0"/>
        <w:ind w:left="1440" w:right="0" w:hanging="0"/>
        <w:jc w:val="both"/>
        <w:rPr>
          <w:sz w:val="17"/>
        </w:rPr>
      </w:pPr>
      <w:r>
        <w:rPr>
          <w:sz w:val="17"/>
        </w:rPr>
        <w:t xml:space="preserve">To the Board of Directors and Stockholders of </w:t>
      </w:r>
    </w:p>
    <w:p>
      <w:pPr>
        <w:pStyle w:val="TextBody"/>
        <w:pBdr/>
        <w:spacing w:before="0" w:after="0"/>
        <w:ind w:left="1440" w:right="0" w:hanging="0"/>
        <w:jc w:val="both"/>
        <w:rPr>
          <w:sz w:val="17"/>
        </w:rPr>
      </w:pPr>
      <w:r>
        <w:rPr>
          <w:sz w:val="17"/>
        </w:rPr>
        <w:t xml:space="preserve">Reading International, Inc.  </w:t>
      </w:r>
    </w:p>
    <w:p>
      <w:pPr>
        <w:pStyle w:val="TextBody"/>
        <w:pBdr/>
        <w:spacing w:before="0" w:after="0"/>
        <w:ind w:left="1440" w:right="0" w:hanging="0"/>
        <w:jc w:val="both"/>
        <w:rPr>
          <w:sz w:val="17"/>
        </w:rPr>
      </w:pPr>
      <w:r>
        <w:rPr>
          <w:sz w:val="17"/>
        </w:rPr>
        <w:t xml:space="preserve">Los Angeles, California </w:t>
      </w:r>
    </w:p>
    <w:p>
      <w:pPr>
        <w:pStyle w:val="TextBody"/>
        <w:pBdr/>
        <w:spacing w:before="100" w:after="100"/>
        <w:ind w:left="1440" w:right="0" w:firstLine="720"/>
        <w:jc w:val="both"/>
        <w:rPr>
          <w:sz w:val="17"/>
        </w:rPr>
      </w:pPr>
      <w:r>
        <w:rPr>
          <w:sz w:val="17"/>
        </w:rPr>
        <w:t xml:space="preserve">We have audited the internal control over financial reporting of Reading International, Inc. and subsidiaries (the “Company”) as of December 31, 2012,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t>
      </w:r>
    </w:p>
    <w:p>
      <w:pPr>
        <w:pStyle w:val="TextBody"/>
        <w:pBdr/>
        <w:spacing w:before="100" w:after="100"/>
        <w:ind w:left="1440" w:right="0" w:firstLine="720"/>
        <w:jc w:val="both"/>
        <w:rPr>
          <w:sz w:val="17"/>
        </w:rPr>
      </w:pPr>
      <w:r>
        <w:rPr>
          <w:sz w:val="17"/>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pBdr/>
        <w:spacing w:before="100" w:after="100"/>
        <w:ind w:left="1440" w:right="0" w:firstLine="720"/>
        <w:jc w:val="both"/>
        <w:rPr>
          <w:sz w:val="17"/>
        </w:rPr>
      </w:pPr>
      <w:r>
        <w:rPr>
          <w:sz w:val="17"/>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pBdr/>
        <w:spacing w:before="100" w:after="100"/>
        <w:ind w:left="1440" w:right="0" w:firstLine="720"/>
        <w:jc w:val="both"/>
        <w:rPr>
          <w:sz w:val="17"/>
        </w:rPr>
      </w:pPr>
      <w:r>
        <w:rPr>
          <w:sz w:val="17"/>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pBdr/>
        <w:spacing w:before="100" w:after="100"/>
        <w:ind w:left="1440" w:right="0" w:firstLine="720"/>
        <w:jc w:val="both"/>
        <w:rPr>
          <w:sz w:val="17"/>
        </w:rPr>
      </w:pPr>
      <w:r>
        <w:rPr>
          <w:sz w:val="17"/>
        </w:rPr>
        <w:t xml:space="preserve">In our opinion, the Company  maintained, in all material respects, effective internal control over financial reporting as of December 31, 2012, based on criteria established in Internal Control—Integrated Framework issued by COSO. </w:t>
      </w:r>
    </w:p>
    <w:p>
      <w:pPr>
        <w:pStyle w:val="TextBody"/>
        <w:pBdr/>
        <w:spacing w:before="100" w:after="100"/>
        <w:ind w:left="1440" w:right="0" w:firstLine="720"/>
        <w:jc w:val="both"/>
        <w:rPr>
          <w:sz w:val="17"/>
        </w:rPr>
      </w:pPr>
      <w:r>
        <w:rPr>
          <w:sz w:val="17"/>
        </w:rPr>
        <w:t xml:space="preserve">We also have audited, in accordance with the standards of the Public Company Accounting Oversight Board (United States), the consolidated financial statements of the Company as of and for the year ended December 31, 2012 and our report dated March 19, 2013 expressed an unqualified opinion on those consolidated financial statements.     </w:t>
      </w:r>
    </w:p>
    <w:p>
      <w:pPr>
        <w:pStyle w:val="TextBody"/>
        <w:spacing w:before="0" w:after="0"/>
        <w:ind w:left="1440" w:right="0" w:hanging="0"/>
        <w:jc w:val="left"/>
        <w:rPr>
          <w:sz w:val="17"/>
        </w:rPr>
      </w:pPr>
      <w:r>
        <w:rPr>
          <w:sz w:val="17"/>
        </w:rPr>
        <w:t xml:space="preserve">/s/    Grant Thornton LLP </w:t>
      </w:r>
    </w:p>
    <w:p>
      <w:pPr>
        <w:pStyle w:val="TextBody"/>
        <w:spacing w:before="0" w:after="0"/>
        <w:ind w:left="1440" w:right="0" w:hanging="0"/>
        <w:jc w:val="left"/>
        <w:rPr>
          <w:sz w:val="17"/>
        </w:rPr>
      </w:pPr>
      <w:r>
        <w:rPr>
          <w:sz w:val="17"/>
        </w:rPr>
        <w:t>Los Angeles, California</w:t>
        <w:br/>
        <w:t xml:space="preserve">March 19, 2013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center"/>
        <w:rPr>
          <w:rFonts w:ascii="Arial" w:hAnsi="Arial"/>
          <w:b/>
          <w:sz w:val="17"/>
        </w:rPr>
      </w:pPr>
      <w:r>
        <w:rPr>
          <w:rFonts w:ascii="Times New Roman" w:hAnsi="Times New Roman"/>
          <w:b/>
          <w:sz w:val="17"/>
          <w:u w:val="single"/>
        </w:rPr>
        <w:t>PART III</w:t>
      </w:r>
      <w:r>
        <w:rPr>
          <w:rFonts w:ascii="Arial" w:hAnsi="Arial"/>
          <w:b/>
          <w:sz w:val="17"/>
        </w:rPr>
        <w:t xml:space="preserve"> </w:t>
      </w:r>
    </w:p>
    <w:p>
      <w:pPr>
        <w:pStyle w:val="TextBody"/>
        <w:pBdr/>
        <w:spacing w:before="100" w:after="100"/>
        <w:ind w:left="1440" w:right="0" w:hanging="0"/>
        <w:jc w:val="center"/>
        <w:rPr>
          <w:rFonts w:ascii="Courier New" w:hAnsi="Courier New"/>
          <w:sz w:val="17"/>
        </w:rPr>
      </w:pPr>
      <w:r>
        <w:rPr>
          <w:rFonts w:ascii="Times New Roman" w:hAnsi="Times New Roman"/>
          <w:b/>
          <w:sz w:val="17"/>
          <w:u w:val="single"/>
        </w:rPr>
        <w:t>Items 10, 11, 12, 13 and 14</w:t>
      </w:r>
      <w:r>
        <w:rPr>
          <w:rFonts w:ascii="Courier New" w:hAnsi="Courier New"/>
          <w:sz w:val="17"/>
        </w:rPr>
        <w:t xml:space="preserve"> </w:t>
      </w:r>
    </w:p>
    <w:p>
      <w:pPr>
        <w:pStyle w:val="TextBody"/>
        <w:pBdr/>
        <w:spacing w:before="100" w:after="100"/>
        <w:ind w:left="1440" w:right="0" w:firstLine="720"/>
        <w:jc w:val="both"/>
        <w:rPr>
          <w:rFonts w:ascii="Courier New" w:hAnsi="Courier New"/>
          <w:sz w:val="17"/>
        </w:rPr>
      </w:pPr>
      <w:r>
        <w:rPr>
          <w:rFonts w:ascii="Times New Roman" w:hAnsi="Times New Roman"/>
          <w:sz w:val="17"/>
        </w:rPr>
        <w:t>Information required by Part II (Items 10, 11, 12, 13 and 14) of this From 10-K is herby incorporated by reference from the Reading International, Inc.’s definitive Proxy Statement for its 2013 Annual Meeting of Stockholders, which will be filed with the Securities and Exchange Commission, pursuant to Regulation 14A, not later than 120 days after the end of the fiscal year.</w:t>
      </w:r>
      <w:r>
        <w:rPr>
          <w:rFonts w:ascii="Courier New" w:hAnsi="Courier New"/>
          <w:sz w:val="17"/>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center"/>
        <w:rPr>
          <w:rFonts w:ascii="Arial" w:hAnsi="Arial"/>
          <w:b/>
          <w:sz w:val="17"/>
        </w:rPr>
      </w:pPr>
      <w:r>
        <w:rPr>
          <w:rFonts w:ascii="Times New Roman" w:hAnsi="Times New Roman"/>
          <w:b/>
          <w:sz w:val="17"/>
          <w:u w:val="single"/>
        </w:rPr>
        <w:t>PART IV</w:t>
      </w:r>
      <w:r>
        <w:rPr>
          <w:rFonts w:ascii="Arial" w:hAnsi="Arial"/>
          <w:b/>
          <w:sz w:val="17"/>
        </w:rPr>
        <w:t xml:space="preserve"> </w:t>
      </w:r>
    </w:p>
    <w:p>
      <w:pPr>
        <w:pStyle w:val="TextBody"/>
        <w:spacing w:before="100" w:after="100"/>
        <w:ind w:left="1440" w:right="0" w:hanging="0"/>
        <w:jc w:val="both"/>
        <w:rPr>
          <w:b/>
          <w:sz w:val="17"/>
          <w:u w:val="single"/>
        </w:rPr>
      </w:pPr>
      <w:r>
        <w:rPr>
          <w:b/>
          <w:sz w:val="17"/>
          <w:u w:val="single"/>
        </w:rPr>
        <w:t xml:space="preserve">Item 15 – Exhibits, Financial Statement Schedules </w:t>
      </w:r>
    </w:p>
    <w:p>
      <w:pPr>
        <w:pStyle w:val="TextBody"/>
        <w:spacing w:before="0" w:after="200"/>
        <w:ind w:left="1440" w:right="0" w:hanging="0"/>
        <w:jc w:val="both"/>
        <w:rPr>
          <w:sz w:val="17"/>
        </w:rPr>
      </w:pPr>
      <w:r>
        <w:rPr>
          <w:sz w:val="17"/>
        </w:rPr>
        <w:t xml:space="preserve">(a) The following documents are filed as a part of this report: </w:t>
      </w:r>
    </w:p>
    <w:p>
      <w:pPr>
        <w:pStyle w:val="TextBody"/>
        <w:pBdr/>
        <w:spacing w:before="100" w:after="100"/>
        <w:ind w:left="1800" w:right="0" w:hanging="0"/>
        <w:jc w:val="left"/>
        <w:rPr>
          <w:sz w:val="17"/>
        </w:rPr>
      </w:pPr>
      <w:r>
        <w:rPr>
          <w:sz w:val="17"/>
        </w:rPr>
        <w:t>1.</w:t>
      </w:r>
      <w:r>
        <w:rPr>
          <w:i/>
          <w:sz w:val="17"/>
        </w:rPr>
        <w:t>Financial Statements</w:t>
      </w:r>
      <w:r>
        <w:rPr>
          <w:sz w:val="17"/>
        </w:rPr>
        <w:t xml:space="preserve"> </w:t>
      </w:r>
    </w:p>
    <w:p>
      <w:pPr>
        <w:pStyle w:val="TextBody"/>
        <w:pBdr/>
        <w:spacing w:before="100" w:after="100"/>
        <w:ind w:left="1440" w:right="0" w:hanging="0"/>
        <w:jc w:val="left"/>
        <w:rPr>
          <w:sz w:val="17"/>
        </w:rPr>
      </w:pPr>
      <w:r>
        <w:rPr>
          <w:sz w:val="17"/>
        </w:rPr>
        <w:t xml:space="preserve">The following financial statements are filed as part of this report under Item 8 – </w:t>
      </w:r>
      <w:r>
        <w:rPr>
          <w:i/>
          <w:sz w:val="17"/>
        </w:rPr>
        <w:t>Financial Statements and Supplementary Data</w:t>
      </w:r>
      <w:r>
        <w:rPr>
          <w:sz w:val="17"/>
        </w:rPr>
        <w:t xml:space="preserve">. </w:t>
      </w:r>
    </w:p>
    <w:p>
      <w:pPr>
        <w:pStyle w:val="TextBody"/>
        <w:pBdr/>
        <w:spacing w:before="100" w:after="100"/>
        <w:ind w:left="1440" w:right="0" w:hanging="0"/>
        <w:jc w:val="right"/>
        <w:rPr>
          <w:sz w:val="17"/>
        </w:rPr>
      </w:pPr>
      <w:r>
        <w:rPr>
          <w:b/>
          <w:sz w:val="17"/>
          <w:u w:val="single"/>
        </w:rPr>
        <w:t>DescriptionPage</w:t>
      </w:r>
      <w:r>
        <w:rPr>
          <w:sz w:val="17"/>
        </w:rPr>
        <w:t xml:space="preserve"> </w:t>
      </w:r>
    </w:p>
    <w:p>
      <w:pPr>
        <w:pStyle w:val="TextBody"/>
        <w:spacing w:before="0" w:after="0"/>
        <w:ind w:left="1440" w:right="0" w:hanging="0"/>
        <w:jc w:val="right"/>
        <w:rPr>
          <w:sz w:val="17"/>
        </w:rPr>
      </w:pPr>
      <w:r>
        <w:rPr>
          <w:sz w:val="17"/>
        </w:rPr>
        <w:t xml:space="preserve">Reports of Independent Registered Accounting Firm...................................................................................................................54 </w:t>
      </w:r>
    </w:p>
    <w:p>
      <w:pPr>
        <w:pStyle w:val="TextBody"/>
        <w:spacing w:before="0" w:after="0"/>
        <w:ind w:left="1440" w:right="0" w:hanging="0"/>
        <w:jc w:val="right"/>
        <w:rPr>
          <w:sz w:val="17"/>
        </w:rPr>
      </w:pPr>
      <w:r>
        <w:rPr>
          <w:sz w:val="17"/>
        </w:rPr>
        <w:t xml:space="preserve">Consolidated Balance Sheets as of December 31, 2012 and 2011........................................................................................56 </w:t>
      </w:r>
    </w:p>
    <w:p>
      <w:pPr>
        <w:pStyle w:val="TextBody"/>
        <w:spacing w:before="0" w:after="0"/>
        <w:ind w:left="1440" w:right="0" w:hanging="0"/>
        <w:jc w:val="right"/>
        <w:rPr>
          <w:sz w:val="17"/>
        </w:rPr>
      </w:pPr>
      <w:r>
        <w:rPr>
          <w:sz w:val="17"/>
        </w:rPr>
        <w:t xml:space="preserve">Consolidated Statements of Operations for the Three Years Ended December 31, 2012...........................................57 </w:t>
      </w:r>
    </w:p>
    <w:p>
      <w:pPr>
        <w:pStyle w:val="TextBody"/>
        <w:spacing w:before="0" w:after="0"/>
        <w:ind w:left="1440" w:right="0" w:hanging="0"/>
        <w:jc w:val="right"/>
        <w:rPr>
          <w:sz w:val="17"/>
        </w:rPr>
      </w:pPr>
      <w:r>
        <w:rPr>
          <w:sz w:val="17"/>
        </w:rPr>
        <w:t xml:space="preserve">Consolidated Statements of Comprehensive Income (Loss) for the Three Years Ended December 31, 201258 </w:t>
      </w:r>
    </w:p>
    <w:p>
      <w:pPr>
        <w:pStyle w:val="TextBody"/>
        <w:spacing w:before="0" w:after="0"/>
        <w:ind w:left="1440" w:right="0" w:hanging="0"/>
        <w:jc w:val="right"/>
        <w:rPr>
          <w:sz w:val="17"/>
        </w:rPr>
      </w:pPr>
      <w:r>
        <w:rPr>
          <w:sz w:val="17"/>
        </w:rPr>
        <w:t xml:space="preserve">Consolidated Statements of Stockholders’ Equity for the Three Years Ended December 31, 2012.....................59 </w:t>
      </w:r>
    </w:p>
    <w:p>
      <w:pPr>
        <w:pStyle w:val="TextBody"/>
        <w:spacing w:before="0" w:after="0"/>
        <w:ind w:left="1440" w:right="0" w:hanging="0"/>
        <w:jc w:val="right"/>
        <w:rPr>
          <w:sz w:val="17"/>
        </w:rPr>
      </w:pPr>
      <w:r>
        <w:rPr>
          <w:sz w:val="17"/>
        </w:rPr>
        <w:t xml:space="preserve">Consolidated Statements of Cash Flows for the Three Years Ended December 31, 2012.........................................60 </w:t>
      </w:r>
    </w:p>
    <w:p>
      <w:pPr>
        <w:pStyle w:val="TextBody"/>
        <w:spacing w:before="0" w:after="0"/>
        <w:ind w:left="1440" w:right="0" w:hanging="0"/>
        <w:jc w:val="right"/>
        <w:rPr>
          <w:sz w:val="17"/>
        </w:rPr>
      </w:pPr>
      <w:r>
        <w:rPr>
          <w:sz w:val="17"/>
        </w:rPr>
        <w:t xml:space="preserve">Notes to Consolidated Financial Statements....................................................................................................................................61 </w:t>
      </w:r>
    </w:p>
    <w:tbl>
      <w:tblPr>
        <w:tblW w:w="6790" w:type="dxa"/>
        <w:jc w:val="left"/>
        <w:tblInd w:w="1440" w:type="dxa"/>
        <w:tblCellMar>
          <w:top w:w="0" w:type="dxa"/>
          <w:left w:w="0" w:type="dxa"/>
          <w:bottom w:w="0" w:type="dxa"/>
          <w:right w:w="0" w:type="dxa"/>
        </w:tblCellMar>
      </w:tblPr>
      <w:tblGrid>
        <w:gridCol w:w="215"/>
        <w:gridCol w:w="6575"/>
      </w:tblGrid>
      <w:tr>
        <w:trPr/>
        <w:tc>
          <w:tcPr>
            <w:tcW w:w="215" w:type="dxa"/>
            <w:tcBorders/>
            <w:shd w:fill="auto" w:val="clear"/>
          </w:tcPr>
          <w:p>
            <w:pPr>
              <w:pStyle w:val="TableContents"/>
              <w:spacing w:before="100" w:after="100"/>
              <w:ind w:left="360" w:right="0" w:hanging="0"/>
              <w:jc w:val="both"/>
              <w:rPr>
                <w:sz w:val="17"/>
              </w:rPr>
            </w:pPr>
            <w:r>
              <w:rPr>
                <w:i w:val="false"/>
                <w:caps w:val="false"/>
                <w:smallCaps w:val="false"/>
                <w:sz w:val="17"/>
              </w:rPr>
              <w:t>2.</w:t>
            </w:r>
            <w:r>
              <w:rPr>
                <w:sz w:val="17"/>
              </w:rPr>
              <w:t xml:space="preserve"> </w:t>
            </w:r>
          </w:p>
        </w:tc>
        <w:tc>
          <w:tcPr>
            <w:tcW w:w="6575" w:type="dxa"/>
            <w:tcBorders/>
            <w:shd w:fill="auto" w:val="clear"/>
          </w:tcPr>
          <w:p>
            <w:pPr>
              <w:pStyle w:val="TableContents"/>
              <w:spacing w:before="0" w:after="283"/>
              <w:jc w:val="both"/>
              <w:rPr>
                <w:i/>
                <w:sz w:val="17"/>
              </w:rPr>
            </w:pPr>
            <w:r>
              <w:rPr>
                <w:i/>
                <w:sz w:val="17"/>
              </w:rPr>
              <w:t>Financial Statements and Schedules for the years ended December 31, 2012,  2011, and 2010</w:t>
            </w:r>
          </w:p>
        </w:tc>
      </w:tr>
    </w:tbl>
    <w:p>
      <w:pPr>
        <w:pStyle w:val="TextBody"/>
        <w:spacing w:before="0" w:after="0"/>
        <w:ind w:left="1440" w:right="0" w:hanging="0"/>
        <w:jc w:val="right"/>
        <w:rPr>
          <w:sz w:val="17"/>
        </w:rPr>
      </w:pPr>
      <w:r>
        <w:rPr>
          <w:strike w:val="false"/>
          <w:dstrike w:val="false"/>
          <w:sz w:val="17"/>
          <w:u w:val="none"/>
          <w:effect w:val="none"/>
        </w:rPr>
        <w:t>Schedule II – Valuation and Qualifying Accounts</w:t>
      </w:r>
      <w:r>
        <w:rPr>
          <w:sz w:val="17"/>
        </w:rPr>
        <w:t xml:space="preserve">.........................................................................................................................102 </w:t>
      </w:r>
    </w:p>
    <w:p>
      <w:pPr>
        <w:pStyle w:val="TextBody"/>
        <w:spacing w:before="0" w:after="0"/>
        <w:ind w:left="1440" w:right="0" w:hanging="0"/>
        <w:jc w:val="right"/>
        <w:rPr>
          <w:sz w:val="17"/>
        </w:rPr>
      </w:pPr>
      <w:r>
        <w:rPr>
          <w:strike w:val="false"/>
          <w:dstrike w:val="false"/>
          <w:sz w:val="17"/>
          <w:u w:val="none"/>
          <w:effect w:val="none"/>
        </w:rPr>
        <w:t>Financial Statements of Mt. Gravatt Cinemas Joint Venture</w:t>
      </w:r>
      <w:r>
        <w:rPr>
          <w:sz w:val="17"/>
        </w:rPr>
        <w:t xml:space="preserve">.................................................................................................108 </w:t>
      </w:r>
    </w:p>
    <w:p>
      <w:pPr>
        <w:pStyle w:val="TextBody"/>
        <w:spacing w:before="100" w:after="100"/>
        <w:ind w:left="1800" w:right="230" w:hanging="0"/>
        <w:jc w:val="right"/>
        <w:rPr>
          <w:sz w:val="17"/>
        </w:rPr>
      </w:pPr>
      <w:r>
        <w:rPr>
          <w:sz w:val="17"/>
        </w:rPr>
        <w:t>3.</w:t>
      </w:r>
      <w:r>
        <w:rPr>
          <w:i/>
          <w:sz w:val="17"/>
        </w:rPr>
        <w:t>Exhibits (Listed by numbers corresponding to Item 601 of Regulation S-K</w:t>
      </w:r>
      <w:r>
        <w:rPr>
          <w:sz w:val="17"/>
        </w:rPr>
        <w:t xml:space="preserve">..........................................125 </w:t>
      </w:r>
    </w:p>
    <w:p>
      <w:pPr>
        <w:pStyle w:val="TextBody"/>
        <w:spacing w:before="0" w:after="200"/>
        <w:ind w:left="1440" w:right="0" w:hanging="0"/>
        <w:jc w:val="both"/>
        <w:rPr>
          <w:sz w:val="17"/>
        </w:rPr>
      </w:pPr>
      <w:r>
        <w:rPr>
          <w:sz w:val="17"/>
        </w:rPr>
        <w:t xml:space="preserve">(b) Exhibits Required by Item 601 of Regulation S-K </w:t>
      </w:r>
    </w:p>
    <w:p>
      <w:pPr>
        <w:pStyle w:val="TextBody"/>
        <w:spacing w:before="0" w:after="200"/>
        <w:ind w:left="1440" w:right="0" w:firstLine="720"/>
        <w:jc w:val="both"/>
        <w:rPr>
          <w:sz w:val="17"/>
        </w:rPr>
      </w:pPr>
      <w:r>
        <w:rPr>
          <w:sz w:val="17"/>
        </w:rPr>
        <w:t xml:space="preserve">See Item (a) 3. above. </w:t>
      </w:r>
    </w:p>
    <w:p>
      <w:pPr>
        <w:pStyle w:val="TextBody"/>
        <w:spacing w:before="0" w:after="200"/>
        <w:ind w:left="1440" w:right="0" w:hanging="0"/>
        <w:jc w:val="both"/>
        <w:rPr>
          <w:sz w:val="17"/>
        </w:rPr>
      </w:pPr>
      <w:r>
        <w:rPr>
          <w:sz w:val="17"/>
        </w:rPr>
        <w:t xml:space="preserve">(c) Financial Statement Schedule </w:t>
      </w:r>
    </w:p>
    <w:p>
      <w:pPr>
        <w:pStyle w:val="TextBody"/>
        <w:spacing w:before="0" w:after="200"/>
        <w:ind w:left="1440" w:right="0" w:hanging="0"/>
        <w:jc w:val="both"/>
        <w:rPr>
          <w:sz w:val="17"/>
        </w:rPr>
      </w:pPr>
      <w:r>
        <w:rPr>
          <w:sz w:val="17"/>
        </w:rPr>
        <w:t xml:space="preserve">See Item (a) 2. above.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both"/>
        <w:rPr>
          <w:sz w:val="17"/>
        </w:rPr>
      </w:pPr>
      <w:r>
        <w:rPr>
          <w:sz w:val="17"/>
        </w:rPr>
        <w:t xml:space="preserve">Following are financial statements and notes of Mt. Gravatt Cinemas Joint Venture for the periods indicated.  We are required to include in our Report on Form 10-K audited financial statements for the years ended December 31, 2012, 2011, and 2010. </w:t>
      </w:r>
    </w:p>
    <w:p>
      <w:pPr>
        <w:pStyle w:val="TextBody"/>
        <w:spacing w:before="0" w:after="0"/>
        <w:ind w:left="1440" w:right="0" w:hanging="0"/>
        <w:jc w:val="both"/>
        <w:rPr>
          <w:sz w:val="17"/>
        </w:rPr>
      </w:pPr>
      <w:r>
        <w:rPr>
          <w:b/>
          <w:sz w:val="17"/>
        </w:rPr>
        <w:t>Mt. Gravatt Cinemas Joint Venture</w:t>
      </w:r>
      <w:r>
        <w:rPr>
          <w:sz w:val="17"/>
        </w:rPr>
        <w:t xml:space="preserve"> </w:t>
      </w:r>
    </w:p>
    <w:p>
      <w:pPr>
        <w:pStyle w:val="TextBody"/>
        <w:spacing w:before="0" w:after="0"/>
        <w:ind w:left="1440" w:right="0" w:hanging="0"/>
        <w:jc w:val="both"/>
        <w:rPr>
          <w:sz w:val="17"/>
        </w:rPr>
      </w:pPr>
      <w:r>
        <w:rPr>
          <w:b/>
          <w:sz w:val="17"/>
        </w:rPr>
        <w:t>Statements of Comprehensive Income</w:t>
      </w:r>
      <w:r>
        <w:rPr>
          <w:sz w:val="17"/>
        </w:rPr>
        <w:t xml:space="preserve"> </w:t>
      </w:r>
    </w:p>
    <w:p>
      <w:pPr>
        <w:pStyle w:val="TextBody"/>
        <w:spacing w:before="0" w:after="0"/>
        <w:ind w:left="1440" w:right="0" w:hanging="0"/>
        <w:jc w:val="both"/>
        <w:rPr>
          <w:sz w:val="17"/>
        </w:rPr>
      </w:pPr>
      <w:r>
        <w:rPr>
          <w:b/>
          <w:sz w:val="17"/>
        </w:rPr>
        <w:t>For the Year Ended December 31, 2012</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6610" w:type="dxa"/>
        <w:jc w:val="left"/>
        <w:tblInd w:w="1440" w:type="dxa"/>
        <w:tblCellMar>
          <w:top w:w="0" w:type="dxa"/>
          <w:left w:w="0" w:type="dxa"/>
          <w:bottom w:w="0" w:type="dxa"/>
          <w:right w:w="0" w:type="dxa"/>
        </w:tblCellMar>
      </w:tblPr>
      <w:tblGrid>
        <w:gridCol w:w="3140"/>
        <w:gridCol w:w="365"/>
        <w:gridCol w:w="110"/>
        <w:gridCol w:w="920"/>
        <w:gridCol w:w="110"/>
        <w:gridCol w:w="920"/>
        <w:gridCol w:w="110"/>
        <w:gridCol w:w="935"/>
      </w:tblGrid>
      <w:tr>
        <w:trPr/>
        <w:tc>
          <w:tcPr>
            <w:tcW w:w="3140"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3140"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314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65" w:type="dxa"/>
            <w:tcBorders>
              <w:bottom w:val="single" w:sz="12" w:space="0" w:color="000000"/>
            </w:tcBorders>
            <w:shd w:fill="auto" w:val="clear"/>
            <w:tcMar>
              <w:bottom w:w="28" w:type="dxa"/>
            </w:tcMar>
            <w:vAlign w:val="bottom"/>
          </w:tcPr>
          <w:p>
            <w:pPr>
              <w:pStyle w:val="TableContents"/>
              <w:spacing w:before="0" w:after="1"/>
              <w:ind w:left="0" w:right="0" w:hanging="0"/>
              <w:jc w:val="both"/>
              <w:rPr>
                <w:b/>
                <w:sz w:val="17"/>
              </w:rPr>
            </w:pPr>
            <w:r>
              <w:rPr>
                <w:b/>
                <w:sz w:val="17"/>
              </w:rPr>
              <w:t>Note</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314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Revenue from rendering services</w:t>
            </w:r>
          </w:p>
        </w:tc>
        <w:tc>
          <w:tcPr>
            <w:tcW w:w="365" w:type="dxa"/>
            <w:tcBorders>
              <w:top w:val="single" w:sz="12" w:space="0" w:color="000000"/>
            </w:tcBorders>
            <w:shd w:fill="CCEEFF" w:val="clear"/>
            <w:tcMar>
              <w:top w:w="28" w:type="dxa"/>
            </w:tcMar>
            <w:vAlign w:val="bottom"/>
          </w:tcPr>
          <w:p>
            <w:pPr>
              <w:pStyle w:val="TableContents"/>
              <w:spacing w:before="0" w:after="1"/>
              <w:ind w:left="0" w:right="0" w:hanging="0"/>
              <w:jc w:val="center"/>
              <w:rPr>
                <w:sz w:val="17"/>
              </w:rPr>
            </w:pPr>
            <w:r>
              <w:rPr>
                <w:sz w:val="17"/>
              </w:rPr>
              <w:t>5</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10,689,440 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10,022,854 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93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10,378,232  </w:t>
            </w:r>
          </w:p>
        </w:tc>
      </w:tr>
      <w:tr>
        <w:trPr/>
        <w:tc>
          <w:tcPr>
            <w:tcW w:w="314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Revenue from sale of concession</w:t>
            </w:r>
          </w:p>
        </w:tc>
        <w:tc>
          <w:tcPr>
            <w:tcW w:w="365" w:type="dxa"/>
            <w:tcBorders>
              <w:bottom w:val="single" w:sz="8" w:space="0" w:color="000000"/>
            </w:tcBorders>
            <w:shd w:fill="FFFF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4,015,329 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3,625,410 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3,646,982  </w:t>
            </w:r>
          </w:p>
        </w:tc>
      </w:tr>
      <w:tr>
        <w:trPr/>
        <w:tc>
          <w:tcPr>
            <w:tcW w:w="314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both"/>
              <w:rPr/>
            </w:pPr>
            <w:r>
              <w:rPr/>
              <w:t>     </w:t>
            </w:r>
            <w:r>
              <w:rPr>
                <w:b/>
                <w:sz w:val="17"/>
              </w:rPr>
              <w:t>Total revenue</w:t>
            </w:r>
          </w:p>
        </w:tc>
        <w:tc>
          <w:tcPr>
            <w:tcW w:w="36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14,704,769 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13,648,264 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14,025,214  </w:t>
            </w:r>
          </w:p>
        </w:tc>
      </w:tr>
      <w:tr>
        <w:trPr/>
        <w:tc>
          <w:tcPr>
            <w:tcW w:w="314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365" w:type="dxa"/>
            <w:tcBorders>
              <w:top w:val="single" w:sz="8"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2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2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3140" w:type="dxa"/>
            <w:tcBorders/>
            <w:shd w:fill="CCEEFF" w:val="clear"/>
            <w:vAlign w:val="bottom"/>
          </w:tcPr>
          <w:p>
            <w:pPr>
              <w:pStyle w:val="TableContents"/>
              <w:spacing w:before="0" w:after="1"/>
              <w:ind w:left="0" w:right="0" w:hanging="0"/>
              <w:jc w:val="both"/>
              <w:rPr>
                <w:sz w:val="17"/>
              </w:rPr>
            </w:pPr>
            <w:r>
              <w:rPr>
                <w:sz w:val="17"/>
              </w:rPr>
              <w:t>Film expenses</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(4,311,436)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(3,974,267) </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283"/>
              <w:jc w:val="right"/>
              <w:rPr>
                <w:sz w:val="17"/>
              </w:rPr>
            </w:pPr>
            <w:r>
              <w:rPr>
                <w:sz w:val="17"/>
              </w:rPr>
              <w:t xml:space="preserve">(4,200,089) </w:t>
            </w:r>
          </w:p>
        </w:tc>
      </w:tr>
      <w:tr>
        <w:trPr/>
        <w:tc>
          <w:tcPr>
            <w:tcW w:w="3140" w:type="dxa"/>
            <w:tcBorders/>
            <w:shd w:fill="FFFFFF" w:val="clear"/>
            <w:vAlign w:val="bottom"/>
          </w:tcPr>
          <w:p>
            <w:pPr>
              <w:pStyle w:val="TableContents"/>
              <w:spacing w:before="0" w:after="1"/>
              <w:ind w:left="0" w:right="0" w:hanging="0"/>
              <w:jc w:val="both"/>
              <w:rPr>
                <w:sz w:val="17"/>
              </w:rPr>
            </w:pPr>
            <w:r>
              <w:rPr>
                <w:sz w:val="17"/>
              </w:rPr>
              <w:t>Personnel expenses</w:t>
            </w:r>
          </w:p>
        </w:tc>
        <w:tc>
          <w:tcPr>
            <w:tcW w:w="365" w:type="dxa"/>
            <w:tcBorders/>
            <w:shd w:fill="FFFFFF" w:val="clear"/>
            <w:vAlign w:val="bottom"/>
          </w:tcPr>
          <w:p>
            <w:pPr>
              <w:pStyle w:val="TableContents"/>
              <w:spacing w:before="0" w:after="1"/>
              <w:ind w:left="0" w:right="0" w:hanging="0"/>
              <w:jc w:val="center"/>
              <w:rPr>
                <w:sz w:val="17"/>
              </w:rPr>
            </w:pPr>
            <w:r>
              <w:rPr>
                <w:sz w:val="17"/>
              </w:rPr>
              <w:t>6</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(1,845,515)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(1,925,190)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283"/>
              <w:jc w:val="right"/>
              <w:rPr>
                <w:sz w:val="17"/>
              </w:rPr>
            </w:pPr>
            <w:r>
              <w:rPr>
                <w:sz w:val="17"/>
              </w:rPr>
              <w:t xml:space="preserve">(2,084,251) </w:t>
            </w:r>
          </w:p>
        </w:tc>
      </w:tr>
      <w:tr>
        <w:trPr/>
        <w:tc>
          <w:tcPr>
            <w:tcW w:w="3140" w:type="dxa"/>
            <w:tcBorders/>
            <w:shd w:fill="CCEEFF" w:val="clear"/>
            <w:vAlign w:val="bottom"/>
          </w:tcPr>
          <w:p>
            <w:pPr>
              <w:pStyle w:val="TableContents"/>
              <w:spacing w:before="0" w:after="1"/>
              <w:ind w:left="0" w:right="0" w:hanging="0"/>
              <w:jc w:val="both"/>
              <w:rPr>
                <w:sz w:val="17"/>
              </w:rPr>
            </w:pPr>
            <w:r>
              <w:rPr>
                <w:sz w:val="17"/>
              </w:rPr>
              <w:t>Occupancy expenses</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(1,584,751)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(1,521,307) </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283"/>
              <w:jc w:val="right"/>
              <w:rPr>
                <w:sz w:val="17"/>
              </w:rPr>
            </w:pPr>
            <w:r>
              <w:rPr>
                <w:sz w:val="17"/>
              </w:rPr>
              <w:t xml:space="preserve">(1,413,895) </w:t>
            </w:r>
          </w:p>
        </w:tc>
      </w:tr>
      <w:tr>
        <w:trPr/>
        <w:tc>
          <w:tcPr>
            <w:tcW w:w="3140" w:type="dxa"/>
            <w:tcBorders/>
            <w:shd w:fill="FFFFFF" w:val="clear"/>
            <w:vAlign w:val="bottom"/>
          </w:tcPr>
          <w:p>
            <w:pPr>
              <w:pStyle w:val="TableContents"/>
              <w:spacing w:before="0" w:after="1"/>
              <w:ind w:left="0" w:right="0" w:hanging="0"/>
              <w:jc w:val="both"/>
              <w:rPr>
                <w:sz w:val="17"/>
              </w:rPr>
            </w:pPr>
            <w:r>
              <w:rPr>
                <w:sz w:val="17"/>
              </w:rPr>
              <w:t>House expenses</w:t>
            </w:r>
          </w:p>
        </w:tc>
        <w:tc>
          <w:tcPr>
            <w:tcW w:w="365" w:type="dxa"/>
            <w:tcBorders/>
            <w:shd w:fill="FFFFFF" w:val="clear"/>
            <w:vAlign w:val="bottom"/>
          </w:tcPr>
          <w:p>
            <w:pPr>
              <w:pStyle w:val="TableContents"/>
              <w:spacing w:before="0" w:after="1"/>
              <w:ind w:left="0" w:right="0" w:hanging="0"/>
              <w:jc w:val="center"/>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(1,260,328)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(1,159,484)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283"/>
              <w:jc w:val="right"/>
              <w:rPr>
                <w:sz w:val="17"/>
              </w:rPr>
            </w:pPr>
            <w:r>
              <w:rPr>
                <w:sz w:val="17"/>
              </w:rPr>
              <w:t xml:space="preserve">(1,182,071) </w:t>
            </w:r>
          </w:p>
        </w:tc>
      </w:tr>
      <w:tr>
        <w:trPr/>
        <w:tc>
          <w:tcPr>
            <w:tcW w:w="3140" w:type="dxa"/>
            <w:tcBorders/>
            <w:shd w:fill="CCEEFF" w:val="clear"/>
            <w:vAlign w:val="bottom"/>
          </w:tcPr>
          <w:p>
            <w:pPr>
              <w:pStyle w:val="TableContents"/>
              <w:spacing w:before="0" w:after="1"/>
              <w:ind w:left="0" w:right="0" w:hanging="0"/>
              <w:jc w:val="both"/>
              <w:rPr>
                <w:sz w:val="17"/>
              </w:rPr>
            </w:pPr>
            <w:r>
              <w:rPr>
                <w:sz w:val="17"/>
              </w:rPr>
              <w:t>Cost of concession</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(944,355)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(851,575) </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283"/>
              <w:jc w:val="right"/>
              <w:rPr>
                <w:sz w:val="17"/>
              </w:rPr>
            </w:pPr>
            <w:r>
              <w:rPr>
                <w:sz w:val="17"/>
              </w:rPr>
              <w:t xml:space="preserve">(913,716) </w:t>
            </w:r>
          </w:p>
        </w:tc>
      </w:tr>
      <w:tr>
        <w:trPr/>
        <w:tc>
          <w:tcPr>
            <w:tcW w:w="3140" w:type="dxa"/>
            <w:tcBorders/>
            <w:shd w:fill="FFFFFF" w:val="clear"/>
            <w:vAlign w:val="bottom"/>
          </w:tcPr>
          <w:p>
            <w:pPr>
              <w:pStyle w:val="TableContents"/>
              <w:spacing w:before="0" w:after="1"/>
              <w:ind w:left="0" w:right="0" w:hanging="0"/>
              <w:jc w:val="both"/>
              <w:rPr>
                <w:sz w:val="17"/>
              </w:rPr>
            </w:pPr>
            <w:r>
              <w:rPr>
                <w:sz w:val="17"/>
              </w:rPr>
              <w:t>Depreciation and amortization expenses</w:t>
            </w:r>
          </w:p>
        </w:tc>
        <w:tc>
          <w:tcPr>
            <w:tcW w:w="365" w:type="dxa"/>
            <w:tcBorders/>
            <w:shd w:fill="FFFFFF" w:val="clear"/>
            <w:vAlign w:val="bottom"/>
          </w:tcPr>
          <w:p>
            <w:pPr>
              <w:pStyle w:val="TableContents"/>
              <w:spacing w:before="0" w:after="1"/>
              <w:ind w:left="0" w:right="0" w:hanging="0"/>
              <w:jc w:val="center"/>
              <w:rPr>
                <w:sz w:val="17"/>
              </w:rPr>
            </w:pPr>
            <w:r>
              <w:rPr>
                <w:sz w:val="17"/>
              </w:rPr>
              <w:t>11</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(597,349)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(555,594)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283"/>
              <w:jc w:val="right"/>
              <w:rPr>
                <w:sz w:val="17"/>
              </w:rPr>
            </w:pPr>
            <w:r>
              <w:rPr>
                <w:sz w:val="17"/>
              </w:rPr>
              <w:t xml:space="preserve">(573,224) </w:t>
            </w:r>
          </w:p>
        </w:tc>
      </w:tr>
      <w:tr>
        <w:trPr/>
        <w:tc>
          <w:tcPr>
            <w:tcW w:w="3140" w:type="dxa"/>
            <w:tcBorders/>
            <w:shd w:fill="CCEEFF" w:val="clear"/>
            <w:vAlign w:val="bottom"/>
          </w:tcPr>
          <w:p>
            <w:pPr>
              <w:pStyle w:val="TableContents"/>
              <w:spacing w:before="0" w:after="1"/>
              <w:ind w:left="0" w:right="0" w:hanging="0"/>
              <w:jc w:val="both"/>
              <w:rPr>
                <w:sz w:val="17"/>
              </w:rPr>
            </w:pPr>
            <w:r>
              <w:rPr>
                <w:sz w:val="17"/>
              </w:rPr>
              <w:t>Advertising and marketing costs</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(313,791) </w:t>
            </w:r>
          </w:p>
        </w:tc>
        <w:tc>
          <w:tcPr>
            <w:tcW w:w="110" w:type="dxa"/>
            <w:tcBorders/>
            <w:shd w:fill="CCEEFF" w:val="clear"/>
            <w:vAlign w:val="bottom"/>
          </w:tcPr>
          <w:p>
            <w:pPr>
              <w:pStyle w:val="TableContents"/>
              <w:spacing w:before="0" w:after="1"/>
              <w:ind w:left="0" w:right="0" w:hanging="0"/>
              <w:jc w:val="right"/>
              <w:rPr/>
            </w:pPr>
            <w:r>
              <w:rPr/>
              <w:t> </w:t>
            </w:r>
          </w:p>
        </w:tc>
        <w:tc>
          <w:tcPr>
            <w:tcW w:w="920" w:type="dxa"/>
            <w:tcBorders/>
            <w:shd w:fill="CCEEFF" w:val="clear"/>
            <w:vAlign w:val="bottom"/>
          </w:tcPr>
          <w:p>
            <w:pPr>
              <w:pStyle w:val="TableContents"/>
              <w:spacing w:before="0" w:after="283"/>
              <w:jc w:val="right"/>
              <w:rPr>
                <w:sz w:val="17"/>
              </w:rPr>
            </w:pPr>
            <w:r>
              <w:rPr>
                <w:sz w:val="17"/>
              </w:rPr>
              <w:t xml:space="preserve">(334,325) </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283"/>
              <w:jc w:val="right"/>
              <w:rPr>
                <w:sz w:val="17"/>
              </w:rPr>
            </w:pPr>
            <w:r>
              <w:rPr>
                <w:sz w:val="17"/>
              </w:rPr>
              <w:t xml:space="preserve">(325,214) </w:t>
            </w:r>
          </w:p>
        </w:tc>
      </w:tr>
      <w:tr>
        <w:trPr/>
        <w:tc>
          <w:tcPr>
            <w:tcW w:w="3140" w:type="dxa"/>
            <w:tcBorders/>
            <w:shd w:fill="FFFFFF" w:val="clear"/>
            <w:vAlign w:val="bottom"/>
          </w:tcPr>
          <w:p>
            <w:pPr>
              <w:pStyle w:val="TableContents"/>
              <w:spacing w:before="0" w:after="1"/>
              <w:ind w:left="0" w:right="0" w:hanging="0"/>
              <w:jc w:val="both"/>
              <w:rPr>
                <w:sz w:val="17"/>
              </w:rPr>
            </w:pPr>
            <w:r>
              <w:rPr>
                <w:sz w:val="17"/>
              </w:rPr>
              <w:t>Management fees</w:t>
            </w:r>
          </w:p>
        </w:tc>
        <w:tc>
          <w:tcPr>
            <w:tcW w:w="365" w:type="dxa"/>
            <w:tcBorders/>
            <w:shd w:fill="FFFFFF" w:val="clear"/>
            <w:vAlign w:val="bottom"/>
          </w:tcPr>
          <w:p>
            <w:pPr>
              <w:pStyle w:val="TableContents"/>
              <w:spacing w:before="0" w:after="1"/>
              <w:ind w:left="0" w:right="0" w:hanging="0"/>
              <w:jc w:val="center"/>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(261,004)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283"/>
              <w:jc w:val="right"/>
              <w:rPr>
                <w:sz w:val="17"/>
              </w:rPr>
            </w:pPr>
            <w:r>
              <w:rPr>
                <w:sz w:val="17"/>
              </w:rPr>
              <w:t xml:space="preserve">(253,914)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283"/>
              <w:jc w:val="right"/>
              <w:rPr>
                <w:sz w:val="17"/>
              </w:rPr>
            </w:pPr>
            <w:r>
              <w:rPr>
                <w:sz w:val="17"/>
              </w:rPr>
              <w:t xml:space="preserve">(243,290) </w:t>
            </w:r>
          </w:p>
        </w:tc>
      </w:tr>
      <w:tr>
        <w:trPr/>
        <w:tc>
          <w:tcPr>
            <w:tcW w:w="314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Repairs and maintenance expense</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(217,289)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(182,566)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(163,994) </w:t>
            </w:r>
          </w:p>
        </w:tc>
      </w:tr>
      <w:tr>
        <w:trPr/>
        <w:tc>
          <w:tcPr>
            <w:tcW w:w="314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pPr>
            <w:r>
              <w:rPr/>
              <w:t>      </w:t>
            </w:r>
            <w:r>
              <w:rPr>
                <w:b/>
                <w:sz w:val="17"/>
              </w:rPr>
              <w:t>Results for operating activities</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3,368,951 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2,890,042 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3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2,925,470  </w:t>
            </w:r>
          </w:p>
        </w:tc>
      </w:tr>
      <w:tr>
        <w:trPr/>
        <w:tc>
          <w:tcPr>
            <w:tcW w:w="314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365" w:type="dxa"/>
            <w:tcBorders>
              <w:top w:val="single" w:sz="8" w:space="0" w:color="000000"/>
            </w:tcBorders>
            <w:shd w:fill="CCEE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2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2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314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Finance income</w:t>
            </w:r>
          </w:p>
        </w:tc>
        <w:tc>
          <w:tcPr>
            <w:tcW w:w="365" w:type="dxa"/>
            <w:tcBorders>
              <w:bottom w:val="single" w:sz="8" w:space="0" w:color="000000"/>
            </w:tcBorders>
            <w:shd w:fill="FFFF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21,256 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58,301 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19,522  </w:t>
            </w:r>
          </w:p>
        </w:tc>
      </w:tr>
      <w:tr>
        <w:trPr/>
        <w:tc>
          <w:tcPr>
            <w:tcW w:w="314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both"/>
              <w:rPr/>
            </w:pPr>
            <w:r>
              <w:rPr/>
              <w:t>      </w:t>
            </w:r>
            <w:r>
              <w:rPr>
                <w:b/>
                <w:sz w:val="17"/>
              </w:rPr>
              <w:t>Net finance income</w:t>
            </w:r>
          </w:p>
        </w:tc>
        <w:tc>
          <w:tcPr>
            <w:tcW w:w="36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center"/>
              <w:rPr>
                <w:sz w:val="17"/>
              </w:rPr>
            </w:pPr>
            <w:r>
              <w:rPr>
                <w:sz w:val="17"/>
              </w:rPr>
              <w:t>7</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21,256 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58,301 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19,522  </w:t>
            </w:r>
          </w:p>
        </w:tc>
      </w:tr>
      <w:tr>
        <w:trPr/>
        <w:tc>
          <w:tcPr>
            <w:tcW w:w="314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Profit for the period</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3,390,207 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2,948,343 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2,944,992  </w:t>
            </w:r>
          </w:p>
        </w:tc>
      </w:tr>
      <w:tr>
        <w:trPr/>
        <w:tc>
          <w:tcPr>
            <w:tcW w:w="314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365" w:type="dxa"/>
            <w:tcBorders>
              <w:top w:val="single" w:sz="8" w:space="0" w:color="000000"/>
            </w:tcBorders>
            <w:shd w:fill="CCEE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2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2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3140" w:type="dxa"/>
            <w:tcBorders/>
            <w:shd w:fill="FFFFFF" w:val="clear"/>
            <w:vAlign w:val="bottom"/>
          </w:tcPr>
          <w:p>
            <w:pPr>
              <w:pStyle w:val="TableContents"/>
              <w:spacing w:before="0" w:after="1"/>
              <w:ind w:left="0" w:right="0" w:hanging="0"/>
              <w:jc w:val="both"/>
              <w:rPr>
                <w:b/>
                <w:sz w:val="17"/>
              </w:rPr>
            </w:pPr>
            <w:r>
              <w:rPr>
                <w:b/>
                <w:sz w:val="17"/>
              </w:rPr>
              <w:t>Other comprehensive income</w:t>
            </w:r>
          </w:p>
        </w:tc>
        <w:tc>
          <w:tcPr>
            <w:tcW w:w="365" w:type="dxa"/>
            <w:tcBorders/>
            <w:shd w:fill="FFFFFF" w:val="clear"/>
            <w:vAlign w:val="bottom"/>
          </w:tcPr>
          <w:p>
            <w:pPr>
              <w:pStyle w:val="TableContents"/>
              <w:spacing w:before="0" w:after="1"/>
              <w:ind w:left="0" w:right="0" w:hanging="0"/>
              <w:jc w:val="center"/>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2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1"/>
              <w:ind w:left="0" w:right="0" w:hanging="0"/>
              <w:jc w:val="right"/>
              <w:rPr/>
            </w:pPr>
            <w:r>
              <w:rPr/>
              <w:t> </w:t>
            </w:r>
          </w:p>
        </w:tc>
      </w:tr>
      <w:tr>
        <w:trPr/>
        <w:tc>
          <w:tcPr>
            <w:tcW w:w="314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Other comprehensive income for the period</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r>
      <w:tr>
        <w:trPr/>
        <w:tc>
          <w:tcPr>
            <w:tcW w:w="314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Total comprehensive income for the period</w:t>
            </w:r>
          </w:p>
        </w:tc>
        <w:tc>
          <w:tcPr>
            <w:tcW w:w="3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3,390,207 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2,948,343 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2,944,992  </w:t>
            </w:r>
          </w:p>
        </w:tc>
      </w:tr>
    </w:tbl>
    <w:p>
      <w:pPr>
        <w:pStyle w:val="TextBody"/>
        <w:spacing w:before="0" w:after="0"/>
        <w:ind w:left="1440" w:right="0" w:hanging="0"/>
        <w:jc w:val="both"/>
        <w:rPr/>
      </w:pPr>
      <w:r>
        <w:rPr/>
        <w:t xml:space="preserve">  </w:t>
      </w:r>
    </w:p>
    <w:p>
      <w:pPr>
        <w:pStyle w:val="TextBody"/>
        <w:spacing w:before="0" w:after="200"/>
        <w:ind w:left="1440" w:right="0" w:hanging="0"/>
        <w:jc w:val="center"/>
        <w:rPr>
          <w:sz w:val="17"/>
        </w:rPr>
      </w:pPr>
      <w:r>
        <w:rPr>
          <w:sz w:val="17"/>
        </w:rPr>
        <w:t xml:space="preserve">The accompanying notes are an integral part of these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sz w:val="17"/>
        </w:rPr>
      </w:pPr>
      <w:r>
        <w:rPr>
          <w:b/>
          <w:sz w:val="17"/>
        </w:rPr>
        <w:t>Mt. Gravatt Cinemas Joint Venture</w:t>
      </w:r>
      <w:r>
        <w:rPr>
          <w:sz w:val="17"/>
        </w:rPr>
        <w:t xml:space="preserve"> </w:t>
      </w:r>
    </w:p>
    <w:p>
      <w:pPr>
        <w:pStyle w:val="TextBody"/>
        <w:spacing w:before="0" w:after="0"/>
        <w:ind w:left="1440" w:right="0" w:hanging="0"/>
        <w:jc w:val="both"/>
        <w:rPr>
          <w:sz w:val="17"/>
        </w:rPr>
      </w:pPr>
      <w:r>
        <w:rPr>
          <w:b/>
          <w:sz w:val="17"/>
        </w:rPr>
        <w:t>Statements of Changes in Equity</w:t>
      </w:r>
      <w:r>
        <w:rPr>
          <w:sz w:val="17"/>
        </w:rPr>
        <w:t xml:space="preserve"> </w:t>
      </w:r>
    </w:p>
    <w:p>
      <w:pPr>
        <w:pStyle w:val="TextBody"/>
        <w:spacing w:before="0" w:after="0"/>
        <w:ind w:left="1440" w:right="0" w:hanging="0"/>
        <w:jc w:val="both"/>
        <w:rPr>
          <w:sz w:val="17"/>
        </w:rPr>
      </w:pPr>
      <w:r>
        <w:rPr>
          <w:b/>
          <w:sz w:val="17"/>
        </w:rPr>
        <w:t>For the Year Ended December 31, 2012</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2497"/>
        <w:gridCol w:w="110"/>
        <w:gridCol w:w="1592"/>
        <w:gridCol w:w="110"/>
        <w:gridCol w:w="1476"/>
        <w:gridCol w:w="110"/>
        <w:gridCol w:w="1839"/>
        <w:gridCol w:w="110"/>
        <w:gridCol w:w="921"/>
      </w:tblGrid>
      <w:tr>
        <w:trPr/>
        <w:tc>
          <w:tcPr>
            <w:tcW w:w="2497"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1592"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76"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839"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1" w:type="dxa"/>
            <w:tcBorders/>
            <w:shd w:fill="auto" w:val="clear"/>
            <w:vAlign w:val="bottom"/>
          </w:tcPr>
          <w:p>
            <w:pPr>
              <w:pStyle w:val="TableContents"/>
              <w:spacing w:before="0" w:after="1"/>
              <w:ind w:left="0" w:right="0" w:hanging="0"/>
              <w:jc w:val="both"/>
              <w:rPr/>
            </w:pPr>
            <w:r>
              <w:rPr/>
              <w:t> </w:t>
            </w:r>
          </w:p>
        </w:tc>
      </w:tr>
      <w:tr>
        <w:trPr/>
        <w:tc>
          <w:tcPr>
            <w:tcW w:w="2497"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1592"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476"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839"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1" w:type="dxa"/>
            <w:tcBorders/>
            <w:shd w:fill="auto" w:val="clear"/>
            <w:vAlign w:val="bottom"/>
          </w:tcPr>
          <w:p>
            <w:pPr>
              <w:pStyle w:val="TableContents"/>
              <w:spacing w:before="0" w:after="1"/>
              <w:ind w:left="0" w:right="0" w:hanging="0"/>
              <w:jc w:val="both"/>
              <w:rPr/>
            </w:pPr>
            <w:r>
              <w:rPr/>
              <w:t> </w:t>
            </w:r>
          </w:p>
        </w:tc>
      </w:tr>
      <w:tr>
        <w:trPr/>
        <w:tc>
          <w:tcPr>
            <w:tcW w:w="2497"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592"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Birch Carroll &amp; Coyle Limited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476"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Reading Exhibition Pty Ltd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839"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Village Roadshow Exhibition Pty Ltd</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1"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497"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Members’ Equity at December 31, 2009 (Unaudited)</w:t>
            </w:r>
          </w:p>
        </w:tc>
        <w:tc>
          <w:tcPr>
            <w:tcW w:w="110"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92"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1,166,261  </w:t>
            </w:r>
          </w:p>
        </w:tc>
        <w:tc>
          <w:tcPr>
            <w:tcW w:w="110"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476"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1,166,260  </w:t>
            </w:r>
          </w:p>
        </w:tc>
        <w:tc>
          <w:tcPr>
            <w:tcW w:w="110"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39"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1,166,260  </w:t>
            </w:r>
          </w:p>
        </w:tc>
        <w:tc>
          <w:tcPr>
            <w:tcW w:w="110"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1" w:type="dxa"/>
            <w:tcBorders>
              <w:top w:val="single" w:sz="12"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3,498,781  </w:t>
            </w:r>
          </w:p>
        </w:tc>
      </w:tr>
      <w:tr>
        <w:trPr/>
        <w:tc>
          <w:tcPr>
            <w:tcW w:w="249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59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47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839"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92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497" w:type="dxa"/>
            <w:tcBorders/>
            <w:shd w:fill="CCEEFF" w:val="clear"/>
            <w:vAlign w:val="bottom"/>
          </w:tcPr>
          <w:p>
            <w:pPr>
              <w:pStyle w:val="TableContents"/>
              <w:spacing w:before="0" w:after="1"/>
              <w:ind w:left="0" w:right="0" w:hanging="0"/>
              <w:jc w:val="both"/>
              <w:rPr>
                <w:sz w:val="17"/>
              </w:rPr>
            </w:pPr>
            <w:r>
              <w:rPr>
                <w:sz w:val="17"/>
              </w:rPr>
              <w:t>Member distributions</w:t>
            </w:r>
          </w:p>
        </w:tc>
        <w:tc>
          <w:tcPr>
            <w:tcW w:w="110" w:type="dxa"/>
            <w:tcBorders/>
            <w:shd w:fill="CCEEFF" w:val="clear"/>
            <w:vAlign w:val="bottom"/>
          </w:tcPr>
          <w:p>
            <w:pPr>
              <w:pStyle w:val="TableContents"/>
              <w:spacing w:before="0" w:after="1"/>
              <w:ind w:left="0" w:right="0" w:hanging="0"/>
              <w:jc w:val="right"/>
              <w:rPr/>
            </w:pPr>
            <w:r>
              <w:rPr/>
              <w:t> </w:t>
            </w:r>
          </w:p>
        </w:tc>
        <w:tc>
          <w:tcPr>
            <w:tcW w:w="1592" w:type="dxa"/>
            <w:tcBorders/>
            <w:shd w:fill="CCEEFF" w:val="clear"/>
            <w:vAlign w:val="bottom"/>
          </w:tcPr>
          <w:p>
            <w:pPr>
              <w:pStyle w:val="TableContents"/>
              <w:spacing w:before="0" w:after="283"/>
              <w:jc w:val="right"/>
              <w:rPr>
                <w:sz w:val="17"/>
              </w:rPr>
            </w:pPr>
            <w:r>
              <w:rPr>
                <w:sz w:val="17"/>
              </w:rPr>
              <w:t xml:space="preserve">(850,000) </w:t>
            </w:r>
          </w:p>
        </w:tc>
        <w:tc>
          <w:tcPr>
            <w:tcW w:w="110" w:type="dxa"/>
            <w:tcBorders/>
            <w:shd w:fill="CCEEFF" w:val="clear"/>
            <w:vAlign w:val="bottom"/>
          </w:tcPr>
          <w:p>
            <w:pPr>
              <w:pStyle w:val="TableContents"/>
              <w:spacing w:before="0" w:after="1"/>
              <w:ind w:left="0" w:right="0" w:hanging="0"/>
              <w:jc w:val="right"/>
              <w:rPr/>
            </w:pPr>
            <w:r>
              <w:rPr/>
              <w:t> </w:t>
            </w:r>
          </w:p>
        </w:tc>
        <w:tc>
          <w:tcPr>
            <w:tcW w:w="1476" w:type="dxa"/>
            <w:tcBorders/>
            <w:shd w:fill="CCEEFF" w:val="clear"/>
            <w:vAlign w:val="bottom"/>
          </w:tcPr>
          <w:p>
            <w:pPr>
              <w:pStyle w:val="TableContents"/>
              <w:spacing w:before="0" w:after="283"/>
              <w:jc w:val="right"/>
              <w:rPr>
                <w:sz w:val="17"/>
              </w:rPr>
            </w:pPr>
            <w:r>
              <w:rPr>
                <w:sz w:val="17"/>
              </w:rPr>
              <w:t xml:space="preserve">(850,000) </w:t>
            </w:r>
          </w:p>
        </w:tc>
        <w:tc>
          <w:tcPr>
            <w:tcW w:w="110" w:type="dxa"/>
            <w:tcBorders/>
            <w:shd w:fill="CCEEFF" w:val="clear"/>
            <w:vAlign w:val="bottom"/>
          </w:tcPr>
          <w:p>
            <w:pPr>
              <w:pStyle w:val="TableContents"/>
              <w:spacing w:before="0" w:after="1"/>
              <w:ind w:left="0" w:right="0" w:hanging="0"/>
              <w:jc w:val="right"/>
              <w:rPr/>
            </w:pPr>
            <w:r>
              <w:rPr/>
              <w:t> </w:t>
            </w:r>
          </w:p>
        </w:tc>
        <w:tc>
          <w:tcPr>
            <w:tcW w:w="1839" w:type="dxa"/>
            <w:tcBorders/>
            <w:shd w:fill="CCEEFF" w:val="clear"/>
            <w:vAlign w:val="bottom"/>
          </w:tcPr>
          <w:p>
            <w:pPr>
              <w:pStyle w:val="TableContents"/>
              <w:spacing w:before="0" w:after="283"/>
              <w:jc w:val="right"/>
              <w:rPr>
                <w:sz w:val="17"/>
              </w:rPr>
            </w:pPr>
            <w:r>
              <w:rPr>
                <w:sz w:val="17"/>
              </w:rPr>
              <w:t xml:space="preserve">(850,000) </w:t>
            </w:r>
          </w:p>
        </w:tc>
        <w:tc>
          <w:tcPr>
            <w:tcW w:w="110" w:type="dxa"/>
            <w:tcBorders/>
            <w:shd w:fill="CCEEFF" w:val="clear"/>
            <w:vAlign w:val="bottom"/>
          </w:tcPr>
          <w:p>
            <w:pPr>
              <w:pStyle w:val="TableContents"/>
              <w:spacing w:before="0" w:after="1"/>
              <w:ind w:left="0" w:right="0" w:hanging="0"/>
              <w:jc w:val="right"/>
              <w:rPr/>
            </w:pPr>
            <w:r>
              <w:rPr/>
              <w:t> </w:t>
            </w:r>
          </w:p>
        </w:tc>
        <w:tc>
          <w:tcPr>
            <w:tcW w:w="921" w:type="dxa"/>
            <w:tcBorders/>
            <w:shd w:fill="CCEEFF" w:val="clear"/>
            <w:vAlign w:val="bottom"/>
          </w:tcPr>
          <w:p>
            <w:pPr>
              <w:pStyle w:val="TableContents"/>
              <w:spacing w:before="0" w:after="283"/>
              <w:jc w:val="right"/>
              <w:rPr>
                <w:sz w:val="17"/>
              </w:rPr>
            </w:pPr>
            <w:r>
              <w:rPr>
                <w:sz w:val="17"/>
              </w:rPr>
              <w:t xml:space="preserve">(2,550,000) </w:t>
            </w:r>
          </w:p>
        </w:tc>
      </w:tr>
      <w:tr>
        <w:trPr/>
        <w:tc>
          <w:tcPr>
            <w:tcW w:w="2497" w:type="dxa"/>
            <w:tcBorders/>
            <w:shd w:fill="FFFFFF" w:val="clear"/>
            <w:vAlign w:val="bottom"/>
          </w:tcPr>
          <w:p>
            <w:pPr>
              <w:pStyle w:val="TableContents"/>
              <w:spacing w:before="0" w:after="1"/>
              <w:ind w:left="0" w:right="0" w:hanging="0"/>
              <w:jc w:val="both"/>
              <w:rPr>
                <w:sz w:val="17"/>
              </w:rPr>
            </w:pPr>
            <w:r>
              <w:rPr>
                <w:sz w:val="17"/>
              </w:rPr>
              <w:t>Total other comprehensive income</w:t>
            </w:r>
          </w:p>
        </w:tc>
        <w:tc>
          <w:tcPr>
            <w:tcW w:w="110" w:type="dxa"/>
            <w:tcBorders/>
            <w:shd w:fill="FFFFFF" w:val="clear"/>
            <w:vAlign w:val="bottom"/>
          </w:tcPr>
          <w:p>
            <w:pPr>
              <w:pStyle w:val="TableContents"/>
              <w:spacing w:before="0" w:after="1"/>
              <w:ind w:left="0" w:right="0" w:hanging="0"/>
              <w:jc w:val="right"/>
              <w:rPr/>
            </w:pPr>
            <w:r>
              <w:rPr/>
              <w:t> </w:t>
            </w:r>
          </w:p>
        </w:tc>
        <w:tc>
          <w:tcPr>
            <w:tcW w:w="1592"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476"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839"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921" w:type="dxa"/>
            <w:tcBorders/>
            <w:shd w:fill="FFFFFF" w:val="clear"/>
            <w:vAlign w:val="bottom"/>
          </w:tcPr>
          <w:p>
            <w:pPr>
              <w:pStyle w:val="TableContents"/>
              <w:spacing w:before="0" w:after="1"/>
              <w:ind w:left="0" w:right="65" w:hanging="0"/>
              <w:jc w:val="right"/>
              <w:rPr>
                <w:sz w:val="17"/>
              </w:rPr>
            </w:pPr>
            <w:r>
              <w:rPr>
                <w:sz w:val="17"/>
              </w:rPr>
              <w:t>--</w:t>
            </w:r>
          </w:p>
        </w:tc>
      </w:tr>
      <w:tr>
        <w:trPr/>
        <w:tc>
          <w:tcPr>
            <w:tcW w:w="2497"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Profit for the period</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592"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981,664 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76"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981,664 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839"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981,664 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1"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2,944,992  </w:t>
            </w:r>
          </w:p>
        </w:tc>
      </w:tr>
      <w:tr>
        <w:trPr/>
        <w:tc>
          <w:tcPr>
            <w:tcW w:w="2497"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Total comprehensive income for the period</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59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981,664 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47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981,664 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83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981,664 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21"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2,944,992  </w:t>
            </w:r>
          </w:p>
        </w:tc>
      </w:tr>
      <w:tr>
        <w:trPr/>
        <w:tc>
          <w:tcPr>
            <w:tcW w:w="249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Members’ Equity at December 31, 2010</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9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1,297,925 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47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1,297,924 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39"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1,297,924 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3,893,773  </w:t>
            </w:r>
          </w:p>
        </w:tc>
      </w:tr>
      <w:tr>
        <w:trPr/>
        <w:tc>
          <w:tcPr>
            <w:tcW w:w="249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59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47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839"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92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497" w:type="dxa"/>
            <w:tcBorders/>
            <w:shd w:fill="CCEEFF" w:val="clear"/>
            <w:vAlign w:val="bottom"/>
          </w:tcPr>
          <w:p>
            <w:pPr>
              <w:pStyle w:val="TableContents"/>
              <w:spacing w:before="0" w:after="1"/>
              <w:ind w:left="0" w:right="0" w:hanging="0"/>
              <w:jc w:val="both"/>
              <w:rPr>
                <w:sz w:val="17"/>
              </w:rPr>
            </w:pPr>
            <w:r>
              <w:rPr>
                <w:sz w:val="17"/>
              </w:rPr>
              <w:t>Member distributions</w:t>
            </w:r>
          </w:p>
        </w:tc>
        <w:tc>
          <w:tcPr>
            <w:tcW w:w="110" w:type="dxa"/>
            <w:tcBorders/>
            <w:shd w:fill="CCEEFF" w:val="clear"/>
            <w:vAlign w:val="bottom"/>
          </w:tcPr>
          <w:p>
            <w:pPr>
              <w:pStyle w:val="TableContents"/>
              <w:spacing w:before="0" w:after="1"/>
              <w:ind w:left="0" w:right="0" w:hanging="0"/>
              <w:jc w:val="right"/>
              <w:rPr/>
            </w:pPr>
            <w:r>
              <w:rPr/>
              <w:t> </w:t>
            </w:r>
          </w:p>
        </w:tc>
        <w:tc>
          <w:tcPr>
            <w:tcW w:w="1592" w:type="dxa"/>
            <w:tcBorders/>
            <w:shd w:fill="CCEEFF" w:val="clear"/>
            <w:vAlign w:val="bottom"/>
          </w:tcPr>
          <w:p>
            <w:pPr>
              <w:pStyle w:val="TableContents"/>
              <w:spacing w:before="0" w:after="283"/>
              <w:jc w:val="right"/>
              <w:rPr>
                <w:sz w:val="17"/>
              </w:rPr>
            </w:pPr>
            <w:r>
              <w:rPr>
                <w:sz w:val="17"/>
              </w:rPr>
              <w:t xml:space="preserve">(700,000) </w:t>
            </w:r>
          </w:p>
        </w:tc>
        <w:tc>
          <w:tcPr>
            <w:tcW w:w="110" w:type="dxa"/>
            <w:tcBorders/>
            <w:shd w:fill="CCEEFF" w:val="clear"/>
            <w:vAlign w:val="bottom"/>
          </w:tcPr>
          <w:p>
            <w:pPr>
              <w:pStyle w:val="TableContents"/>
              <w:spacing w:before="0" w:after="1"/>
              <w:ind w:left="0" w:right="0" w:hanging="0"/>
              <w:jc w:val="right"/>
              <w:rPr/>
            </w:pPr>
            <w:r>
              <w:rPr/>
              <w:t> </w:t>
            </w:r>
          </w:p>
        </w:tc>
        <w:tc>
          <w:tcPr>
            <w:tcW w:w="1476" w:type="dxa"/>
            <w:tcBorders/>
            <w:shd w:fill="CCEEFF" w:val="clear"/>
            <w:vAlign w:val="bottom"/>
          </w:tcPr>
          <w:p>
            <w:pPr>
              <w:pStyle w:val="TableContents"/>
              <w:spacing w:before="0" w:after="283"/>
              <w:jc w:val="right"/>
              <w:rPr>
                <w:sz w:val="17"/>
              </w:rPr>
            </w:pPr>
            <w:r>
              <w:rPr>
                <w:sz w:val="17"/>
              </w:rPr>
              <w:t xml:space="preserve">(700,000) </w:t>
            </w:r>
          </w:p>
        </w:tc>
        <w:tc>
          <w:tcPr>
            <w:tcW w:w="110" w:type="dxa"/>
            <w:tcBorders/>
            <w:shd w:fill="CCEEFF" w:val="clear"/>
            <w:vAlign w:val="bottom"/>
          </w:tcPr>
          <w:p>
            <w:pPr>
              <w:pStyle w:val="TableContents"/>
              <w:spacing w:before="0" w:after="1"/>
              <w:ind w:left="0" w:right="0" w:hanging="0"/>
              <w:jc w:val="right"/>
              <w:rPr/>
            </w:pPr>
            <w:r>
              <w:rPr/>
              <w:t> </w:t>
            </w:r>
          </w:p>
        </w:tc>
        <w:tc>
          <w:tcPr>
            <w:tcW w:w="1839" w:type="dxa"/>
            <w:tcBorders/>
            <w:shd w:fill="CCEEFF" w:val="clear"/>
            <w:vAlign w:val="bottom"/>
          </w:tcPr>
          <w:p>
            <w:pPr>
              <w:pStyle w:val="TableContents"/>
              <w:spacing w:before="0" w:after="283"/>
              <w:jc w:val="right"/>
              <w:rPr>
                <w:sz w:val="17"/>
              </w:rPr>
            </w:pPr>
            <w:r>
              <w:rPr>
                <w:sz w:val="17"/>
              </w:rPr>
              <w:t xml:space="preserve">(700,000) </w:t>
            </w:r>
          </w:p>
        </w:tc>
        <w:tc>
          <w:tcPr>
            <w:tcW w:w="110" w:type="dxa"/>
            <w:tcBorders/>
            <w:shd w:fill="CCEEFF" w:val="clear"/>
            <w:vAlign w:val="bottom"/>
          </w:tcPr>
          <w:p>
            <w:pPr>
              <w:pStyle w:val="TableContents"/>
              <w:spacing w:before="0" w:after="1"/>
              <w:ind w:left="0" w:right="0" w:hanging="0"/>
              <w:jc w:val="right"/>
              <w:rPr/>
            </w:pPr>
            <w:r>
              <w:rPr/>
              <w:t> </w:t>
            </w:r>
          </w:p>
        </w:tc>
        <w:tc>
          <w:tcPr>
            <w:tcW w:w="921" w:type="dxa"/>
            <w:tcBorders/>
            <w:shd w:fill="CCEEFF" w:val="clear"/>
            <w:vAlign w:val="bottom"/>
          </w:tcPr>
          <w:p>
            <w:pPr>
              <w:pStyle w:val="TableContents"/>
              <w:spacing w:before="0" w:after="283"/>
              <w:jc w:val="right"/>
              <w:rPr>
                <w:sz w:val="17"/>
              </w:rPr>
            </w:pPr>
            <w:r>
              <w:rPr>
                <w:sz w:val="17"/>
              </w:rPr>
              <w:t xml:space="preserve">(2,100,000) </w:t>
            </w:r>
          </w:p>
        </w:tc>
      </w:tr>
      <w:tr>
        <w:trPr/>
        <w:tc>
          <w:tcPr>
            <w:tcW w:w="2497" w:type="dxa"/>
            <w:tcBorders/>
            <w:shd w:fill="FFFFFF" w:val="clear"/>
            <w:vAlign w:val="bottom"/>
          </w:tcPr>
          <w:p>
            <w:pPr>
              <w:pStyle w:val="TableContents"/>
              <w:spacing w:before="0" w:after="1"/>
              <w:ind w:left="0" w:right="0" w:hanging="0"/>
              <w:jc w:val="both"/>
              <w:rPr>
                <w:sz w:val="17"/>
              </w:rPr>
            </w:pPr>
            <w:r>
              <w:rPr>
                <w:sz w:val="17"/>
              </w:rPr>
              <w:t>Total other comprehensive income</w:t>
            </w:r>
          </w:p>
        </w:tc>
        <w:tc>
          <w:tcPr>
            <w:tcW w:w="110" w:type="dxa"/>
            <w:tcBorders/>
            <w:shd w:fill="FFFFFF" w:val="clear"/>
            <w:vAlign w:val="bottom"/>
          </w:tcPr>
          <w:p>
            <w:pPr>
              <w:pStyle w:val="TableContents"/>
              <w:spacing w:before="0" w:after="1"/>
              <w:ind w:left="0" w:right="0" w:hanging="0"/>
              <w:jc w:val="right"/>
              <w:rPr/>
            </w:pPr>
            <w:r>
              <w:rPr/>
              <w:t> </w:t>
            </w:r>
          </w:p>
        </w:tc>
        <w:tc>
          <w:tcPr>
            <w:tcW w:w="1592"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476"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839"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921" w:type="dxa"/>
            <w:tcBorders/>
            <w:shd w:fill="FFFFFF" w:val="clear"/>
            <w:vAlign w:val="bottom"/>
          </w:tcPr>
          <w:p>
            <w:pPr>
              <w:pStyle w:val="TableContents"/>
              <w:spacing w:before="0" w:after="1"/>
              <w:ind w:left="0" w:right="65" w:hanging="0"/>
              <w:jc w:val="right"/>
              <w:rPr>
                <w:sz w:val="17"/>
              </w:rPr>
            </w:pPr>
            <w:r>
              <w:rPr>
                <w:sz w:val="17"/>
              </w:rPr>
              <w:t>--</w:t>
            </w:r>
          </w:p>
        </w:tc>
      </w:tr>
      <w:tr>
        <w:trPr/>
        <w:tc>
          <w:tcPr>
            <w:tcW w:w="2497"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Profit for the period</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592"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982,780 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76"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982,781 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839"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982,781 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1"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2,948,342  </w:t>
            </w:r>
          </w:p>
        </w:tc>
      </w:tr>
      <w:tr>
        <w:trPr/>
        <w:tc>
          <w:tcPr>
            <w:tcW w:w="2497"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Total comprehensive income for the period</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59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982,780 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47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982,781 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83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982,781 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21"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2,948,342  </w:t>
            </w:r>
          </w:p>
        </w:tc>
      </w:tr>
      <w:tr>
        <w:trPr/>
        <w:tc>
          <w:tcPr>
            <w:tcW w:w="249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Members’ Equity at December 31, 2011</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9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1,580,705 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47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1,580,705 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39"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1,580,705 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4,742,115  </w:t>
            </w:r>
          </w:p>
        </w:tc>
      </w:tr>
      <w:tr>
        <w:trPr/>
        <w:tc>
          <w:tcPr>
            <w:tcW w:w="2497"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592"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476"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839"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921"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497" w:type="dxa"/>
            <w:tcBorders/>
            <w:shd w:fill="CCEEFF" w:val="clear"/>
            <w:vAlign w:val="bottom"/>
          </w:tcPr>
          <w:p>
            <w:pPr>
              <w:pStyle w:val="TableContents"/>
              <w:spacing w:before="0" w:after="1"/>
              <w:ind w:left="0" w:right="0" w:hanging="0"/>
              <w:jc w:val="both"/>
              <w:rPr>
                <w:sz w:val="17"/>
              </w:rPr>
            </w:pPr>
            <w:r>
              <w:rPr>
                <w:sz w:val="17"/>
              </w:rPr>
              <w:t>Member distributions</w:t>
            </w:r>
          </w:p>
        </w:tc>
        <w:tc>
          <w:tcPr>
            <w:tcW w:w="110" w:type="dxa"/>
            <w:tcBorders/>
            <w:shd w:fill="CCEEFF" w:val="clear"/>
            <w:vAlign w:val="bottom"/>
          </w:tcPr>
          <w:p>
            <w:pPr>
              <w:pStyle w:val="TableContents"/>
              <w:spacing w:before="0" w:after="1"/>
              <w:ind w:left="0" w:right="0" w:hanging="0"/>
              <w:jc w:val="right"/>
              <w:rPr/>
            </w:pPr>
            <w:r>
              <w:rPr/>
              <w:t> </w:t>
            </w:r>
          </w:p>
        </w:tc>
        <w:tc>
          <w:tcPr>
            <w:tcW w:w="1592" w:type="dxa"/>
            <w:tcBorders/>
            <w:shd w:fill="CCEEFF" w:val="clear"/>
            <w:vAlign w:val="bottom"/>
          </w:tcPr>
          <w:p>
            <w:pPr>
              <w:pStyle w:val="TableContents"/>
              <w:spacing w:before="0" w:after="283"/>
              <w:jc w:val="right"/>
              <w:rPr>
                <w:sz w:val="17"/>
              </w:rPr>
            </w:pPr>
            <w:r>
              <w:rPr>
                <w:sz w:val="17"/>
              </w:rPr>
              <w:t xml:space="preserve">(1,350,000) </w:t>
            </w:r>
          </w:p>
        </w:tc>
        <w:tc>
          <w:tcPr>
            <w:tcW w:w="110" w:type="dxa"/>
            <w:tcBorders/>
            <w:shd w:fill="CCEEFF" w:val="clear"/>
            <w:vAlign w:val="bottom"/>
          </w:tcPr>
          <w:p>
            <w:pPr>
              <w:pStyle w:val="TableContents"/>
              <w:spacing w:before="0" w:after="1"/>
              <w:ind w:left="0" w:right="0" w:hanging="0"/>
              <w:jc w:val="right"/>
              <w:rPr/>
            </w:pPr>
            <w:r>
              <w:rPr/>
              <w:t> </w:t>
            </w:r>
          </w:p>
        </w:tc>
        <w:tc>
          <w:tcPr>
            <w:tcW w:w="1476" w:type="dxa"/>
            <w:tcBorders/>
            <w:shd w:fill="CCEEFF" w:val="clear"/>
            <w:vAlign w:val="bottom"/>
          </w:tcPr>
          <w:p>
            <w:pPr>
              <w:pStyle w:val="TableContents"/>
              <w:spacing w:before="0" w:after="283"/>
              <w:jc w:val="right"/>
              <w:rPr>
                <w:sz w:val="17"/>
              </w:rPr>
            </w:pPr>
            <w:r>
              <w:rPr>
                <w:sz w:val="17"/>
              </w:rPr>
              <w:t xml:space="preserve">(1,350,000) </w:t>
            </w:r>
          </w:p>
        </w:tc>
        <w:tc>
          <w:tcPr>
            <w:tcW w:w="110" w:type="dxa"/>
            <w:tcBorders/>
            <w:shd w:fill="CCEEFF" w:val="clear"/>
            <w:vAlign w:val="bottom"/>
          </w:tcPr>
          <w:p>
            <w:pPr>
              <w:pStyle w:val="TableContents"/>
              <w:spacing w:before="0" w:after="1"/>
              <w:ind w:left="0" w:right="0" w:hanging="0"/>
              <w:jc w:val="right"/>
              <w:rPr/>
            </w:pPr>
            <w:r>
              <w:rPr/>
              <w:t> </w:t>
            </w:r>
          </w:p>
        </w:tc>
        <w:tc>
          <w:tcPr>
            <w:tcW w:w="1839" w:type="dxa"/>
            <w:tcBorders/>
            <w:shd w:fill="CCEEFF" w:val="clear"/>
            <w:vAlign w:val="bottom"/>
          </w:tcPr>
          <w:p>
            <w:pPr>
              <w:pStyle w:val="TableContents"/>
              <w:spacing w:before="0" w:after="283"/>
              <w:jc w:val="right"/>
              <w:rPr>
                <w:sz w:val="17"/>
              </w:rPr>
            </w:pPr>
            <w:r>
              <w:rPr>
                <w:sz w:val="17"/>
              </w:rPr>
              <w:t xml:space="preserve">(1,350,000) </w:t>
            </w:r>
          </w:p>
        </w:tc>
        <w:tc>
          <w:tcPr>
            <w:tcW w:w="110" w:type="dxa"/>
            <w:tcBorders/>
            <w:shd w:fill="CCEEFF" w:val="clear"/>
            <w:vAlign w:val="bottom"/>
          </w:tcPr>
          <w:p>
            <w:pPr>
              <w:pStyle w:val="TableContents"/>
              <w:spacing w:before="0" w:after="1"/>
              <w:ind w:left="0" w:right="0" w:hanging="0"/>
              <w:jc w:val="right"/>
              <w:rPr/>
            </w:pPr>
            <w:r>
              <w:rPr/>
              <w:t> </w:t>
            </w:r>
          </w:p>
        </w:tc>
        <w:tc>
          <w:tcPr>
            <w:tcW w:w="921" w:type="dxa"/>
            <w:tcBorders/>
            <w:shd w:fill="CCEEFF" w:val="clear"/>
            <w:vAlign w:val="bottom"/>
          </w:tcPr>
          <w:p>
            <w:pPr>
              <w:pStyle w:val="TableContents"/>
              <w:spacing w:before="0" w:after="283"/>
              <w:jc w:val="right"/>
              <w:rPr>
                <w:sz w:val="17"/>
              </w:rPr>
            </w:pPr>
            <w:r>
              <w:rPr>
                <w:sz w:val="17"/>
              </w:rPr>
              <w:t xml:space="preserve">(4,050,000) </w:t>
            </w:r>
          </w:p>
        </w:tc>
      </w:tr>
      <w:tr>
        <w:trPr/>
        <w:tc>
          <w:tcPr>
            <w:tcW w:w="2497" w:type="dxa"/>
            <w:tcBorders/>
            <w:shd w:fill="FFFFFF" w:val="clear"/>
            <w:vAlign w:val="bottom"/>
          </w:tcPr>
          <w:p>
            <w:pPr>
              <w:pStyle w:val="TableContents"/>
              <w:spacing w:before="0" w:after="1"/>
              <w:ind w:left="0" w:right="0" w:hanging="0"/>
              <w:jc w:val="both"/>
              <w:rPr>
                <w:sz w:val="17"/>
              </w:rPr>
            </w:pPr>
            <w:r>
              <w:rPr>
                <w:sz w:val="17"/>
              </w:rPr>
              <w:t>Total other comprehensive income</w:t>
            </w:r>
          </w:p>
        </w:tc>
        <w:tc>
          <w:tcPr>
            <w:tcW w:w="110" w:type="dxa"/>
            <w:tcBorders/>
            <w:shd w:fill="FFFFFF" w:val="clear"/>
            <w:vAlign w:val="bottom"/>
          </w:tcPr>
          <w:p>
            <w:pPr>
              <w:pStyle w:val="TableContents"/>
              <w:spacing w:before="0" w:after="1"/>
              <w:ind w:left="0" w:right="0" w:hanging="0"/>
              <w:jc w:val="right"/>
              <w:rPr/>
            </w:pPr>
            <w:r>
              <w:rPr/>
              <w:t> </w:t>
            </w:r>
          </w:p>
        </w:tc>
        <w:tc>
          <w:tcPr>
            <w:tcW w:w="1592"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476"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839"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921" w:type="dxa"/>
            <w:tcBorders/>
            <w:shd w:fill="FFFFFF" w:val="clear"/>
            <w:vAlign w:val="bottom"/>
          </w:tcPr>
          <w:p>
            <w:pPr>
              <w:pStyle w:val="TableContents"/>
              <w:spacing w:before="0" w:after="1"/>
              <w:ind w:left="0" w:right="65" w:hanging="0"/>
              <w:jc w:val="right"/>
              <w:rPr>
                <w:sz w:val="17"/>
              </w:rPr>
            </w:pPr>
            <w:r>
              <w:rPr>
                <w:sz w:val="17"/>
              </w:rPr>
              <w:t>--</w:t>
            </w:r>
          </w:p>
        </w:tc>
      </w:tr>
      <w:tr>
        <w:trPr/>
        <w:tc>
          <w:tcPr>
            <w:tcW w:w="2497"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Profit for the period</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592"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1,130,069 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476"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1,130,069 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839"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1,130,069 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21"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3,390,207  </w:t>
            </w:r>
          </w:p>
        </w:tc>
      </w:tr>
      <w:tr>
        <w:trPr/>
        <w:tc>
          <w:tcPr>
            <w:tcW w:w="2497"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Total comprehensive income for the period</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592"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1,130,069 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476"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1,130,069 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839"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1,130,069 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21"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3,390,207  </w:t>
            </w:r>
          </w:p>
        </w:tc>
      </w:tr>
      <w:tr>
        <w:trPr/>
        <w:tc>
          <w:tcPr>
            <w:tcW w:w="2497"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Members’ Equity at December 31, 2012</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92"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1,360,774 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476"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1,360,774 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39"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1,360,774 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1"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4,082,322  </w:t>
            </w:r>
          </w:p>
        </w:tc>
      </w:tr>
    </w:tbl>
    <w:p>
      <w:pPr>
        <w:pStyle w:val="TextBody"/>
        <w:spacing w:before="0" w:after="0"/>
        <w:ind w:left="1440" w:right="0" w:hanging="0"/>
        <w:jc w:val="both"/>
        <w:rPr/>
      </w:pPr>
      <w:r>
        <w:rPr/>
        <w:t xml:space="preserve">  </w:t>
      </w:r>
    </w:p>
    <w:p>
      <w:pPr>
        <w:pStyle w:val="TextBody"/>
        <w:spacing w:before="0" w:after="200"/>
        <w:ind w:left="1440" w:right="0" w:hanging="0"/>
        <w:jc w:val="center"/>
        <w:rPr>
          <w:sz w:val="17"/>
        </w:rPr>
      </w:pPr>
      <w:r>
        <w:rPr>
          <w:sz w:val="17"/>
        </w:rPr>
        <w:t xml:space="preserve">The accompanying notes are an integral part of these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109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sz w:val="17"/>
        </w:rPr>
      </w:pPr>
      <w:r>
        <w:rPr>
          <w:b/>
          <w:sz w:val="17"/>
        </w:rPr>
        <w:t>Mt. Gravatt Cinemas Joint Venture</w:t>
      </w:r>
      <w:r>
        <w:rPr>
          <w:sz w:val="17"/>
        </w:rPr>
        <w:t xml:space="preserve"> </w:t>
      </w:r>
    </w:p>
    <w:p>
      <w:pPr>
        <w:pStyle w:val="TextBody"/>
        <w:spacing w:before="0" w:after="0"/>
        <w:ind w:left="1440" w:right="0" w:hanging="0"/>
        <w:jc w:val="both"/>
        <w:rPr>
          <w:sz w:val="17"/>
        </w:rPr>
      </w:pPr>
      <w:r>
        <w:rPr>
          <w:b/>
          <w:sz w:val="17"/>
        </w:rPr>
        <w:t>Statements of Financial Position</w:t>
      </w:r>
      <w:r>
        <w:rPr>
          <w:sz w:val="17"/>
        </w:rPr>
        <w:t xml:space="preserve"> </w:t>
      </w:r>
    </w:p>
    <w:p>
      <w:pPr>
        <w:pStyle w:val="TextBody"/>
        <w:spacing w:before="0" w:after="0"/>
        <w:ind w:left="1440" w:right="0" w:hanging="0"/>
        <w:jc w:val="both"/>
        <w:rPr>
          <w:sz w:val="17"/>
        </w:rPr>
      </w:pPr>
      <w:r>
        <w:rPr>
          <w:b/>
          <w:sz w:val="17"/>
        </w:rPr>
        <w:t>For the Year Ended December 31, 2012</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4410" w:type="dxa"/>
        <w:jc w:val="left"/>
        <w:tblInd w:w="1440" w:type="dxa"/>
        <w:tblCellMar>
          <w:top w:w="0" w:type="dxa"/>
          <w:left w:w="0" w:type="dxa"/>
          <w:bottom w:w="0" w:type="dxa"/>
          <w:right w:w="0" w:type="dxa"/>
        </w:tblCellMar>
      </w:tblPr>
      <w:tblGrid>
        <w:gridCol w:w="2150"/>
        <w:gridCol w:w="365"/>
        <w:gridCol w:w="110"/>
        <w:gridCol w:w="830"/>
        <w:gridCol w:w="110"/>
        <w:gridCol w:w="845"/>
      </w:tblGrid>
      <w:tr>
        <w:trPr/>
        <w:tc>
          <w:tcPr>
            <w:tcW w:w="2150"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2150"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center"/>
              <w:rPr/>
            </w:pPr>
            <w:r>
              <w:rPr/>
              <w:t> </w:t>
            </w:r>
          </w:p>
        </w:tc>
        <w:tc>
          <w:tcPr>
            <w:tcW w:w="110" w:type="dxa"/>
            <w:tcBorders/>
            <w:shd w:fill="auto" w:val="clear"/>
            <w:vAlign w:val="bottom"/>
          </w:tcPr>
          <w:p>
            <w:pPr>
              <w:pStyle w:val="TableContents"/>
              <w:spacing w:before="0" w:after="1"/>
              <w:ind w:left="0" w:right="0" w:hanging="0"/>
              <w:jc w:val="center"/>
              <w:rPr/>
            </w:pPr>
            <w:r>
              <w:rPr/>
              <w:t> </w:t>
            </w:r>
          </w:p>
        </w:tc>
        <w:tc>
          <w:tcPr>
            <w:tcW w:w="845" w:type="dxa"/>
            <w:tcBorders/>
            <w:shd w:fill="auto" w:val="clear"/>
            <w:vAlign w:val="bottom"/>
          </w:tcPr>
          <w:p>
            <w:pPr>
              <w:pStyle w:val="TableContents"/>
              <w:spacing w:before="0" w:after="1"/>
              <w:ind w:left="0" w:right="0" w:hanging="0"/>
              <w:jc w:val="center"/>
              <w:rPr/>
            </w:pPr>
            <w:r>
              <w:rPr/>
              <w:t> </w:t>
            </w:r>
          </w:p>
        </w:tc>
      </w:tr>
      <w:tr>
        <w:trPr/>
        <w:tc>
          <w:tcPr>
            <w:tcW w:w="215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Note</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84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2150" w:type="dxa"/>
            <w:tcBorders>
              <w:top w:val="single" w:sz="8" w:space="0" w:color="000000"/>
            </w:tcBorders>
            <w:shd w:fill="auto" w:val="clear"/>
            <w:tcMar>
              <w:top w:w="28" w:type="dxa"/>
            </w:tcMar>
            <w:vAlign w:val="bottom"/>
          </w:tcPr>
          <w:p>
            <w:pPr>
              <w:pStyle w:val="TableContents"/>
              <w:spacing w:before="0" w:after="1"/>
              <w:ind w:left="0" w:right="0" w:hanging="0"/>
              <w:jc w:val="both"/>
              <w:rPr>
                <w:b/>
                <w:sz w:val="17"/>
              </w:rPr>
            </w:pPr>
            <w:r>
              <w:rPr>
                <w:b/>
                <w:sz w:val="17"/>
              </w:rPr>
              <w:t>ASSETS</w:t>
            </w:r>
          </w:p>
        </w:tc>
        <w:tc>
          <w:tcPr>
            <w:tcW w:w="365"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83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845"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r>
      <w:tr>
        <w:trPr/>
        <w:tc>
          <w:tcPr>
            <w:tcW w:w="2150" w:type="dxa"/>
            <w:tcBorders/>
            <w:shd w:fill="CCEEFF" w:val="clear"/>
            <w:vAlign w:val="bottom"/>
          </w:tcPr>
          <w:p>
            <w:pPr>
              <w:pStyle w:val="TableContents"/>
              <w:spacing w:before="0" w:after="1"/>
              <w:ind w:left="0" w:right="0" w:hanging="0"/>
              <w:jc w:val="both"/>
              <w:rPr>
                <w:sz w:val="17"/>
              </w:rPr>
            </w:pPr>
            <w:r>
              <w:rPr>
                <w:sz w:val="17"/>
              </w:rPr>
              <w:t>Cash and cash equivalents</w:t>
            </w:r>
          </w:p>
        </w:tc>
        <w:tc>
          <w:tcPr>
            <w:tcW w:w="365" w:type="dxa"/>
            <w:tcBorders/>
            <w:shd w:fill="CCEEFF" w:val="clear"/>
            <w:vAlign w:val="bottom"/>
          </w:tcPr>
          <w:p>
            <w:pPr>
              <w:pStyle w:val="TableContents"/>
              <w:spacing w:before="0" w:after="1"/>
              <w:ind w:left="0" w:right="0" w:hanging="0"/>
              <w:jc w:val="center"/>
              <w:rPr>
                <w:sz w:val="17"/>
              </w:rPr>
            </w:pPr>
            <w:r>
              <w:rPr>
                <w:sz w:val="17"/>
              </w:rPr>
              <w:t>8</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30" w:type="dxa"/>
            <w:tcBorders/>
            <w:shd w:fill="CCEEFF" w:val="clear"/>
            <w:vAlign w:val="bottom"/>
          </w:tcPr>
          <w:p>
            <w:pPr>
              <w:pStyle w:val="TableContents"/>
              <w:spacing w:before="0" w:after="283"/>
              <w:jc w:val="right"/>
              <w:rPr>
                <w:sz w:val="17"/>
              </w:rPr>
            </w:pPr>
            <w:r>
              <w:rPr>
                <w:sz w:val="17"/>
              </w:rPr>
              <w:t xml:space="preserve">898,217 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45" w:type="dxa"/>
            <w:tcBorders/>
            <w:shd w:fill="CCEEFF" w:val="clear"/>
            <w:vAlign w:val="bottom"/>
          </w:tcPr>
          <w:p>
            <w:pPr>
              <w:pStyle w:val="TableContents"/>
              <w:spacing w:before="0" w:after="283"/>
              <w:jc w:val="right"/>
              <w:rPr>
                <w:sz w:val="17"/>
              </w:rPr>
            </w:pPr>
            <w:r>
              <w:rPr>
                <w:sz w:val="17"/>
              </w:rPr>
              <w:t xml:space="preserve">1,590,333  </w:t>
            </w:r>
          </w:p>
        </w:tc>
      </w:tr>
      <w:tr>
        <w:trPr/>
        <w:tc>
          <w:tcPr>
            <w:tcW w:w="2150" w:type="dxa"/>
            <w:tcBorders/>
            <w:shd w:fill="FFFFFF" w:val="clear"/>
            <w:vAlign w:val="bottom"/>
          </w:tcPr>
          <w:p>
            <w:pPr>
              <w:pStyle w:val="TableContents"/>
              <w:spacing w:before="0" w:after="1"/>
              <w:ind w:left="0" w:right="0" w:hanging="0"/>
              <w:jc w:val="both"/>
              <w:rPr>
                <w:sz w:val="17"/>
              </w:rPr>
            </w:pPr>
            <w:r>
              <w:rPr>
                <w:sz w:val="17"/>
              </w:rPr>
              <w:t>Trade receivables</w:t>
            </w:r>
          </w:p>
        </w:tc>
        <w:tc>
          <w:tcPr>
            <w:tcW w:w="365" w:type="dxa"/>
            <w:tcBorders/>
            <w:shd w:fill="FFFFFF" w:val="clear"/>
            <w:vAlign w:val="bottom"/>
          </w:tcPr>
          <w:p>
            <w:pPr>
              <w:pStyle w:val="TableContents"/>
              <w:spacing w:before="0" w:after="1"/>
              <w:ind w:left="0" w:right="0" w:hanging="0"/>
              <w:jc w:val="center"/>
              <w:rPr>
                <w:sz w:val="17"/>
              </w:rPr>
            </w:pPr>
            <w:r>
              <w:rPr>
                <w:sz w:val="17"/>
              </w:rPr>
              <w:t>9</w:t>
            </w:r>
          </w:p>
        </w:tc>
        <w:tc>
          <w:tcPr>
            <w:tcW w:w="110" w:type="dxa"/>
            <w:tcBorders/>
            <w:shd w:fill="FFFFFF" w:val="clear"/>
            <w:vAlign w:val="bottom"/>
          </w:tcPr>
          <w:p>
            <w:pPr>
              <w:pStyle w:val="TableContents"/>
              <w:spacing w:before="0" w:after="1"/>
              <w:ind w:left="0" w:right="0" w:hanging="0"/>
              <w:jc w:val="right"/>
              <w:rPr/>
            </w:pPr>
            <w:r>
              <w:rPr/>
              <w:t> </w:t>
            </w:r>
          </w:p>
        </w:tc>
        <w:tc>
          <w:tcPr>
            <w:tcW w:w="830" w:type="dxa"/>
            <w:tcBorders/>
            <w:shd w:fill="FFFFFF" w:val="clear"/>
            <w:vAlign w:val="bottom"/>
          </w:tcPr>
          <w:p>
            <w:pPr>
              <w:pStyle w:val="TableContents"/>
              <w:spacing w:before="0" w:after="283"/>
              <w:jc w:val="right"/>
              <w:rPr>
                <w:sz w:val="17"/>
              </w:rPr>
            </w:pPr>
            <w:r>
              <w:rPr>
                <w:sz w:val="17"/>
              </w:rPr>
              <w:t xml:space="preserve">196,598  </w:t>
            </w:r>
          </w:p>
        </w:tc>
        <w:tc>
          <w:tcPr>
            <w:tcW w:w="110" w:type="dxa"/>
            <w:tcBorders/>
            <w:shd w:fill="FFFFFF" w:val="clear"/>
            <w:vAlign w:val="bottom"/>
          </w:tcPr>
          <w:p>
            <w:pPr>
              <w:pStyle w:val="TableContents"/>
              <w:spacing w:before="0" w:after="1"/>
              <w:ind w:left="0" w:right="0" w:hanging="0"/>
              <w:jc w:val="right"/>
              <w:rPr/>
            </w:pPr>
            <w:r>
              <w:rPr/>
              <w:t> </w:t>
            </w:r>
          </w:p>
        </w:tc>
        <w:tc>
          <w:tcPr>
            <w:tcW w:w="845" w:type="dxa"/>
            <w:tcBorders/>
            <w:shd w:fill="FFFFFF" w:val="clear"/>
            <w:vAlign w:val="bottom"/>
          </w:tcPr>
          <w:p>
            <w:pPr>
              <w:pStyle w:val="TableContents"/>
              <w:spacing w:before="0" w:after="283"/>
              <w:jc w:val="right"/>
              <w:rPr>
                <w:sz w:val="17"/>
              </w:rPr>
            </w:pPr>
            <w:r>
              <w:rPr>
                <w:sz w:val="17"/>
              </w:rPr>
              <w:t xml:space="preserve">143,488 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Inventories</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7"/>
              </w:rPr>
            </w:pPr>
            <w:r>
              <w:rPr>
                <w:sz w:val="17"/>
              </w:rPr>
              <w:t>10</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173,411 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153,899  </w:t>
            </w:r>
          </w:p>
        </w:tc>
      </w:tr>
      <w:tr>
        <w:trPr/>
        <w:tc>
          <w:tcPr>
            <w:tcW w:w="2150" w:type="dxa"/>
            <w:tcBorders>
              <w:top w:val="single" w:sz="8" w:space="0" w:color="000000"/>
            </w:tcBorders>
            <w:shd w:fill="FFFFFF" w:val="clear"/>
            <w:tcMar>
              <w:top w:w="28" w:type="dxa"/>
            </w:tcMar>
            <w:vAlign w:val="bottom"/>
          </w:tcPr>
          <w:p>
            <w:pPr>
              <w:pStyle w:val="TableContents"/>
              <w:spacing w:before="0" w:after="1"/>
              <w:ind w:left="0" w:right="0" w:hanging="0"/>
              <w:jc w:val="both"/>
              <w:rPr>
                <w:b/>
                <w:sz w:val="17"/>
              </w:rPr>
            </w:pPr>
            <w:r>
              <w:rPr>
                <w:b/>
                <w:sz w:val="17"/>
              </w:rPr>
              <w:t>Total current assets</w:t>
            </w:r>
          </w:p>
        </w:tc>
        <w:tc>
          <w:tcPr>
            <w:tcW w:w="365" w:type="dxa"/>
            <w:tcBorders>
              <w:top w:val="single" w:sz="8"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3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1,268,226 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4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1,887,720 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Property, plant and equipment</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7"/>
              </w:rPr>
            </w:pPr>
            <w:r>
              <w:rPr>
                <w:sz w:val="17"/>
              </w:rPr>
              <w:t>11</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3,923,871 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3,737,955  </w:t>
            </w:r>
          </w:p>
        </w:tc>
      </w:tr>
      <w:tr>
        <w:trPr/>
        <w:tc>
          <w:tcPr>
            <w:tcW w:w="215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Total non-current assets</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3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3,923,871 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4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3,737,955  </w:t>
            </w:r>
          </w:p>
        </w:tc>
      </w:tr>
      <w:tr>
        <w:trPr/>
        <w:tc>
          <w:tcPr>
            <w:tcW w:w="21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Total assets</w:t>
            </w:r>
          </w:p>
        </w:tc>
        <w:tc>
          <w:tcPr>
            <w:tcW w:w="3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5,192,097 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4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5,625,675  </w:t>
            </w:r>
          </w:p>
        </w:tc>
      </w:tr>
      <w:tr>
        <w:trPr/>
        <w:tc>
          <w:tcPr>
            <w:tcW w:w="215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365" w:type="dxa"/>
            <w:tcBorders>
              <w:top w:val="single" w:sz="12"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3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4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150" w:type="dxa"/>
            <w:tcBorders/>
            <w:shd w:fill="CCEEFF" w:val="clear"/>
            <w:vAlign w:val="bottom"/>
          </w:tcPr>
          <w:p>
            <w:pPr>
              <w:pStyle w:val="TableContents"/>
              <w:spacing w:before="0" w:after="1"/>
              <w:ind w:left="0" w:right="0" w:hanging="0"/>
              <w:jc w:val="both"/>
              <w:rPr>
                <w:sz w:val="17"/>
              </w:rPr>
            </w:pPr>
            <w:r>
              <w:rPr>
                <w:sz w:val="17"/>
              </w:rPr>
              <w:t>Trade and other payables</w:t>
            </w:r>
          </w:p>
        </w:tc>
        <w:tc>
          <w:tcPr>
            <w:tcW w:w="365" w:type="dxa"/>
            <w:tcBorders/>
            <w:shd w:fill="CCEEFF" w:val="clear"/>
            <w:vAlign w:val="bottom"/>
          </w:tcPr>
          <w:p>
            <w:pPr>
              <w:pStyle w:val="TableContents"/>
              <w:spacing w:before="0" w:after="1"/>
              <w:ind w:left="0" w:right="0" w:hanging="0"/>
              <w:jc w:val="center"/>
              <w:rPr>
                <w:sz w:val="17"/>
              </w:rPr>
            </w:pPr>
            <w:r>
              <w:rPr>
                <w:sz w:val="17"/>
              </w:rPr>
              <w:t>12</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30" w:type="dxa"/>
            <w:tcBorders/>
            <w:shd w:fill="CCEEFF" w:val="clear"/>
            <w:vAlign w:val="bottom"/>
          </w:tcPr>
          <w:p>
            <w:pPr>
              <w:pStyle w:val="TableContents"/>
              <w:spacing w:before="0" w:after="283"/>
              <w:jc w:val="right"/>
              <w:rPr>
                <w:sz w:val="17"/>
              </w:rPr>
            </w:pPr>
            <w:r>
              <w:rPr>
                <w:sz w:val="17"/>
              </w:rPr>
              <w:t xml:space="preserve">878,026 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845" w:type="dxa"/>
            <w:tcBorders/>
            <w:shd w:fill="CCEEFF" w:val="clear"/>
            <w:vAlign w:val="bottom"/>
          </w:tcPr>
          <w:p>
            <w:pPr>
              <w:pStyle w:val="TableContents"/>
              <w:spacing w:before="0" w:after="283"/>
              <w:jc w:val="right"/>
              <w:rPr>
                <w:sz w:val="17"/>
              </w:rPr>
            </w:pPr>
            <w:r>
              <w:rPr>
                <w:sz w:val="17"/>
              </w:rPr>
              <w:t xml:space="preserve">657,891  </w:t>
            </w:r>
          </w:p>
        </w:tc>
      </w:tr>
      <w:tr>
        <w:trPr/>
        <w:tc>
          <w:tcPr>
            <w:tcW w:w="2150" w:type="dxa"/>
            <w:tcBorders/>
            <w:shd w:fill="FFFFFF" w:val="clear"/>
            <w:vAlign w:val="bottom"/>
          </w:tcPr>
          <w:p>
            <w:pPr>
              <w:pStyle w:val="TableContents"/>
              <w:spacing w:before="0" w:after="1"/>
              <w:ind w:left="0" w:right="0" w:hanging="0"/>
              <w:jc w:val="both"/>
              <w:rPr>
                <w:sz w:val="17"/>
              </w:rPr>
            </w:pPr>
            <w:r>
              <w:rPr>
                <w:sz w:val="17"/>
              </w:rPr>
              <w:t>Employee benefits</w:t>
            </w:r>
          </w:p>
        </w:tc>
        <w:tc>
          <w:tcPr>
            <w:tcW w:w="365" w:type="dxa"/>
            <w:tcBorders/>
            <w:shd w:fill="FFFFFF" w:val="clear"/>
            <w:vAlign w:val="bottom"/>
          </w:tcPr>
          <w:p>
            <w:pPr>
              <w:pStyle w:val="TableContents"/>
              <w:spacing w:before="0" w:after="1"/>
              <w:ind w:left="0" w:right="0" w:hanging="0"/>
              <w:jc w:val="center"/>
              <w:rPr>
                <w:sz w:val="17"/>
              </w:rPr>
            </w:pPr>
            <w:r>
              <w:rPr>
                <w:sz w:val="17"/>
              </w:rPr>
              <w:t>13</w:t>
            </w:r>
          </w:p>
        </w:tc>
        <w:tc>
          <w:tcPr>
            <w:tcW w:w="110" w:type="dxa"/>
            <w:tcBorders/>
            <w:shd w:fill="FFFFFF" w:val="clear"/>
            <w:vAlign w:val="bottom"/>
          </w:tcPr>
          <w:p>
            <w:pPr>
              <w:pStyle w:val="TableContents"/>
              <w:spacing w:before="0" w:after="1"/>
              <w:ind w:left="0" w:right="0" w:hanging="0"/>
              <w:jc w:val="right"/>
              <w:rPr/>
            </w:pPr>
            <w:r>
              <w:rPr/>
              <w:t> </w:t>
            </w:r>
          </w:p>
        </w:tc>
        <w:tc>
          <w:tcPr>
            <w:tcW w:w="830" w:type="dxa"/>
            <w:tcBorders/>
            <w:shd w:fill="FFFFFF" w:val="clear"/>
            <w:vAlign w:val="bottom"/>
          </w:tcPr>
          <w:p>
            <w:pPr>
              <w:pStyle w:val="TableContents"/>
              <w:spacing w:before="0" w:after="283"/>
              <w:jc w:val="right"/>
              <w:rPr>
                <w:sz w:val="17"/>
              </w:rPr>
            </w:pPr>
            <w:r>
              <w:rPr>
                <w:sz w:val="17"/>
              </w:rPr>
              <w:t xml:space="preserve">162,961  </w:t>
            </w:r>
          </w:p>
        </w:tc>
        <w:tc>
          <w:tcPr>
            <w:tcW w:w="110" w:type="dxa"/>
            <w:tcBorders/>
            <w:shd w:fill="FFFFFF" w:val="clear"/>
            <w:vAlign w:val="bottom"/>
          </w:tcPr>
          <w:p>
            <w:pPr>
              <w:pStyle w:val="TableContents"/>
              <w:spacing w:before="0" w:after="1"/>
              <w:ind w:left="0" w:right="0" w:hanging="0"/>
              <w:jc w:val="right"/>
              <w:rPr/>
            </w:pPr>
            <w:r>
              <w:rPr/>
              <w:t> </w:t>
            </w:r>
          </w:p>
        </w:tc>
        <w:tc>
          <w:tcPr>
            <w:tcW w:w="845" w:type="dxa"/>
            <w:tcBorders/>
            <w:shd w:fill="FFFFFF" w:val="clear"/>
            <w:vAlign w:val="bottom"/>
          </w:tcPr>
          <w:p>
            <w:pPr>
              <w:pStyle w:val="TableContents"/>
              <w:spacing w:before="0" w:after="283"/>
              <w:jc w:val="right"/>
              <w:rPr>
                <w:sz w:val="17"/>
              </w:rPr>
            </w:pPr>
            <w:r>
              <w:rPr>
                <w:sz w:val="17"/>
              </w:rPr>
              <w:t xml:space="preserve">128,377 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Deferred revenue</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7"/>
              </w:rPr>
            </w:pPr>
            <w:r>
              <w:rPr>
                <w:sz w:val="17"/>
              </w:rPr>
              <w:t>14</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27,683 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39,068  </w:t>
            </w:r>
          </w:p>
        </w:tc>
      </w:tr>
      <w:tr>
        <w:trPr/>
        <w:tc>
          <w:tcPr>
            <w:tcW w:w="2150" w:type="dxa"/>
            <w:tcBorders>
              <w:top w:val="single" w:sz="8" w:space="0" w:color="000000"/>
            </w:tcBorders>
            <w:shd w:fill="FFFFFF" w:val="clear"/>
            <w:tcMar>
              <w:top w:w="28" w:type="dxa"/>
            </w:tcMar>
            <w:vAlign w:val="bottom"/>
          </w:tcPr>
          <w:p>
            <w:pPr>
              <w:pStyle w:val="TableContents"/>
              <w:spacing w:before="0" w:after="1"/>
              <w:ind w:left="0" w:right="0" w:hanging="0"/>
              <w:jc w:val="both"/>
              <w:rPr>
                <w:b/>
                <w:sz w:val="17"/>
              </w:rPr>
            </w:pPr>
            <w:r>
              <w:rPr>
                <w:b/>
                <w:sz w:val="17"/>
              </w:rPr>
              <w:t>Total current liabilities</w:t>
            </w:r>
          </w:p>
        </w:tc>
        <w:tc>
          <w:tcPr>
            <w:tcW w:w="365" w:type="dxa"/>
            <w:tcBorders>
              <w:top w:val="single" w:sz="8"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30"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1,068,670 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845" w:type="dxa"/>
            <w:tcBorders>
              <w:top w:val="single" w:sz="8" w:space="0" w:color="000000"/>
            </w:tcBorders>
            <w:shd w:fill="FFFFFF" w:val="clear"/>
            <w:tcMar>
              <w:top w:w="28" w:type="dxa"/>
            </w:tcMar>
            <w:vAlign w:val="bottom"/>
          </w:tcPr>
          <w:p>
            <w:pPr>
              <w:pStyle w:val="TableContents"/>
              <w:spacing w:before="0" w:after="283"/>
              <w:jc w:val="right"/>
              <w:rPr>
                <w:sz w:val="17"/>
              </w:rPr>
            </w:pPr>
            <w:r>
              <w:rPr>
                <w:sz w:val="17"/>
              </w:rPr>
              <w:t xml:space="preserve">825,336 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Employee benefits</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7"/>
              </w:rPr>
            </w:pPr>
            <w:r>
              <w:rPr>
                <w:sz w:val="17"/>
              </w:rPr>
              <w:t>13</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41,105 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58,224  </w:t>
            </w:r>
          </w:p>
        </w:tc>
      </w:tr>
      <w:tr>
        <w:trPr/>
        <w:tc>
          <w:tcPr>
            <w:tcW w:w="215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Total non-current liabilities</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3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41,105 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84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58,224  </w:t>
            </w:r>
          </w:p>
        </w:tc>
      </w:tr>
      <w:tr>
        <w:trPr/>
        <w:tc>
          <w:tcPr>
            <w:tcW w:w="21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Total liabilities</w:t>
            </w:r>
          </w:p>
        </w:tc>
        <w:tc>
          <w:tcPr>
            <w:tcW w:w="3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8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1,109,775 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84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883,560  </w:t>
            </w:r>
          </w:p>
        </w:tc>
      </w:tr>
      <w:tr>
        <w:trPr/>
        <w:tc>
          <w:tcPr>
            <w:tcW w:w="215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365" w:type="dxa"/>
            <w:tcBorders>
              <w:top w:val="single" w:sz="12"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3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4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150" w:type="dxa"/>
            <w:tcBorders>
              <w:bottom w:val="single" w:sz="12" w:space="0" w:color="000000"/>
            </w:tcBorders>
            <w:shd w:fill="CCEEFF" w:val="clear"/>
            <w:tcMar>
              <w:bottom w:w="28" w:type="dxa"/>
            </w:tcMar>
            <w:vAlign w:val="bottom"/>
          </w:tcPr>
          <w:p>
            <w:pPr>
              <w:pStyle w:val="TableContents"/>
              <w:spacing w:before="0" w:after="1"/>
              <w:ind w:left="0" w:right="0" w:hanging="0"/>
              <w:jc w:val="both"/>
              <w:rPr>
                <w:b/>
                <w:sz w:val="17"/>
              </w:rPr>
            </w:pPr>
            <w:r>
              <w:rPr>
                <w:b/>
                <w:sz w:val="17"/>
              </w:rPr>
              <w:t>Net assets</w:t>
            </w:r>
          </w:p>
        </w:tc>
        <w:tc>
          <w:tcPr>
            <w:tcW w:w="365" w:type="dxa"/>
            <w:tcBorders>
              <w:bottom w:val="single" w:sz="12"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sz w:val="17"/>
              </w:rPr>
            </w:pPr>
            <w:r>
              <w:rPr>
                <w:sz w:val="17"/>
              </w:rPr>
              <w:t>$</w:t>
            </w:r>
          </w:p>
        </w:tc>
        <w:tc>
          <w:tcPr>
            <w:tcW w:w="830" w:type="dxa"/>
            <w:tcBorders>
              <w:bottom w:val="single" w:sz="12" w:space="0" w:color="000000"/>
            </w:tcBorders>
            <w:shd w:fill="CCEEFF" w:val="clear"/>
            <w:tcMar>
              <w:bottom w:w="28" w:type="dxa"/>
            </w:tcMar>
            <w:vAlign w:val="bottom"/>
          </w:tcPr>
          <w:p>
            <w:pPr>
              <w:pStyle w:val="TableContents"/>
              <w:spacing w:before="0" w:after="283"/>
              <w:jc w:val="right"/>
              <w:rPr>
                <w:sz w:val="17"/>
              </w:rPr>
            </w:pPr>
            <w:r>
              <w:rPr>
                <w:sz w:val="17"/>
              </w:rPr>
              <w:t xml:space="preserve">4,082,322  </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sz w:val="17"/>
              </w:rPr>
            </w:pPr>
            <w:r>
              <w:rPr>
                <w:sz w:val="17"/>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sz w:val="17"/>
              </w:rPr>
            </w:pPr>
            <w:r>
              <w:rPr>
                <w:sz w:val="17"/>
              </w:rPr>
              <w:t xml:space="preserve">4,742,115  </w:t>
            </w:r>
          </w:p>
        </w:tc>
      </w:tr>
      <w:tr>
        <w:trPr/>
        <w:tc>
          <w:tcPr>
            <w:tcW w:w="2150" w:type="dxa"/>
            <w:tcBorders>
              <w:top w:val="single" w:sz="12" w:space="0" w:color="000000"/>
            </w:tcBorders>
            <w:shd w:fill="FFFFFF" w:val="clear"/>
            <w:tcMar>
              <w:top w:w="28" w:type="dxa"/>
            </w:tcMar>
            <w:vAlign w:val="bottom"/>
          </w:tcPr>
          <w:p>
            <w:pPr>
              <w:pStyle w:val="TableContents"/>
              <w:spacing w:before="0" w:after="1"/>
              <w:ind w:left="0" w:right="0" w:hanging="0"/>
              <w:jc w:val="both"/>
              <w:rPr/>
            </w:pPr>
            <w:r>
              <w:rPr/>
              <w:t> </w:t>
            </w:r>
          </w:p>
        </w:tc>
        <w:tc>
          <w:tcPr>
            <w:tcW w:w="365" w:type="dxa"/>
            <w:tcBorders>
              <w:top w:val="single" w:sz="12"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3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84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150" w:type="dxa"/>
            <w:tcBorders/>
            <w:shd w:fill="CCEEFF" w:val="clear"/>
            <w:vAlign w:val="bottom"/>
          </w:tcPr>
          <w:p>
            <w:pPr>
              <w:pStyle w:val="TableContents"/>
              <w:spacing w:before="0" w:after="1"/>
              <w:ind w:left="0" w:right="0" w:hanging="0"/>
              <w:jc w:val="both"/>
              <w:rPr>
                <w:b/>
                <w:sz w:val="17"/>
              </w:rPr>
            </w:pPr>
            <w:r>
              <w:rPr>
                <w:b/>
                <w:sz w:val="17"/>
              </w:rPr>
              <w:t>Equity</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830" w:type="dxa"/>
            <w:tcBorders/>
            <w:shd w:fill="CCEEFF" w:val="clear"/>
            <w:vAlign w:val="bottom"/>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845" w:type="dxa"/>
            <w:tcBorders/>
            <w:shd w:fill="CCEEFF" w:val="clear"/>
            <w:vAlign w:val="bottom"/>
          </w:tcPr>
          <w:p>
            <w:pPr>
              <w:pStyle w:val="TableContents"/>
              <w:spacing w:before="0" w:after="1"/>
              <w:ind w:left="0" w:right="0" w:hanging="0"/>
              <w:jc w:val="right"/>
              <w:rPr/>
            </w:pPr>
            <w:r>
              <w:rPr/>
              <w:t> </w:t>
            </w:r>
          </w:p>
        </w:tc>
      </w:tr>
      <w:tr>
        <w:trPr/>
        <w:tc>
          <w:tcPr>
            <w:tcW w:w="2150" w:type="dxa"/>
            <w:tcBorders/>
            <w:shd w:fill="FFFFFF" w:val="clear"/>
            <w:vAlign w:val="bottom"/>
          </w:tcPr>
          <w:p>
            <w:pPr>
              <w:pStyle w:val="TableContents"/>
              <w:spacing w:before="0" w:after="1"/>
              <w:ind w:left="0" w:right="0" w:hanging="0"/>
              <w:jc w:val="both"/>
              <w:rPr>
                <w:sz w:val="17"/>
              </w:rPr>
            </w:pPr>
            <w:r>
              <w:rPr>
                <w:sz w:val="17"/>
              </w:rPr>
              <w:t>Contributed equity</w:t>
            </w:r>
          </w:p>
        </w:tc>
        <w:tc>
          <w:tcPr>
            <w:tcW w:w="365" w:type="dxa"/>
            <w:tcBorders/>
            <w:shd w:fill="FFFFFF" w:val="clear"/>
            <w:vAlign w:val="bottom"/>
          </w:tcPr>
          <w:p>
            <w:pPr>
              <w:pStyle w:val="TableContents"/>
              <w:spacing w:before="0" w:after="1"/>
              <w:ind w:left="0" w:right="0" w:hanging="0"/>
              <w:jc w:val="center"/>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830" w:type="dxa"/>
            <w:tcBorders/>
            <w:shd w:fill="FFFFFF" w:val="clear"/>
            <w:vAlign w:val="bottom"/>
          </w:tcPr>
          <w:p>
            <w:pPr>
              <w:pStyle w:val="TableContents"/>
              <w:spacing w:before="0" w:after="283"/>
              <w:jc w:val="right"/>
              <w:rPr>
                <w:sz w:val="17"/>
              </w:rPr>
            </w:pPr>
            <w:r>
              <w:rPr>
                <w:sz w:val="17"/>
              </w:rPr>
              <w:t xml:space="preserve">202,593  </w:t>
            </w:r>
          </w:p>
        </w:tc>
        <w:tc>
          <w:tcPr>
            <w:tcW w:w="110" w:type="dxa"/>
            <w:tcBorders/>
            <w:shd w:fill="FFFFFF" w:val="clear"/>
            <w:vAlign w:val="bottom"/>
          </w:tcPr>
          <w:p>
            <w:pPr>
              <w:pStyle w:val="TableContents"/>
              <w:spacing w:before="0" w:after="1"/>
              <w:ind w:left="0" w:right="0" w:hanging="0"/>
              <w:jc w:val="right"/>
              <w:rPr/>
            </w:pPr>
            <w:r>
              <w:rPr/>
              <w:t> </w:t>
            </w:r>
          </w:p>
        </w:tc>
        <w:tc>
          <w:tcPr>
            <w:tcW w:w="845" w:type="dxa"/>
            <w:tcBorders/>
            <w:shd w:fill="FFFFFF" w:val="clear"/>
            <w:vAlign w:val="bottom"/>
          </w:tcPr>
          <w:p>
            <w:pPr>
              <w:pStyle w:val="TableContents"/>
              <w:spacing w:before="0" w:after="283"/>
              <w:jc w:val="right"/>
              <w:rPr>
                <w:sz w:val="17"/>
              </w:rPr>
            </w:pPr>
            <w:r>
              <w:rPr>
                <w:sz w:val="17"/>
              </w:rPr>
              <w:t xml:space="preserve">202,593  </w:t>
            </w:r>
          </w:p>
        </w:tc>
      </w:tr>
      <w:tr>
        <w:trPr/>
        <w:tc>
          <w:tcPr>
            <w:tcW w:w="215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Retained earnings</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3,879,729 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4,539,522  </w:t>
            </w:r>
          </w:p>
        </w:tc>
      </w:tr>
      <w:tr>
        <w:trPr/>
        <w:tc>
          <w:tcPr>
            <w:tcW w:w="21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Total equity</w:t>
            </w:r>
          </w:p>
        </w:tc>
        <w:tc>
          <w:tcPr>
            <w:tcW w:w="3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4,082,322 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4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4,742,115  </w:t>
            </w:r>
          </w:p>
        </w:tc>
      </w:tr>
    </w:tbl>
    <w:p>
      <w:pPr>
        <w:pStyle w:val="TextBody"/>
        <w:spacing w:before="0" w:after="0"/>
        <w:ind w:left="1440" w:right="0" w:hanging="0"/>
        <w:jc w:val="both"/>
        <w:rPr/>
      </w:pPr>
      <w:r>
        <w:rPr/>
        <w:t xml:space="preserve">  </w:t>
      </w:r>
    </w:p>
    <w:p>
      <w:pPr>
        <w:pStyle w:val="TextBody"/>
        <w:spacing w:before="0" w:after="200"/>
        <w:ind w:left="1440" w:right="0" w:hanging="0"/>
        <w:jc w:val="center"/>
        <w:rPr>
          <w:sz w:val="17"/>
        </w:rPr>
      </w:pPr>
      <w:r>
        <w:rPr>
          <w:sz w:val="17"/>
        </w:rPr>
        <w:t xml:space="preserve">The accompanying notes are an integral part of these financial statements. </w:t>
      </w:r>
    </w:p>
    <w:p>
      <w:pPr>
        <w:pStyle w:val="TextBody"/>
        <w:spacing w:before="100" w:after="100"/>
        <w:ind w:left="1440" w:right="0" w:hanging="0"/>
        <w:jc w:val="both"/>
        <w:rPr/>
      </w:pPr>
      <w:r>
        <w:rPr/>
        <w:t xml:space="preserve">  </w:t>
      </w:r>
    </w:p>
    <w:p>
      <w:pPr>
        <w:pStyle w:val="TextBody"/>
        <w:spacing w:before="100" w:after="1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sz w:val="17"/>
        </w:rPr>
      </w:pPr>
      <w:r>
        <w:rPr>
          <w:b/>
          <w:sz w:val="17"/>
        </w:rPr>
        <w:t>Mt. Gravatt Cinemas Joint Venture</w:t>
      </w:r>
      <w:r>
        <w:rPr>
          <w:sz w:val="17"/>
        </w:rPr>
        <w:t xml:space="preserve"> </w:t>
      </w:r>
    </w:p>
    <w:p>
      <w:pPr>
        <w:pStyle w:val="TextBody"/>
        <w:spacing w:before="0" w:after="0"/>
        <w:ind w:left="1440" w:right="0" w:hanging="0"/>
        <w:jc w:val="both"/>
        <w:rPr>
          <w:sz w:val="17"/>
        </w:rPr>
      </w:pPr>
      <w:r>
        <w:rPr>
          <w:b/>
          <w:sz w:val="17"/>
        </w:rPr>
        <w:t>Statements of Cash Flows</w:t>
      </w:r>
      <w:r>
        <w:rPr>
          <w:sz w:val="17"/>
        </w:rPr>
        <w:t xml:space="preserve"> </w:t>
      </w:r>
    </w:p>
    <w:p>
      <w:pPr>
        <w:pStyle w:val="TextBody"/>
        <w:spacing w:before="0" w:after="0"/>
        <w:ind w:left="1440" w:right="0" w:hanging="0"/>
        <w:jc w:val="both"/>
        <w:rPr>
          <w:sz w:val="17"/>
        </w:rPr>
      </w:pPr>
      <w:r>
        <w:rPr>
          <w:b/>
          <w:sz w:val="17"/>
        </w:rPr>
        <w:t>For the Year Ended December 31, 2012</w:t>
      </w:r>
      <w:r>
        <w:rPr>
          <w:sz w:val="17"/>
        </w:rPr>
        <w:t xml:space="preserve"> </w:t>
      </w:r>
    </w:p>
    <w:p>
      <w:pPr>
        <w:pStyle w:val="TextBody"/>
        <w:spacing w:before="0" w:after="0"/>
        <w:ind w:left="1440" w:right="0" w:hanging="0"/>
        <w:jc w:val="both"/>
        <w:rPr/>
      </w:pPr>
      <w:r>
        <w:rPr/>
        <w:t xml:space="preserve">  </w:t>
      </w:r>
    </w:p>
    <w:p>
      <w:pPr>
        <w:pStyle w:val="TextBody"/>
        <w:spacing w:before="0" w:after="0"/>
        <w:ind w:left="1440" w:right="0" w:hanging="0"/>
        <w:jc w:val="both"/>
        <w:rPr/>
      </w:pPr>
      <w:r>
        <w:rPr/>
        <w:t xml:space="preserve">  </w:t>
      </w:r>
    </w:p>
    <w:tbl>
      <w:tblPr>
        <w:tblW w:w="7360" w:type="dxa"/>
        <w:jc w:val="left"/>
        <w:tblInd w:w="1440" w:type="dxa"/>
        <w:tblCellMar>
          <w:top w:w="0" w:type="dxa"/>
          <w:left w:w="0" w:type="dxa"/>
          <w:bottom w:w="0" w:type="dxa"/>
          <w:right w:w="0" w:type="dxa"/>
        </w:tblCellMar>
      </w:tblPr>
      <w:tblGrid>
        <w:gridCol w:w="3665"/>
        <w:gridCol w:w="365"/>
        <w:gridCol w:w="110"/>
        <w:gridCol w:w="995"/>
        <w:gridCol w:w="110"/>
        <w:gridCol w:w="995"/>
        <w:gridCol w:w="110"/>
        <w:gridCol w:w="1010"/>
      </w:tblGrid>
      <w:tr>
        <w:trPr/>
        <w:tc>
          <w:tcPr>
            <w:tcW w:w="366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r>
      <w:tr>
        <w:trPr/>
        <w:tc>
          <w:tcPr>
            <w:tcW w:w="366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center"/>
              <w:rPr/>
            </w:pPr>
            <w:r>
              <w:rPr/>
              <w:t> </w:t>
            </w:r>
          </w:p>
        </w:tc>
        <w:tc>
          <w:tcPr>
            <w:tcW w:w="1010" w:type="dxa"/>
            <w:tcBorders/>
            <w:shd w:fill="auto" w:val="clear"/>
            <w:vAlign w:val="bottom"/>
          </w:tcPr>
          <w:p>
            <w:pPr>
              <w:pStyle w:val="TableContents"/>
              <w:spacing w:before="0" w:after="1"/>
              <w:ind w:left="0" w:right="0" w:hanging="0"/>
              <w:jc w:val="both"/>
              <w:rPr/>
            </w:pPr>
            <w:r>
              <w:rPr/>
              <w:t> </w:t>
            </w:r>
          </w:p>
        </w:tc>
      </w:tr>
      <w:tr>
        <w:trPr/>
        <w:tc>
          <w:tcPr>
            <w:tcW w:w="366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Note</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0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3665" w:type="dxa"/>
            <w:tcBorders>
              <w:top w:val="single" w:sz="8" w:space="0" w:color="000000"/>
            </w:tcBorders>
            <w:shd w:fill="auto" w:val="clear"/>
            <w:tcMar>
              <w:top w:w="28" w:type="dxa"/>
            </w:tcMar>
          </w:tcPr>
          <w:p>
            <w:pPr>
              <w:pStyle w:val="TableContents"/>
              <w:spacing w:before="0" w:after="1"/>
              <w:ind w:left="0" w:right="0" w:hanging="0"/>
              <w:jc w:val="both"/>
              <w:rPr>
                <w:b/>
                <w:sz w:val="17"/>
              </w:rPr>
            </w:pPr>
            <w:r>
              <w:rPr>
                <w:b/>
                <w:sz w:val="17"/>
              </w:rPr>
              <w:t>Cash flows from operating activities</w:t>
            </w:r>
          </w:p>
        </w:tc>
        <w:tc>
          <w:tcPr>
            <w:tcW w:w="36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95"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995"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tcPr>
          <w:p>
            <w:pPr>
              <w:pStyle w:val="TableContents"/>
              <w:spacing w:before="0" w:after="1"/>
              <w:ind w:left="0" w:right="0" w:hanging="0"/>
              <w:jc w:val="both"/>
              <w:rPr/>
            </w:pPr>
            <w:r>
              <w:rPr/>
              <w:t> </w:t>
            </w:r>
          </w:p>
        </w:tc>
        <w:tc>
          <w:tcPr>
            <w:tcW w:w="1010" w:type="dxa"/>
            <w:tcBorders>
              <w:top w:val="single" w:sz="8" w:space="0" w:color="000000"/>
            </w:tcBorders>
            <w:shd w:fill="auto" w:val="clear"/>
            <w:tcMar>
              <w:top w:w="28" w:type="dxa"/>
            </w:tcMar>
          </w:tcPr>
          <w:p>
            <w:pPr>
              <w:pStyle w:val="TableContents"/>
              <w:spacing w:before="0" w:after="1"/>
              <w:ind w:left="0" w:right="0" w:hanging="0"/>
              <w:jc w:val="both"/>
              <w:rPr/>
            </w:pPr>
            <w:r>
              <w:rPr/>
              <w:t> </w:t>
            </w:r>
          </w:p>
        </w:tc>
      </w:tr>
      <w:tr>
        <w:trPr/>
        <w:tc>
          <w:tcPr>
            <w:tcW w:w="3665" w:type="dxa"/>
            <w:tcBorders/>
            <w:shd w:fill="CCEEFF" w:val="clear"/>
          </w:tcPr>
          <w:p>
            <w:pPr>
              <w:pStyle w:val="TableContents"/>
              <w:spacing w:before="0" w:after="1"/>
              <w:ind w:left="0" w:right="0" w:hanging="0"/>
              <w:jc w:val="both"/>
              <w:rPr>
                <w:sz w:val="17"/>
              </w:rPr>
            </w:pPr>
            <w:r>
              <w:rPr>
                <w:sz w:val="17"/>
              </w:rPr>
              <w:t>Cash receipts from customers</w:t>
            </w:r>
          </w:p>
        </w:tc>
        <w:tc>
          <w:tcPr>
            <w:tcW w:w="36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995" w:type="dxa"/>
            <w:tcBorders/>
            <w:shd w:fill="CCEEFF" w:val="clear"/>
          </w:tcPr>
          <w:p>
            <w:pPr>
              <w:pStyle w:val="TableContents"/>
              <w:spacing w:before="0" w:after="283"/>
              <w:jc w:val="right"/>
              <w:rPr>
                <w:sz w:val="17"/>
              </w:rPr>
            </w:pPr>
            <w:r>
              <w:rPr>
                <w:sz w:val="17"/>
              </w:rPr>
              <w:t xml:space="preserve">16,091,198 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995" w:type="dxa"/>
            <w:tcBorders/>
            <w:shd w:fill="CCEEFF" w:val="clear"/>
          </w:tcPr>
          <w:p>
            <w:pPr>
              <w:pStyle w:val="TableContents"/>
              <w:spacing w:before="0" w:after="283"/>
              <w:jc w:val="right"/>
              <w:rPr>
                <w:sz w:val="17"/>
              </w:rPr>
            </w:pPr>
            <w:r>
              <w:rPr>
                <w:sz w:val="17"/>
              </w:rPr>
              <w:t xml:space="preserve">14,889,678  </w:t>
            </w:r>
          </w:p>
        </w:tc>
        <w:tc>
          <w:tcPr>
            <w:tcW w:w="110" w:type="dxa"/>
            <w:tcBorders/>
            <w:shd w:fill="CCEEFF" w:val="clear"/>
            <w:vAlign w:val="bottom"/>
          </w:tcPr>
          <w:p>
            <w:pPr>
              <w:pStyle w:val="TableContents"/>
              <w:spacing w:before="0" w:after="1"/>
              <w:ind w:left="0" w:right="0" w:hanging="0"/>
              <w:jc w:val="right"/>
              <w:rPr>
                <w:sz w:val="17"/>
              </w:rPr>
            </w:pPr>
            <w:r>
              <w:rPr>
                <w:sz w:val="17"/>
              </w:rPr>
              <w:t>$</w:t>
            </w:r>
          </w:p>
        </w:tc>
        <w:tc>
          <w:tcPr>
            <w:tcW w:w="1010" w:type="dxa"/>
            <w:tcBorders/>
            <w:shd w:fill="CCEEFF" w:val="clear"/>
          </w:tcPr>
          <w:p>
            <w:pPr>
              <w:pStyle w:val="TableContents"/>
              <w:spacing w:before="0" w:after="283"/>
              <w:jc w:val="right"/>
              <w:rPr>
                <w:sz w:val="17"/>
              </w:rPr>
            </w:pPr>
            <w:r>
              <w:rPr>
                <w:sz w:val="17"/>
              </w:rPr>
              <w:t xml:space="preserve">15,424,727  </w:t>
            </w:r>
          </w:p>
        </w:tc>
      </w:tr>
      <w:tr>
        <w:trPr/>
        <w:tc>
          <w:tcPr>
            <w:tcW w:w="3665" w:type="dxa"/>
            <w:tcBorders>
              <w:bottom w:val="single" w:sz="8" w:space="0" w:color="000000"/>
            </w:tcBorders>
            <w:shd w:fill="FFFFFF" w:val="clear"/>
            <w:tcMar>
              <w:bottom w:w="28" w:type="dxa"/>
            </w:tcMar>
          </w:tcPr>
          <w:p>
            <w:pPr>
              <w:pStyle w:val="TableContents"/>
              <w:spacing w:before="0" w:after="1"/>
              <w:ind w:left="0" w:right="0" w:hanging="0"/>
              <w:jc w:val="both"/>
              <w:rPr>
                <w:sz w:val="17"/>
              </w:rPr>
            </w:pPr>
            <w:r>
              <w:rPr>
                <w:sz w:val="17"/>
              </w:rPr>
              <w:t>Cash paid to suppliers and employees</w:t>
            </w:r>
          </w:p>
        </w:tc>
        <w:tc>
          <w:tcPr>
            <w:tcW w:w="365"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(11,971,304)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(11,450,521)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FFFFFF" w:val="clear"/>
            <w:tcMar>
              <w:bottom w:w="28" w:type="dxa"/>
            </w:tcMar>
          </w:tcPr>
          <w:p>
            <w:pPr>
              <w:pStyle w:val="TableContents"/>
              <w:spacing w:before="0" w:after="283"/>
              <w:jc w:val="right"/>
              <w:rPr>
                <w:sz w:val="17"/>
              </w:rPr>
            </w:pPr>
            <w:r>
              <w:rPr>
                <w:sz w:val="17"/>
              </w:rPr>
              <w:t xml:space="preserve">(11,905,889) </w:t>
            </w:r>
          </w:p>
        </w:tc>
      </w:tr>
      <w:tr>
        <w:trPr/>
        <w:tc>
          <w:tcPr>
            <w:tcW w:w="3665" w:type="dxa"/>
            <w:tcBorders>
              <w:top w:val="single" w:sz="8" w:space="0" w:color="000000"/>
              <w:bottom w:val="single" w:sz="8" w:space="0" w:color="000000"/>
            </w:tcBorders>
            <w:shd w:fill="CCEEFF" w:val="clear"/>
            <w:tcMar>
              <w:top w:w="28" w:type="dxa"/>
              <w:bottom w:w="28" w:type="dxa"/>
            </w:tcMar>
          </w:tcPr>
          <w:p>
            <w:pPr>
              <w:pStyle w:val="TableContents"/>
              <w:spacing w:before="0" w:after="1"/>
              <w:ind w:left="0" w:right="0" w:hanging="0"/>
              <w:jc w:val="both"/>
              <w:rPr>
                <w:sz w:val="17"/>
              </w:rPr>
            </w:pPr>
            <w:r>
              <w:rPr>
                <w:sz w:val="17"/>
              </w:rPr>
              <w:t>Net cash provided from operating activities</w:t>
            </w:r>
          </w:p>
        </w:tc>
        <w:tc>
          <w:tcPr>
            <w:tcW w:w="36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center"/>
              <w:rPr>
                <w:sz w:val="17"/>
              </w:rPr>
            </w:pPr>
            <w:r>
              <w:rPr>
                <w:sz w:val="17"/>
              </w:rPr>
              <w:t>18</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95" w:type="dxa"/>
            <w:tcBorders>
              <w:top w:val="single" w:sz="8" w:space="0" w:color="000000"/>
              <w:bottom w:val="single" w:sz="8" w:space="0" w:color="000000"/>
            </w:tcBorders>
            <w:shd w:fill="CCEEFF" w:val="clear"/>
            <w:tcMar>
              <w:top w:w="28" w:type="dxa"/>
              <w:bottom w:w="28" w:type="dxa"/>
            </w:tcMar>
          </w:tcPr>
          <w:p>
            <w:pPr>
              <w:pStyle w:val="TableContents"/>
              <w:spacing w:before="0" w:after="283"/>
              <w:jc w:val="right"/>
              <w:rPr>
                <w:sz w:val="17"/>
              </w:rPr>
            </w:pPr>
            <w:r>
              <w:rPr>
                <w:sz w:val="17"/>
              </w:rPr>
              <w:t xml:space="preserve">4,119,894 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995" w:type="dxa"/>
            <w:tcBorders>
              <w:top w:val="single" w:sz="8" w:space="0" w:color="000000"/>
              <w:bottom w:val="single" w:sz="8" w:space="0" w:color="000000"/>
            </w:tcBorders>
            <w:shd w:fill="CCEEFF" w:val="clear"/>
            <w:tcMar>
              <w:top w:w="28" w:type="dxa"/>
              <w:bottom w:w="28" w:type="dxa"/>
            </w:tcMar>
          </w:tcPr>
          <w:p>
            <w:pPr>
              <w:pStyle w:val="TableContents"/>
              <w:spacing w:before="0" w:after="283"/>
              <w:jc w:val="right"/>
              <w:rPr>
                <w:sz w:val="17"/>
              </w:rPr>
            </w:pPr>
            <w:r>
              <w:rPr>
                <w:sz w:val="17"/>
              </w:rPr>
              <w:t xml:space="preserve">3,439,157 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pPr>
            <w:r>
              <w:rPr/>
              <w:t> </w:t>
            </w:r>
          </w:p>
        </w:tc>
        <w:tc>
          <w:tcPr>
            <w:tcW w:w="1010" w:type="dxa"/>
            <w:tcBorders>
              <w:top w:val="single" w:sz="8" w:space="0" w:color="000000"/>
              <w:bottom w:val="single" w:sz="8" w:space="0" w:color="000000"/>
            </w:tcBorders>
            <w:shd w:fill="CCEEFF" w:val="clear"/>
            <w:tcMar>
              <w:top w:w="28" w:type="dxa"/>
              <w:bottom w:w="28" w:type="dxa"/>
            </w:tcMar>
          </w:tcPr>
          <w:p>
            <w:pPr>
              <w:pStyle w:val="TableContents"/>
              <w:spacing w:before="0" w:after="283"/>
              <w:jc w:val="right"/>
              <w:rPr>
                <w:sz w:val="17"/>
              </w:rPr>
            </w:pPr>
            <w:r>
              <w:rPr>
                <w:sz w:val="17"/>
              </w:rPr>
              <w:t xml:space="preserve">3,518,838  </w:t>
            </w:r>
          </w:p>
        </w:tc>
      </w:tr>
      <w:tr>
        <w:trPr/>
        <w:tc>
          <w:tcPr>
            <w:tcW w:w="3665" w:type="dxa"/>
            <w:tcBorders>
              <w:top w:val="single" w:sz="8" w:space="0" w:color="000000"/>
            </w:tcBorders>
            <w:shd w:fill="FFFFFF" w:val="clear"/>
            <w:tcMar>
              <w:top w:w="28" w:type="dxa"/>
            </w:tcMar>
          </w:tcPr>
          <w:p>
            <w:pPr>
              <w:pStyle w:val="TableContents"/>
              <w:spacing w:before="0" w:after="1"/>
              <w:ind w:left="0" w:right="0" w:hanging="0"/>
              <w:jc w:val="both"/>
              <w:rPr/>
            </w:pPr>
            <w:r>
              <w:rPr/>
              <w:t> </w:t>
            </w:r>
          </w:p>
        </w:tc>
        <w:tc>
          <w:tcPr>
            <w:tcW w:w="365" w:type="dxa"/>
            <w:tcBorders>
              <w:top w:val="single" w:sz="8" w:space="0" w:color="000000"/>
            </w:tcBorders>
            <w:shd w:fill="FFFF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95" w:type="dxa"/>
            <w:tcBorders>
              <w:top w:val="single" w:sz="8" w:space="0" w:color="000000"/>
            </w:tcBorders>
            <w:shd w:fill="FFFFFF" w:val="clear"/>
            <w:tcMar>
              <w:top w:w="28" w:type="dxa"/>
            </w:tcMar>
          </w:tcPr>
          <w:p>
            <w:pPr>
              <w:pStyle w:val="TableContents"/>
              <w:spacing w:before="0" w:after="1"/>
              <w:ind w:left="0" w:right="0" w:hanging="0"/>
              <w:jc w:val="right"/>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95" w:type="dxa"/>
            <w:tcBorders>
              <w:top w:val="single" w:sz="8" w:space="0" w:color="000000"/>
            </w:tcBorders>
            <w:shd w:fill="FFFFFF" w:val="clear"/>
            <w:tcMar>
              <w:top w:w="28" w:type="dxa"/>
            </w:tcMar>
          </w:tcPr>
          <w:p>
            <w:pPr>
              <w:pStyle w:val="TableContents"/>
              <w:spacing w:before="0" w:after="1"/>
              <w:ind w:left="0" w:right="0" w:hanging="0"/>
              <w:jc w:val="right"/>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FFFFFF" w:val="clear"/>
            <w:tcMar>
              <w:top w:w="28" w:type="dxa"/>
            </w:tcMar>
          </w:tcPr>
          <w:p>
            <w:pPr>
              <w:pStyle w:val="TableContents"/>
              <w:spacing w:before="0" w:after="1"/>
              <w:ind w:left="0" w:right="0" w:hanging="0"/>
              <w:jc w:val="right"/>
              <w:rPr/>
            </w:pPr>
            <w:r>
              <w:rPr/>
              <w:t> </w:t>
            </w:r>
          </w:p>
        </w:tc>
      </w:tr>
      <w:tr>
        <w:trPr/>
        <w:tc>
          <w:tcPr>
            <w:tcW w:w="3665" w:type="dxa"/>
            <w:tcBorders/>
            <w:shd w:fill="CCEEFF" w:val="clear"/>
          </w:tcPr>
          <w:p>
            <w:pPr>
              <w:pStyle w:val="TableContents"/>
              <w:spacing w:before="0" w:after="1"/>
              <w:ind w:left="0" w:right="0" w:hanging="0"/>
              <w:jc w:val="both"/>
              <w:rPr>
                <w:b/>
                <w:sz w:val="17"/>
              </w:rPr>
            </w:pPr>
            <w:r>
              <w:rPr>
                <w:b/>
                <w:sz w:val="17"/>
              </w:rPr>
              <w:t>Cash flows from investing activities</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95" w:type="dxa"/>
            <w:tcBorders/>
            <w:shd w:fill="CCEEFF" w:val="clear"/>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995" w:type="dxa"/>
            <w:tcBorders/>
            <w:shd w:fill="CCEEFF" w:val="clear"/>
          </w:tcPr>
          <w:p>
            <w:pPr>
              <w:pStyle w:val="TableContents"/>
              <w:spacing w:before="0" w:after="1"/>
              <w:ind w:left="0" w:right="0" w:hanging="0"/>
              <w:jc w:val="right"/>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1010" w:type="dxa"/>
            <w:tcBorders/>
            <w:shd w:fill="CCEEFF" w:val="clear"/>
          </w:tcPr>
          <w:p>
            <w:pPr>
              <w:pStyle w:val="TableContents"/>
              <w:spacing w:before="0" w:after="1"/>
              <w:ind w:left="0" w:right="0" w:hanging="0"/>
              <w:jc w:val="right"/>
              <w:rPr/>
            </w:pPr>
            <w:r>
              <w:rPr/>
              <w:t> </w:t>
            </w:r>
          </w:p>
        </w:tc>
      </w:tr>
      <w:tr>
        <w:trPr/>
        <w:tc>
          <w:tcPr>
            <w:tcW w:w="3665" w:type="dxa"/>
            <w:tcBorders/>
            <w:shd w:fill="FFFFFF" w:val="clear"/>
          </w:tcPr>
          <w:p>
            <w:pPr>
              <w:pStyle w:val="TableContents"/>
              <w:spacing w:before="0" w:after="1"/>
              <w:ind w:left="0" w:right="0" w:hanging="0"/>
              <w:jc w:val="both"/>
              <w:rPr>
                <w:sz w:val="17"/>
              </w:rPr>
            </w:pPr>
            <w:r>
              <w:rPr>
                <w:sz w:val="17"/>
              </w:rPr>
              <w:t>Acquisition of property, plant and equipment</w:t>
            </w:r>
          </w:p>
        </w:tc>
        <w:tc>
          <w:tcPr>
            <w:tcW w:w="365" w:type="dxa"/>
            <w:tcBorders/>
            <w:shd w:fill="FFFFFF" w:val="clear"/>
            <w:vAlign w:val="bottom"/>
          </w:tcPr>
          <w:p>
            <w:pPr>
              <w:pStyle w:val="TableContents"/>
              <w:spacing w:before="0" w:after="1"/>
              <w:ind w:left="0" w:right="0" w:hanging="0"/>
              <w:jc w:val="center"/>
              <w:rPr>
                <w:sz w:val="17"/>
              </w:rPr>
            </w:pPr>
            <w:r>
              <w:rPr>
                <w:sz w:val="17"/>
              </w:rPr>
              <w:t>11</w:t>
            </w:r>
          </w:p>
        </w:tc>
        <w:tc>
          <w:tcPr>
            <w:tcW w:w="110" w:type="dxa"/>
            <w:tcBorders/>
            <w:shd w:fill="FFFFFF" w:val="clear"/>
            <w:vAlign w:val="bottom"/>
          </w:tcPr>
          <w:p>
            <w:pPr>
              <w:pStyle w:val="TableContents"/>
              <w:spacing w:before="0" w:after="1"/>
              <w:ind w:left="0" w:right="0" w:hanging="0"/>
              <w:jc w:val="right"/>
              <w:rPr/>
            </w:pPr>
            <w:r>
              <w:rPr/>
              <w:t> </w:t>
            </w:r>
          </w:p>
        </w:tc>
        <w:tc>
          <w:tcPr>
            <w:tcW w:w="995" w:type="dxa"/>
            <w:tcBorders/>
            <w:shd w:fill="FFFFFF" w:val="clear"/>
          </w:tcPr>
          <w:p>
            <w:pPr>
              <w:pStyle w:val="TableContents"/>
              <w:spacing w:before="0" w:after="283"/>
              <w:jc w:val="right"/>
              <w:rPr>
                <w:sz w:val="17"/>
              </w:rPr>
            </w:pPr>
            <w:r>
              <w:rPr>
                <w:sz w:val="17"/>
              </w:rPr>
              <w:t xml:space="preserve">(783,266) </w:t>
            </w:r>
          </w:p>
        </w:tc>
        <w:tc>
          <w:tcPr>
            <w:tcW w:w="110" w:type="dxa"/>
            <w:tcBorders/>
            <w:shd w:fill="FFFFFF" w:val="clear"/>
            <w:vAlign w:val="bottom"/>
          </w:tcPr>
          <w:p>
            <w:pPr>
              <w:pStyle w:val="TableContents"/>
              <w:spacing w:before="0" w:after="1"/>
              <w:ind w:left="0" w:right="0" w:hanging="0"/>
              <w:jc w:val="right"/>
              <w:rPr/>
            </w:pPr>
            <w:r>
              <w:rPr/>
              <w:t> </w:t>
            </w:r>
          </w:p>
        </w:tc>
        <w:tc>
          <w:tcPr>
            <w:tcW w:w="995" w:type="dxa"/>
            <w:tcBorders/>
            <w:shd w:fill="FFFFFF" w:val="clear"/>
          </w:tcPr>
          <w:p>
            <w:pPr>
              <w:pStyle w:val="TableContents"/>
              <w:spacing w:before="0" w:after="283"/>
              <w:jc w:val="right"/>
              <w:rPr>
                <w:sz w:val="17"/>
              </w:rPr>
            </w:pPr>
            <w:r>
              <w:rPr>
                <w:sz w:val="17"/>
              </w:rPr>
              <w:t xml:space="preserve">(1,309,432) </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tcPr>
          <w:p>
            <w:pPr>
              <w:pStyle w:val="TableContents"/>
              <w:spacing w:before="0" w:after="283"/>
              <w:jc w:val="right"/>
              <w:rPr>
                <w:sz w:val="17"/>
              </w:rPr>
            </w:pPr>
            <w:r>
              <w:rPr>
                <w:sz w:val="17"/>
              </w:rPr>
              <w:t xml:space="preserve">(265,351) </w:t>
            </w:r>
          </w:p>
        </w:tc>
      </w:tr>
      <w:tr>
        <w:trPr/>
        <w:tc>
          <w:tcPr>
            <w:tcW w:w="3665" w:type="dxa"/>
            <w:tcBorders>
              <w:bottom w:val="single" w:sz="8" w:space="0" w:color="000000"/>
            </w:tcBorders>
            <w:shd w:fill="CCEEFF" w:val="clear"/>
            <w:tcMar>
              <w:bottom w:w="28" w:type="dxa"/>
            </w:tcMar>
          </w:tcPr>
          <w:p>
            <w:pPr>
              <w:pStyle w:val="TableContents"/>
              <w:spacing w:before="0" w:after="1"/>
              <w:ind w:left="0" w:right="0" w:hanging="0"/>
              <w:jc w:val="both"/>
              <w:rPr>
                <w:sz w:val="17"/>
              </w:rPr>
            </w:pPr>
            <w:r>
              <w:rPr>
                <w:sz w:val="17"/>
              </w:rPr>
              <w:t>Interest received</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sz w:val="17"/>
              </w:rPr>
            </w:pPr>
            <w:r>
              <w:rPr>
                <w:sz w:val="17"/>
              </w:rPr>
              <w:t>7</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21,256 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58,301 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19,522  </w:t>
            </w:r>
          </w:p>
        </w:tc>
      </w:tr>
      <w:tr>
        <w:trPr/>
        <w:tc>
          <w:tcPr>
            <w:tcW w:w="3665" w:type="dxa"/>
            <w:tcBorders>
              <w:top w:val="single" w:sz="8" w:space="0" w:color="000000"/>
              <w:bottom w:val="single" w:sz="8" w:space="0" w:color="000000"/>
            </w:tcBorders>
            <w:shd w:fill="FFFFFF" w:val="clear"/>
            <w:tcMar>
              <w:top w:w="28" w:type="dxa"/>
              <w:bottom w:w="28" w:type="dxa"/>
            </w:tcMar>
          </w:tcPr>
          <w:p>
            <w:pPr>
              <w:pStyle w:val="TableContents"/>
              <w:spacing w:before="0" w:after="1"/>
              <w:ind w:left="0" w:right="0" w:hanging="0"/>
              <w:jc w:val="both"/>
              <w:rPr>
                <w:sz w:val="17"/>
              </w:rPr>
            </w:pPr>
            <w:r>
              <w:rPr>
                <w:sz w:val="17"/>
              </w:rPr>
              <w:t>Net cash used in investing activities</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95" w:type="dxa"/>
            <w:tcBorders>
              <w:top w:val="single" w:sz="8" w:space="0" w:color="000000"/>
              <w:bottom w:val="single" w:sz="8" w:space="0" w:color="000000"/>
            </w:tcBorders>
            <w:shd w:fill="FFFFFF" w:val="clear"/>
            <w:tcMar>
              <w:top w:w="28" w:type="dxa"/>
              <w:bottom w:w="28" w:type="dxa"/>
            </w:tcMar>
          </w:tcPr>
          <w:p>
            <w:pPr>
              <w:pStyle w:val="TableContents"/>
              <w:spacing w:before="0" w:after="283"/>
              <w:jc w:val="right"/>
              <w:rPr>
                <w:sz w:val="17"/>
              </w:rPr>
            </w:pPr>
            <w:r>
              <w:rPr>
                <w:sz w:val="17"/>
              </w:rPr>
              <w:t xml:space="preserve">(762,010)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95" w:type="dxa"/>
            <w:tcBorders>
              <w:top w:val="single" w:sz="8" w:space="0" w:color="000000"/>
              <w:bottom w:val="single" w:sz="8" w:space="0" w:color="000000"/>
            </w:tcBorders>
            <w:shd w:fill="FFFFFF" w:val="clear"/>
            <w:tcMar>
              <w:top w:w="28" w:type="dxa"/>
              <w:bottom w:w="28" w:type="dxa"/>
            </w:tcMar>
          </w:tcPr>
          <w:p>
            <w:pPr>
              <w:pStyle w:val="TableContents"/>
              <w:spacing w:before="0" w:after="283"/>
              <w:jc w:val="right"/>
              <w:rPr>
                <w:sz w:val="17"/>
              </w:rPr>
            </w:pPr>
            <w:r>
              <w:rPr>
                <w:sz w:val="17"/>
              </w:rPr>
              <w:t xml:space="preserve">(1,251,131)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010" w:type="dxa"/>
            <w:tcBorders>
              <w:top w:val="single" w:sz="8" w:space="0" w:color="000000"/>
              <w:bottom w:val="single" w:sz="8" w:space="0" w:color="000000"/>
            </w:tcBorders>
            <w:shd w:fill="FFFFFF" w:val="clear"/>
            <w:tcMar>
              <w:top w:w="28" w:type="dxa"/>
              <w:bottom w:w="28" w:type="dxa"/>
            </w:tcMar>
          </w:tcPr>
          <w:p>
            <w:pPr>
              <w:pStyle w:val="TableContents"/>
              <w:spacing w:before="0" w:after="283"/>
              <w:jc w:val="right"/>
              <w:rPr>
                <w:sz w:val="17"/>
              </w:rPr>
            </w:pPr>
            <w:r>
              <w:rPr>
                <w:sz w:val="17"/>
              </w:rPr>
              <w:t xml:space="preserve">(245,829) </w:t>
            </w:r>
          </w:p>
        </w:tc>
      </w:tr>
      <w:tr>
        <w:trPr/>
        <w:tc>
          <w:tcPr>
            <w:tcW w:w="3665" w:type="dxa"/>
            <w:tcBorders>
              <w:top w:val="single" w:sz="8" w:space="0" w:color="000000"/>
            </w:tcBorders>
            <w:shd w:fill="CCEEFF" w:val="clear"/>
            <w:tcMar>
              <w:top w:w="28" w:type="dxa"/>
            </w:tcMar>
          </w:tcPr>
          <w:p>
            <w:pPr>
              <w:pStyle w:val="TableContents"/>
              <w:spacing w:before="0" w:after="1"/>
              <w:ind w:left="0" w:right="0" w:hanging="0"/>
              <w:jc w:val="both"/>
              <w:rPr/>
            </w:pPr>
            <w:r>
              <w:rPr/>
              <w:t> </w:t>
            </w:r>
          </w:p>
        </w:tc>
        <w:tc>
          <w:tcPr>
            <w:tcW w:w="365" w:type="dxa"/>
            <w:tcBorders>
              <w:top w:val="single" w:sz="8" w:space="0" w:color="000000"/>
            </w:tcBorders>
            <w:shd w:fill="CCEE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95"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95"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r>
      <w:tr>
        <w:trPr/>
        <w:tc>
          <w:tcPr>
            <w:tcW w:w="3665" w:type="dxa"/>
            <w:tcBorders/>
            <w:shd w:fill="FFFFFF" w:val="clear"/>
          </w:tcPr>
          <w:p>
            <w:pPr>
              <w:pStyle w:val="TableContents"/>
              <w:spacing w:before="0" w:after="1"/>
              <w:ind w:left="0" w:right="0" w:hanging="0"/>
              <w:jc w:val="both"/>
              <w:rPr>
                <w:b/>
                <w:sz w:val="17"/>
              </w:rPr>
            </w:pPr>
            <w:r>
              <w:rPr>
                <w:b/>
                <w:sz w:val="17"/>
              </w:rPr>
              <w:t>Cash flows from financing activities</w:t>
            </w:r>
          </w:p>
        </w:tc>
        <w:tc>
          <w:tcPr>
            <w:tcW w:w="365" w:type="dxa"/>
            <w:tcBorders/>
            <w:shd w:fill="FFFFFF" w:val="clear"/>
            <w:vAlign w:val="bottom"/>
          </w:tcPr>
          <w:p>
            <w:pPr>
              <w:pStyle w:val="TableContents"/>
              <w:spacing w:before="0" w:after="1"/>
              <w:ind w:left="0" w:right="0" w:hanging="0"/>
              <w:jc w:val="center"/>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95" w:type="dxa"/>
            <w:tcBorders/>
            <w:shd w:fill="FFFFFF" w:val="clear"/>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95" w:type="dxa"/>
            <w:tcBorders/>
            <w:shd w:fill="FFFFFF" w:val="clear"/>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tcPr>
          <w:p>
            <w:pPr>
              <w:pStyle w:val="TableContents"/>
              <w:spacing w:before="0" w:after="1"/>
              <w:ind w:left="0" w:right="0" w:hanging="0"/>
              <w:jc w:val="right"/>
              <w:rPr/>
            </w:pPr>
            <w:r>
              <w:rPr/>
              <w:t> </w:t>
            </w:r>
          </w:p>
        </w:tc>
      </w:tr>
      <w:tr>
        <w:trPr/>
        <w:tc>
          <w:tcPr>
            <w:tcW w:w="3665" w:type="dxa"/>
            <w:tcBorders>
              <w:bottom w:val="single" w:sz="8" w:space="0" w:color="000000"/>
            </w:tcBorders>
            <w:shd w:fill="CCEEFF" w:val="clear"/>
            <w:tcMar>
              <w:bottom w:w="28" w:type="dxa"/>
            </w:tcMar>
          </w:tcPr>
          <w:p>
            <w:pPr>
              <w:pStyle w:val="TableContents"/>
              <w:spacing w:before="0" w:after="1"/>
              <w:ind w:left="0" w:right="0" w:hanging="0"/>
              <w:jc w:val="both"/>
              <w:rPr>
                <w:sz w:val="17"/>
              </w:rPr>
            </w:pPr>
            <w:r>
              <w:rPr>
                <w:sz w:val="17"/>
              </w:rPr>
              <w:t>Distributions to Joint Venturers</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(4,050,000)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(2,100,000)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(2,550,000) </w:t>
            </w:r>
          </w:p>
        </w:tc>
      </w:tr>
      <w:tr>
        <w:trPr/>
        <w:tc>
          <w:tcPr>
            <w:tcW w:w="3665" w:type="dxa"/>
            <w:tcBorders>
              <w:top w:val="single" w:sz="8" w:space="0" w:color="000000"/>
              <w:bottom w:val="single" w:sz="8" w:space="0" w:color="000000"/>
            </w:tcBorders>
            <w:shd w:fill="FFFFFF" w:val="clear"/>
            <w:tcMar>
              <w:top w:w="28" w:type="dxa"/>
              <w:bottom w:w="28" w:type="dxa"/>
            </w:tcMar>
          </w:tcPr>
          <w:p>
            <w:pPr>
              <w:pStyle w:val="TableContents"/>
              <w:spacing w:before="0" w:after="1"/>
              <w:ind w:left="0" w:right="0" w:hanging="0"/>
              <w:jc w:val="both"/>
              <w:rPr>
                <w:sz w:val="17"/>
              </w:rPr>
            </w:pPr>
            <w:r>
              <w:rPr>
                <w:sz w:val="17"/>
              </w:rPr>
              <w:t>Net cash used in financing activities</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95" w:type="dxa"/>
            <w:tcBorders>
              <w:top w:val="single" w:sz="8" w:space="0" w:color="000000"/>
              <w:bottom w:val="single" w:sz="8" w:space="0" w:color="000000"/>
            </w:tcBorders>
            <w:shd w:fill="FFFFFF" w:val="clear"/>
            <w:tcMar>
              <w:top w:w="28" w:type="dxa"/>
              <w:bottom w:w="28" w:type="dxa"/>
            </w:tcMar>
          </w:tcPr>
          <w:p>
            <w:pPr>
              <w:pStyle w:val="TableContents"/>
              <w:spacing w:before="0" w:after="283"/>
              <w:jc w:val="right"/>
              <w:rPr>
                <w:sz w:val="17"/>
              </w:rPr>
            </w:pPr>
            <w:r>
              <w:rPr>
                <w:sz w:val="17"/>
              </w:rPr>
              <w:t xml:space="preserve">(4,050,000)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995" w:type="dxa"/>
            <w:tcBorders>
              <w:top w:val="single" w:sz="8" w:space="0" w:color="000000"/>
              <w:bottom w:val="single" w:sz="8" w:space="0" w:color="000000"/>
            </w:tcBorders>
            <w:shd w:fill="FFFFFF" w:val="clear"/>
            <w:tcMar>
              <w:top w:w="28" w:type="dxa"/>
              <w:bottom w:w="28" w:type="dxa"/>
            </w:tcMar>
          </w:tcPr>
          <w:p>
            <w:pPr>
              <w:pStyle w:val="TableContents"/>
              <w:spacing w:before="0" w:after="283"/>
              <w:jc w:val="right"/>
              <w:rPr>
                <w:sz w:val="17"/>
              </w:rPr>
            </w:pPr>
            <w:r>
              <w:rPr>
                <w:sz w:val="17"/>
              </w:rPr>
              <w:t xml:space="preserve">(2,100,000)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010" w:type="dxa"/>
            <w:tcBorders>
              <w:top w:val="single" w:sz="8" w:space="0" w:color="000000"/>
              <w:bottom w:val="single" w:sz="8" w:space="0" w:color="000000"/>
            </w:tcBorders>
            <w:shd w:fill="FFFFFF" w:val="clear"/>
            <w:tcMar>
              <w:top w:w="28" w:type="dxa"/>
              <w:bottom w:w="28" w:type="dxa"/>
            </w:tcMar>
          </w:tcPr>
          <w:p>
            <w:pPr>
              <w:pStyle w:val="TableContents"/>
              <w:spacing w:before="0" w:after="283"/>
              <w:jc w:val="right"/>
              <w:rPr>
                <w:sz w:val="17"/>
              </w:rPr>
            </w:pPr>
            <w:r>
              <w:rPr>
                <w:sz w:val="17"/>
              </w:rPr>
              <w:t xml:space="preserve">(2,550,000) </w:t>
            </w:r>
          </w:p>
        </w:tc>
      </w:tr>
      <w:tr>
        <w:trPr/>
        <w:tc>
          <w:tcPr>
            <w:tcW w:w="3665" w:type="dxa"/>
            <w:tcBorders>
              <w:top w:val="single" w:sz="8" w:space="0" w:color="000000"/>
            </w:tcBorders>
            <w:shd w:fill="CCEEFF" w:val="clear"/>
            <w:tcMar>
              <w:top w:w="28" w:type="dxa"/>
            </w:tcMar>
          </w:tcPr>
          <w:p>
            <w:pPr>
              <w:pStyle w:val="TableContents"/>
              <w:spacing w:before="0" w:after="1"/>
              <w:ind w:left="0" w:right="0" w:hanging="0"/>
              <w:jc w:val="both"/>
              <w:rPr/>
            </w:pPr>
            <w:r>
              <w:rPr/>
              <w:t> </w:t>
            </w:r>
          </w:p>
        </w:tc>
        <w:tc>
          <w:tcPr>
            <w:tcW w:w="365" w:type="dxa"/>
            <w:tcBorders>
              <w:top w:val="single" w:sz="8" w:space="0" w:color="000000"/>
            </w:tcBorders>
            <w:shd w:fill="CCEEFF"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95"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95"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CCEEFF" w:val="clear"/>
            <w:tcMar>
              <w:top w:w="28" w:type="dxa"/>
            </w:tcMar>
          </w:tcPr>
          <w:p>
            <w:pPr>
              <w:pStyle w:val="TableContents"/>
              <w:spacing w:before="0" w:after="1"/>
              <w:ind w:left="0" w:right="0" w:hanging="0"/>
              <w:jc w:val="right"/>
              <w:rPr/>
            </w:pPr>
            <w:r>
              <w:rPr/>
              <w:t> </w:t>
            </w:r>
          </w:p>
        </w:tc>
      </w:tr>
      <w:tr>
        <w:trPr/>
        <w:tc>
          <w:tcPr>
            <w:tcW w:w="3665" w:type="dxa"/>
            <w:tcBorders/>
            <w:shd w:fill="FFFFFF" w:val="clear"/>
          </w:tcPr>
          <w:p>
            <w:pPr>
              <w:pStyle w:val="TableContents"/>
              <w:spacing w:before="0" w:after="1"/>
              <w:ind w:left="0" w:right="0" w:hanging="0"/>
              <w:jc w:val="both"/>
              <w:rPr>
                <w:sz w:val="17"/>
              </w:rPr>
            </w:pPr>
            <w:r>
              <w:rPr>
                <w:sz w:val="17"/>
              </w:rPr>
              <w:t>Net increase/ (decrease) in cash and cash equivalents</w:t>
            </w:r>
          </w:p>
        </w:tc>
        <w:tc>
          <w:tcPr>
            <w:tcW w:w="365" w:type="dxa"/>
            <w:tcBorders/>
            <w:shd w:fill="FFFFFF" w:val="clear"/>
            <w:vAlign w:val="bottom"/>
          </w:tcPr>
          <w:p>
            <w:pPr>
              <w:pStyle w:val="TableContents"/>
              <w:spacing w:before="0" w:after="1"/>
              <w:ind w:left="0" w:right="0" w:hanging="0"/>
              <w:jc w:val="center"/>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995" w:type="dxa"/>
            <w:tcBorders/>
            <w:shd w:fill="FFFFFF" w:val="clear"/>
          </w:tcPr>
          <w:p>
            <w:pPr>
              <w:pStyle w:val="TableContents"/>
              <w:spacing w:before="0" w:after="283"/>
              <w:jc w:val="right"/>
              <w:rPr>
                <w:sz w:val="17"/>
              </w:rPr>
            </w:pPr>
            <w:r>
              <w:rPr>
                <w:sz w:val="17"/>
              </w:rPr>
              <w:t xml:space="preserve">(692,116) </w:t>
            </w:r>
          </w:p>
        </w:tc>
        <w:tc>
          <w:tcPr>
            <w:tcW w:w="110" w:type="dxa"/>
            <w:tcBorders/>
            <w:shd w:fill="FFFFFF" w:val="clear"/>
            <w:vAlign w:val="bottom"/>
          </w:tcPr>
          <w:p>
            <w:pPr>
              <w:pStyle w:val="TableContents"/>
              <w:spacing w:before="0" w:after="1"/>
              <w:ind w:left="0" w:right="0" w:hanging="0"/>
              <w:jc w:val="right"/>
              <w:rPr/>
            </w:pPr>
            <w:r>
              <w:rPr/>
              <w:t> </w:t>
            </w:r>
          </w:p>
        </w:tc>
        <w:tc>
          <w:tcPr>
            <w:tcW w:w="995" w:type="dxa"/>
            <w:tcBorders/>
            <w:shd w:fill="FFFFFF" w:val="clear"/>
          </w:tcPr>
          <w:p>
            <w:pPr>
              <w:pStyle w:val="TableContents"/>
              <w:spacing w:before="0" w:after="283"/>
              <w:jc w:val="right"/>
              <w:rPr>
                <w:sz w:val="17"/>
              </w:rPr>
            </w:pPr>
            <w:r>
              <w:rPr>
                <w:sz w:val="17"/>
              </w:rPr>
              <w:t xml:space="preserve">88,024  </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tcPr>
          <w:p>
            <w:pPr>
              <w:pStyle w:val="TableContents"/>
              <w:spacing w:before="0" w:after="283"/>
              <w:jc w:val="right"/>
              <w:rPr>
                <w:sz w:val="17"/>
              </w:rPr>
            </w:pPr>
            <w:r>
              <w:rPr>
                <w:sz w:val="17"/>
              </w:rPr>
              <w:t xml:space="preserve">723,009  </w:t>
            </w:r>
          </w:p>
        </w:tc>
      </w:tr>
      <w:tr>
        <w:trPr/>
        <w:tc>
          <w:tcPr>
            <w:tcW w:w="3665" w:type="dxa"/>
            <w:tcBorders>
              <w:bottom w:val="single" w:sz="8" w:space="0" w:color="000000"/>
            </w:tcBorders>
            <w:shd w:fill="CCEEFF" w:val="clear"/>
            <w:tcMar>
              <w:bottom w:w="28" w:type="dxa"/>
            </w:tcMar>
          </w:tcPr>
          <w:p>
            <w:pPr>
              <w:pStyle w:val="TableContents"/>
              <w:spacing w:before="0" w:after="1"/>
              <w:ind w:left="0" w:right="0" w:hanging="0"/>
              <w:jc w:val="both"/>
              <w:rPr>
                <w:sz w:val="17"/>
              </w:rPr>
            </w:pPr>
            <w:r>
              <w:rPr>
                <w:sz w:val="17"/>
              </w:rPr>
              <w:t>Cash and cash equivalents at 1 January</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1,590,333 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95"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1,502,309 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tcPr>
          <w:p>
            <w:pPr>
              <w:pStyle w:val="TableContents"/>
              <w:spacing w:before="0" w:after="283"/>
              <w:jc w:val="right"/>
              <w:rPr>
                <w:sz w:val="17"/>
              </w:rPr>
            </w:pPr>
            <w:r>
              <w:rPr>
                <w:sz w:val="17"/>
              </w:rPr>
              <w:t xml:space="preserve">779,300  </w:t>
            </w:r>
          </w:p>
        </w:tc>
      </w:tr>
      <w:tr>
        <w:trPr/>
        <w:tc>
          <w:tcPr>
            <w:tcW w:w="3665" w:type="dxa"/>
            <w:tcBorders>
              <w:top w:val="single" w:sz="8" w:space="0" w:color="000000"/>
              <w:bottom w:val="single" w:sz="12" w:space="0" w:color="000000"/>
            </w:tcBorders>
            <w:shd w:fill="FFFFFF" w:val="clear"/>
            <w:tcMar>
              <w:top w:w="28" w:type="dxa"/>
              <w:bottom w:w="28" w:type="dxa"/>
            </w:tcMar>
          </w:tcPr>
          <w:p>
            <w:pPr>
              <w:pStyle w:val="TableContents"/>
              <w:spacing w:before="0" w:after="1"/>
              <w:ind w:left="0" w:right="0" w:hanging="0"/>
              <w:jc w:val="both"/>
              <w:rPr>
                <w:b/>
                <w:sz w:val="17"/>
              </w:rPr>
            </w:pPr>
            <w:r>
              <w:rPr>
                <w:b/>
                <w:sz w:val="17"/>
              </w:rPr>
              <w:t>Cash and cash equivalents at 31 December</w:t>
            </w:r>
          </w:p>
        </w:tc>
        <w:tc>
          <w:tcPr>
            <w:tcW w:w="3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center"/>
              <w:rPr>
                <w:sz w:val="17"/>
              </w:rPr>
            </w:pPr>
            <w:r>
              <w:rPr>
                <w:sz w:val="17"/>
              </w:rPr>
              <w:t>8</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95" w:type="dxa"/>
            <w:tcBorders>
              <w:top w:val="single" w:sz="8" w:space="0" w:color="000000"/>
              <w:bottom w:val="single" w:sz="12" w:space="0" w:color="000000"/>
            </w:tcBorders>
            <w:shd w:fill="FFFFFF" w:val="clear"/>
            <w:tcMar>
              <w:top w:w="28" w:type="dxa"/>
              <w:bottom w:w="28" w:type="dxa"/>
            </w:tcMar>
          </w:tcPr>
          <w:p>
            <w:pPr>
              <w:pStyle w:val="TableContents"/>
              <w:spacing w:before="0" w:after="283"/>
              <w:jc w:val="right"/>
              <w:rPr>
                <w:sz w:val="17"/>
              </w:rPr>
            </w:pPr>
            <w:r>
              <w:rPr>
                <w:sz w:val="17"/>
              </w:rPr>
              <w:t xml:space="preserve">898,217 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95" w:type="dxa"/>
            <w:tcBorders>
              <w:top w:val="single" w:sz="8" w:space="0" w:color="000000"/>
              <w:bottom w:val="single" w:sz="12" w:space="0" w:color="000000"/>
            </w:tcBorders>
            <w:shd w:fill="FFFFFF" w:val="clear"/>
            <w:tcMar>
              <w:top w:w="28" w:type="dxa"/>
              <w:bottom w:w="28" w:type="dxa"/>
            </w:tcMar>
          </w:tcPr>
          <w:p>
            <w:pPr>
              <w:pStyle w:val="TableContents"/>
              <w:spacing w:before="0" w:after="283"/>
              <w:jc w:val="right"/>
              <w:rPr>
                <w:sz w:val="17"/>
              </w:rPr>
            </w:pPr>
            <w:r>
              <w:rPr>
                <w:sz w:val="17"/>
              </w:rPr>
              <w:t xml:space="preserve">1,590,333 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12" w:space="0" w:color="000000"/>
            </w:tcBorders>
            <w:shd w:fill="FFFFFF" w:val="clear"/>
            <w:tcMar>
              <w:top w:w="28" w:type="dxa"/>
              <w:bottom w:w="28" w:type="dxa"/>
            </w:tcMar>
          </w:tcPr>
          <w:p>
            <w:pPr>
              <w:pStyle w:val="TableContents"/>
              <w:spacing w:before="0" w:after="283"/>
              <w:jc w:val="right"/>
              <w:rPr>
                <w:sz w:val="17"/>
              </w:rPr>
            </w:pPr>
            <w:r>
              <w:rPr>
                <w:sz w:val="17"/>
              </w:rPr>
              <w:t xml:space="preserve">1,502,309  </w:t>
            </w:r>
          </w:p>
        </w:tc>
      </w:tr>
    </w:tbl>
    <w:p>
      <w:pPr>
        <w:pStyle w:val="TextBody"/>
        <w:spacing w:before="0" w:after="0"/>
        <w:ind w:left="1440" w:right="0" w:hanging="0"/>
        <w:jc w:val="both"/>
        <w:rPr/>
      </w:pPr>
      <w:r>
        <w:rPr/>
        <w:t xml:space="preserve">  </w:t>
      </w:r>
    </w:p>
    <w:p>
      <w:pPr>
        <w:pStyle w:val="TextBody"/>
        <w:spacing w:before="0" w:after="200"/>
        <w:ind w:left="1440" w:right="0" w:hanging="0"/>
        <w:jc w:val="center"/>
        <w:rPr>
          <w:sz w:val="17"/>
        </w:rPr>
      </w:pPr>
      <w:r>
        <w:rPr>
          <w:sz w:val="17"/>
        </w:rPr>
        <w:t xml:space="preserve">The accompanying notes are an integral part of these financial statements. </w:t>
      </w:r>
    </w:p>
    <w:p>
      <w:pPr>
        <w:pStyle w:val="TextBody"/>
        <w:spacing w:before="100" w:after="100"/>
        <w:ind w:left="1440" w:right="0" w:hanging="0"/>
        <w:jc w:val="both"/>
        <w:rPr/>
      </w:pPr>
      <w:r>
        <w:rPr/>
        <w:t xml:space="preserve">  </w:t>
      </w:r>
    </w:p>
    <w:p>
      <w:pPr>
        <w:pStyle w:val="TextBody"/>
        <w:spacing w:before="100" w:after="1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sz w:val="17"/>
        </w:rPr>
      </w:pPr>
      <w:r>
        <w:rPr>
          <w:b/>
          <w:sz w:val="17"/>
        </w:rPr>
        <w:t>Mt. Gravatt Cinemas Joint Venture</w:t>
      </w:r>
      <w:r>
        <w:rPr>
          <w:sz w:val="17"/>
        </w:rPr>
        <w:t xml:space="preserve"> </w:t>
      </w:r>
    </w:p>
    <w:p>
      <w:pPr>
        <w:pStyle w:val="TextBody"/>
        <w:spacing w:before="0" w:after="0"/>
        <w:ind w:left="1440" w:right="0" w:hanging="0"/>
        <w:jc w:val="both"/>
        <w:rPr>
          <w:sz w:val="17"/>
        </w:rPr>
      </w:pPr>
      <w:r>
        <w:rPr>
          <w:b/>
          <w:sz w:val="17"/>
        </w:rPr>
        <w:t>Notes to Financial Statements</w:t>
      </w:r>
      <w:r>
        <w:rPr>
          <w:sz w:val="17"/>
        </w:rPr>
        <w:t xml:space="preserve"> </w:t>
      </w:r>
    </w:p>
    <w:p>
      <w:pPr>
        <w:pStyle w:val="TextBody"/>
        <w:spacing w:before="0" w:after="0"/>
        <w:ind w:left="1440" w:right="0" w:hanging="0"/>
        <w:jc w:val="both"/>
        <w:rPr>
          <w:sz w:val="17"/>
        </w:rPr>
      </w:pPr>
      <w:r>
        <w:rPr>
          <w:b/>
          <w:sz w:val="17"/>
        </w:rPr>
        <w:t>December 31, 2012</w:t>
      </w:r>
      <w:r>
        <w:rPr>
          <w:sz w:val="17"/>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1. Reporting entity</w:t>
      </w:r>
      <w:r>
        <w:rPr>
          <w:sz w:val="17"/>
        </w:rPr>
        <w:t xml:space="preserve"> </w:t>
      </w:r>
    </w:p>
    <w:p>
      <w:pPr>
        <w:pStyle w:val="TextBody"/>
        <w:spacing w:before="0" w:after="200"/>
        <w:ind w:left="1440" w:right="0" w:hanging="0"/>
        <w:jc w:val="both"/>
        <w:rPr/>
      </w:pPr>
      <w:r>
        <w:rPr/>
        <w:t>            </w:t>
      </w:r>
      <w:r>
        <w:rPr>
          <w:sz w:val="17"/>
        </w:rPr>
        <w:t xml:space="preserve">Mt. Gravatt Cinemas Joint Venture (the “Joint Venture”) is a legal joint venture between Birch Carrol &amp; Coyle Ltd, Reading Exhibition Pty Ltd and Village Roadshow Exhibition Pty Ltd.  The Joint Venture is domiciled and provides services solely in Australia. The address of the Joint Venture’s registered office is 227 Elizabeth Street, Sydney NSW 2000. The Joint Venture primarily is involved in the exhibition of motion pictures at one cinema site. </w:t>
      </w:r>
    </w:p>
    <w:p>
      <w:pPr>
        <w:pStyle w:val="TextBody"/>
        <w:spacing w:before="0" w:after="200"/>
        <w:ind w:left="1440" w:right="0" w:hanging="0"/>
        <w:jc w:val="both"/>
        <w:rPr/>
      </w:pPr>
      <w:r>
        <w:rPr/>
        <w:t>            </w:t>
      </w:r>
      <w:r>
        <w:rPr>
          <w:sz w:val="17"/>
        </w:rPr>
        <w:t xml:space="preserve">The joint venture is to continue in existence until the Joint Venture is terminated and associated underlying assets have been sold and the proceeds of sale distributed upon agreement of the members.  All distributions of earnings are required to be agreed upon and distributed evenly to the three Joint Venturers.  The three Joint Venturers will evenly contribute any future required contributions. </w:t>
      </w:r>
    </w:p>
    <w:p>
      <w:pPr>
        <w:pStyle w:val="TextBody"/>
        <w:spacing w:before="0" w:after="200"/>
        <w:ind w:left="1440" w:right="0" w:hanging="0"/>
        <w:jc w:val="both"/>
        <w:rPr>
          <w:sz w:val="17"/>
        </w:rPr>
      </w:pPr>
      <w:r>
        <w:rPr>
          <w:b/>
          <w:sz w:val="17"/>
        </w:rPr>
        <w:t>2.  Basis of presentation</w:t>
      </w:r>
      <w:r>
        <w:rPr>
          <w:sz w:val="17"/>
        </w:rPr>
        <w:t xml:space="preserve"> </w:t>
      </w:r>
    </w:p>
    <w:p>
      <w:pPr>
        <w:pStyle w:val="TextBody"/>
        <w:spacing w:before="0" w:after="200"/>
        <w:ind w:left="1440" w:right="0" w:firstLine="720"/>
        <w:jc w:val="both"/>
        <w:rPr>
          <w:sz w:val="17"/>
        </w:rPr>
      </w:pPr>
      <w:r>
        <w:rPr>
          <w:b/>
          <w:sz w:val="17"/>
        </w:rPr>
        <w:t>(a) Statement of compliance</w:t>
      </w:r>
      <w:r>
        <w:rPr>
          <w:sz w:val="17"/>
        </w:rPr>
        <w:t xml:space="preserve"> </w:t>
      </w:r>
    </w:p>
    <w:p>
      <w:pPr>
        <w:pStyle w:val="TextBody"/>
        <w:spacing w:before="0" w:after="200"/>
        <w:ind w:left="1440" w:right="0" w:firstLine="720"/>
        <w:jc w:val="both"/>
        <w:rPr>
          <w:sz w:val="17"/>
        </w:rPr>
      </w:pPr>
      <w:r>
        <w:rPr>
          <w:sz w:val="17"/>
        </w:rPr>
        <w:t xml:space="preserve">These financial statements are general purpose financial statements which have been prepared in accordance with the International Financial Reporting Standards (IFRSs) as issued by the International Accounting Standards Board. </w:t>
      </w:r>
    </w:p>
    <w:p>
      <w:pPr>
        <w:pStyle w:val="TextBody"/>
        <w:spacing w:before="0" w:after="200"/>
        <w:ind w:left="1440" w:right="0" w:firstLine="720"/>
        <w:jc w:val="both"/>
        <w:rPr>
          <w:sz w:val="17"/>
        </w:rPr>
      </w:pPr>
      <w:r>
        <w:rPr>
          <w:sz w:val="17"/>
        </w:rPr>
        <w:t xml:space="preserve">The financial year end of the Joint Venture is 30 June.  For purposes of the use of these financial statements by one of the Joint Venturers, these financial statements have been prepared on a 12-month period basis ending on 31 December. </w:t>
      </w:r>
    </w:p>
    <w:p>
      <w:pPr>
        <w:pStyle w:val="TextBody"/>
        <w:spacing w:before="0" w:after="200"/>
        <w:ind w:left="1440" w:right="0" w:firstLine="720"/>
        <w:jc w:val="both"/>
        <w:rPr>
          <w:sz w:val="17"/>
        </w:rPr>
      </w:pPr>
      <w:r>
        <w:rPr>
          <w:sz w:val="17"/>
        </w:rPr>
        <w:t xml:space="preserve">The financial statements were approved by the Management Committee on 4th March 2013. </w:t>
      </w:r>
    </w:p>
    <w:p>
      <w:pPr>
        <w:pStyle w:val="TextBody"/>
        <w:spacing w:before="0" w:after="200"/>
        <w:ind w:left="1440" w:right="0" w:firstLine="720"/>
        <w:jc w:val="both"/>
        <w:rPr>
          <w:sz w:val="17"/>
        </w:rPr>
      </w:pPr>
      <w:r>
        <w:rPr>
          <w:b/>
          <w:sz w:val="17"/>
        </w:rPr>
        <w:t>(b) Basis of measurement</w:t>
      </w:r>
      <w:r>
        <w:rPr>
          <w:sz w:val="17"/>
        </w:rPr>
        <w:t xml:space="preserve"> </w:t>
      </w:r>
    </w:p>
    <w:p>
      <w:pPr>
        <w:pStyle w:val="TextBody"/>
        <w:spacing w:before="0" w:after="200"/>
        <w:ind w:left="1440" w:right="0" w:hanging="0"/>
        <w:jc w:val="both"/>
        <w:rPr>
          <w:sz w:val="17"/>
        </w:rPr>
      </w:pPr>
      <w:r>
        <w:rPr>
          <w:sz w:val="17"/>
        </w:rPr>
        <w:t xml:space="preserve">The financial statements have been prepared on the historical cost basis.  The methods used to measure fair values are discussed further in Note 4, </w:t>
      </w:r>
      <w:r>
        <w:rPr>
          <w:i/>
          <w:sz w:val="17"/>
        </w:rPr>
        <w:t>Determination of fair values</w:t>
      </w:r>
      <w:r>
        <w:rPr>
          <w:sz w:val="17"/>
        </w:rPr>
        <w:t xml:space="preserve">. </w:t>
      </w:r>
    </w:p>
    <w:p>
      <w:pPr>
        <w:pStyle w:val="TextBody"/>
        <w:spacing w:before="0" w:after="200"/>
        <w:ind w:left="1440" w:right="0" w:firstLine="720"/>
        <w:jc w:val="both"/>
        <w:rPr>
          <w:sz w:val="17"/>
        </w:rPr>
      </w:pPr>
      <w:r>
        <w:rPr>
          <w:b/>
          <w:sz w:val="17"/>
        </w:rPr>
        <w:t>(c) Functional and presentation currency</w:t>
      </w:r>
      <w:r>
        <w:rPr>
          <w:sz w:val="17"/>
        </w:rPr>
        <w:t xml:space="preserve"> </w:t>
      </w:r>
    </w:p>
    <w:p>
      <w:pPr>
        <w:pStyle w:val="TextBody"/>
        <w:spacing w:before="0" w:after="200"/>
        <w:ind w:left="1440" w:right="0" w:hanging="0"/>
        <w:jc w:val="both"/>
        <w:rPr/>
      </w:pPr>
      <w:r>
        <w:rPr/>
        <w:t>            </w:t>
      </w:r>
      <w:r>
        <w:rPr>
          <w:sz w:val="17"/>
        </w:rPr>
        <w:t xml:space="preserve">These financial statements are presented in Australian dollars, which is also the Joint Venture’s functional currency.  Amounts in the financial statements have been rounded to the nearest dollar, unless otherwise stated. </w:t>
      </w:r>
    </w:p>
    <w:p>
      <w:pPr>
        <w:pStyle w:val="TextBody"/>
        <w:spacing w:before="0" w:after="200"/>
        <w:ind w:left="1440" w:right="0" w:firstLine="720"/>
        <w:jc w:val="both"/>
        <w:rPr>
          <w:sz w:val="17"/>
        </w:rPr>
      </w:pPr>
      <w:r>
        <w:rPr>
          <w:b/>
          <w:sz w:val="17"/>
        </w:rPr>
        <w:t>(d) Use of estimates and judgments</w:t>
      </w:r>
      <w:r>
        <w:rPr>
          <w:sz w:val="17"/>
        </w:rPr>
        <w:t xml:space="preserve"> </w:t>
      </w:r>
    </w:p>
    <w:p>
      <w:pPr>
        <w:pStyle w:val="TextBody"/>
        <w:spacing w:before="0" w:after="200"/>
        <w:ind w:left="1440" w:right="0" w:hanging="0"/>
        <w:jc w:val="both"/>
        <w:rPr/>
      </w:pPr>
      <w:r>
        <w:rPr/>
        <w:t>            </w:t>
      </w:r>
      <w:r>
        <w:rPr>
          <w:sz w:val="17"/>
        </w:rPr>
        <w:t xml:space="preserve">The preparation of financial statements in accordance with IFRS requires management to make judgements, estimates and assumptions that affect the application of accounting policies and the reported amounts of assets, liabilities, income and expenses. Actual results may differ from these estimates. </w:t>
      </w:r>
    </w:p>
    <w:p>
      <w:pPr>
        <w:pStyle w:val="TextBody"/>
        <w:spacing w:before="0" w:after="200"/>
        <w:ind w:left="1440" w:right="0" w:hanging="0"/>
        <w:jc w:val="both"/>
        <w:rPr/>
      </w:pPr>
      <w:r>
        <w:rPr/>
        <w:t>            </w:t>
      </w:r>
      <w:r>
        <w:rPr>
          <w:sz w:val="17"/>
        </w:rPr>
        <w:t xml:space="preserve">Estimates and underlying assumptions are reviewed on an ongoing basis. Revisions to accounting estimates are recognised in the period in which the estimate is revised and in any future periods affected. </w:t>
      </w:r>
    </w:p>
    <w:p>
      <w:pPr>
        <w:pStyle w:val="TextBody"/>
        <w:spacing w:before="0" w:after="200"/>
        <w:ind w:left="1440" w:right="0" w:hanging="0"/>
        <w:jc w:val="both"/>
        <w:rPr/>
      </w:pPr>
      <w:r>
        <w:rPr/>
        <w:t>            </w:t>
      </w:r>
      <w:r>
        <w:rPr>
          <w:sz w:val="17"/>
        </w:rPr>
        <w:t xml:space="preserve">In particular, information about significant areas of estimation uncertainty and critical judgements in applying accounting policies that have the most significant effect on the amount recognised in the financial statements are described in Note 15, </w:t>
      </w:r>
      <w:r>
        <w:rPr>
          <w:i/>
          <w:sz w:val="17"/>
        </w:rPr>
        <w:t>Financial instruments</w:t>
      </w:r>
      <w:r>
        <w:rPr>
          <w:sz w:val="17"/>
        </w:rPr>
        <w:t xml:space="preserve">. </w:t>
      </w:r>
    </w:p>
    <w:p>
      <w:pPr>
        <w:pStyle w:val="TextBody"/>
        <w:spacing w:before="0" w:after="200"/>
        <w:ind w:left="1440" w:right="0" w:hanging="0"/>
        <w:jc w:val="both"/>
        <w:rPr>
          <w:sz w:val="17"/>
        </w:rPr>
      </w:pPr>
      <w:r>
        <w:rPr>
          <w:b/>
          <w:sz w:val="17"/>
        </w:rPr>
        <w:t>3.</w:t>
      </w:r>
      <w:r>
        <w:rPr>
          <w:sz w:val="17"/>
        </w:rPr>
        <w:t xml:space="preserve"> </w:t>
      </w:r>
      <w:r>
        <w:rPr>
          <w:b/>
          <w:sz w:val="17"/>
        </w:rPr>
        <w:t xml:space="preserve">Significant accounting policies </w:t>
      </w:r>
    </w:p>
    <w:p>
      <w:pPr>
        <w:pStyle w:val="TextBody"/>
        <w:spacing w:before="0" w:after="200"/>
        <w:ind w:left="1440" w:right="0" w:hanging="0"/>
        <w:jc w:val="both"/>
        <w:rPr/>
      </w:pPr>
      <w:r>
        <w:rPr/>
        <w:t>            </w:t>
      </w:r>
      <w:r>
        <w:rPr>
          <w:sz w:val="17"/>
        </w:rPr>
        <w:t xml:space="preserve">The accounting policies set out below have been applied consistently to all periods presented in these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pPr>
      <w:r>
        <w:rPr/>
        <w:t>            </w:t>
      </w:r>
      <w:r>
        <w:rPr>
          <w:sz w:val="17"/>
        </w:rPr>
        <w:t xml:space="preserve">The Joint Venture has not elected to early adopt any accounting standards and amendments.  See Note 3(n). </w:t>
      </w:r>
    </w:p>
    <w:p>
      <w:pPr>
        <w:pStyle w:val="TextBody"/>
        <w:spacing w:before="0" w:after="200"/>
        <w:ind w:left="1440" w:right="0" w:firstLine="720"/>
        <w:jc w:val="both"/>
        <w:rPr>
          <w:sz w:val="17"/>
        </w:rPr>
      </w:pPr>
      <w:r>
        <w:rPr>
          <w:b/>
          <w:sz w:val="17"/>
        </w:rPr>
        <w:t>(a) Financial instruments</w:t>
      </w:r>
      <w:r>
        <w:rPr>
          <w:sz w:val="17"/>
        </w:rPr>
        <w:t xml:space="preserve"> </w:t>
      </w:r>
    </w:p>
    <w:p>
      <w:pPr>
        <w:pStyle w:val="TextBody"/>
        <w:spacing w:before="0" w:after="200"/>
        <w:ind w:left="1440" w:right="0" w:hanging="0"/>
        <w:jc w:val="both"/>
        <w:rPr/>
      </w:pPr>
      <w:r>
        <w:rPr/>
        <w:t>            </w:t>
      </w:r>
      <w:r>
        <w:rPr>
          <w:sz w:val="17"/>
        </w:rPr>
        <w:t xml:space="preserve">Non-derivative financial instruments comprise trade receivables, cash and cash equivalents, and trade payables. </w:t>
      </w:r>
    </w:p>
    <w:p>
      <w:pPr>
        <w:pStyle w:val="TextBody"/>
        <w:spacing w:before="0" w:after="200"/>
        <w:ind w:left="1440" w:right="0" w:hanging="0"/>
        <w:jc w:val="both"/>
        <w:rPr/>
      </w:pPr>
      <w:r>
        <w:rPr/>
        <w:t>            </w:t>
      </w:r>
      <w:r>
        <w:rPr>
          <w:sz w:val="17"/>
        </w:rPr>
        <w:t xml:space="preserve">Non-derivative financial instruments are recognised initially at fair value plus, for instruments not at fair value through profit or loss, any directly attributable transaction costs. Subsequent to initial recognition non-derivative financial instruments are measured as described below. </w:t>
      </w:r>
    </w:p>
    <w:p>
      <w:pPr>
        <w:pStyle w:val="TextBody"/>
        <w:spacing w:before="0" w:after="200"/>
        <w:ind w:left="1440" w:right="0" w:hanging="0"/>
        <w:jc w:val="both"/>
        <w:rPr/>
      </w:pPr>
      <w:r>
        <w:rPr/>
        <w:t>            </w:t>
      </w:r>
      <w:r>
        <w:rPr>
          <w:sz w:val="17"/>
        </w:rPr>
        <w:t xml:space="preserve">A financial instrument is recognised if the Joint Venture becomes a party to the contractual provisions of the instrument. Financial assets are derecognised if the Joint Venture’s contractual rights to the cash flows from the financial assets expire or if the Joint Venture transfers the financial asset to another party without retaining control or substantially all risks and rewards of the asset. Regular way purchases and sales of financial assets are accounted for at trade date, i.e., the date that the Joint Venture commits itself to purchase or sell the asset. Financial liabilities are derecognised if the Joint Venture’s obligations specified in the contract expire, are discharged or cancelled. </w:t>
      </w:r>
    </w:p>
    <w:p>
      <w:pPr>
        <w:pStyle w:val="TextBody"/>
        <w:spacing w:before="0" w:after="200"/>
        <w:ind w:left="1440" w:right="0" w:hanging="0"/>
        <w:jc w:val="both"/>
        <w:rPr/>
      </w:pPr>
      <w:r>
        <w:rPr/>
        <w:t>            </w:t>
      </w:r>
      <w:r>
        <w:rPr>
          <w:sz w:val="17"/>
        </w:rPr>
        <w:t xml:space="preserve">Cash and cash equivalents comprise cash balances and call deposits. Bank overdrafts that are repayable on demand and form an integral part of the Joint Venture’s cash management are included as a component of cash and cash equivalents for the purpose of the statement of cash flows. </w:t>
      </w:r>
    </w:p>
    <w:p>
      <w:pPr>
        <w:pStyle w:val="TextBody"/>
        <w:spacing w:before="0" w:after="200"/>
        <w:ind w:left="1440" w:right="0" w:hanging="0"/>
        <w:jc w:val="both"/>
        <w:rPr/>
      </w:pPr>
      <w:r>
        <w:rPr/>
        <w:t>            </w:t>
      </w:r>
      <w:r>
        <w:rPr>
          <w:sz w:val="17"/>
        </w:rPr>
        <w:t>Accounting for finance income and expense is discussed in Note 3(k),  </w:t>
      </w:r>
      <w:r>
        <w:rPr>
          <w:i/>
          <w:sz w:val="17"/>
        </w:rPr>
        <w:t>Finance income</w:t>
      </w:r>
      <w:r>
        <w:rPr>
          <w:sz w:val="17"/>
        </w:rPr>
        <w:t xml:space="preserve">. </w:t>
      </w:r>
    </w:p>
    <w:p>
      <w:pPr>
        <w:pStyle w:val="TextBody"/>
        <w:spacing w:before="0" w:after="200"/>
        <w:ind w:left="1440" w:right="0" w:firstLine="720"/>
        <w:jc w:val="both"/>
        <w:rPr>
          <w:sz w:val="17"/>
        </w:rPr>
      </w:pPr>
      <w:r>
        <w:rPr>
          <w:b/>
          <w:sz w:val="17"/>
        </w:rPr>
        <w:t>(b) Property, plant and equipment</w:t>
      </w:r>
      <w:r>
        <w:rPr>
          <w:sz w:val="17"/>
        </w:rPr>
        <w:t xml:space="preserve"> </w:t>
      </w:r>
    </w:p>
    <w:p>
      <w:pPr>
        <w:pStyle w:val="TextBody"/>
        <w:spacing w:before="0" w:after="200"/>
        <w:ind w:left="2160" w:right="0" w:firstLine="720"/>
        <w:jc w:val="both"/>
        <w:rPr>
          <w:sz w:val="17"/>
        </w:rPr>
      </w:pPr>
      <w:r>
        <w:rPr>
          <w:b/>
          <w:sz w:val="17"/>
        </w:rPr>
        <w:t>(i) Recognition and measurement</w:t>
      </w:r>
      <w:r>
        <w:rPr>
          <w:sz w:val="17"/>
        </w:rPr>
        <w:t xml:space="preserve"> </w:t>
      </w:r>
    </w:p>
    <w:p>
      <w:pPr>
        <w:pStyle w:val="TextBody"/>
        <w:spacing w:before="0" w:after="200"/>
        <w:ind w:left="1440" w:right="0" w:firstLine="720"/>
        <w:jc w:val="both"/>
        <w:rPr>
          <w:sz w:val="17"/>
        </w:rPr>
      </w:pPr>
      <w:r>
        <w:rPr>
          <w:sz w:val="17"/>
        </w:rPr>
        <w:t xml:space="preserve">Items of property, plant and equipment are measured at cost less accumulated depreciation. </w:t>
      </w:r>
    </w:p>
    <w:p>
      <w:pPr>
        <w:pStyle w:val="TextBody"/>
        <w:spacing w:before="0" w:after="200"/>
        <w:ind w:left="1440" w:right="0" w:firstLine="720"/>
        <w:jc w:val="both"/>
        <w:rPr>
          <w:sz w:val="17"/>
        </w:rPr>
      </w:pPr>
      <w:r>
        <w:rPr>
          <w:sz w:val="17"/>
        </w:rPr>
        <w:t xml:space="preserve">Cost includes expenditures that are directly attributable to the acquisition of the asset.  The cost of self-constructed assets includes the cost of materials and direct labour, any other costs directly attributable to bringing the asset to a working condition for its intended use.  Costs also may include purchases of property, plant and equipment.  Purchased software that is integral to the functionality of the related equipment is capitalised as part of that equipment. Borrowing costs related to the acquisition or construction of qualifying assets are capitalised as part of the cost of that asset. </w:t>
      </w:r>
    </w:p>
    <w:p>
      <w:pPr>
        <w:pStyle w:val="TextBody"/>
        <w:spacing w:before="0" w:after="200"/>
        <w:ind w:left="1440" w:right="0" w:firstLine="720"/>
        <w:jc w:val="both"/>
        <w:rPr>
          <w:sz w:val="17"/>
        </w:rPr>
      </w:pPr>
      <w:r>
        <w:rPr>
          <w:sz w:val="17"/>
        </w:rPr>
        <w:t xml:space="preserve">When parts of an item of property, plant and equipment have different useful lives, they are accounted for as separate items (major components) of property, plant and equipment. </w:t>
      </w:r>
    </w:p>
    <w:p>
      <w:pPr>
        <w:pStyle w:val="TextBody"/>
        <w:spacing w:before="0" w:after="200"/>
        <w:ind w:left="2160" w:right="0" w:firstLine="720"/>
        <w:jc w:val="both"/>
        <w:rPr>
          <w:b/>
          <w:sz w:val="17"/>
        </w:rPr>
      </w:pPr>
      <w:r>
        <w:rPr>
          <w:b/>
          <w:sz w:val="17"/>
        </w:rPr>
        <w:t xml:space="preserve">(ii) Subsequent costs </w:t>
      </w:r>
    </w:p>
    <w:p>
      <w:pPr>
        <w:pStyle w:val="TextBody"/>
        <w:spacing w:before="0" w:after="200"/>
        <w:ind w:left="1440" w:right="0" w:firstLine="720"/>
        <w:jc w:val="both"/>
        <w:rPr>
          <w:sz w:val="17"/>
        </w:rPr>
      </w:pPr>
      <w:r>
        <w:rPr>
          <w:sz w:val="17"/>
        </w:rPr>
        <w:t xml:space="preserve">The cost of replacing part of an item of property, plant and equipment is recognised in the carrying amount of the item if it is probable that the future economic benefits embodied within the part will flow to the Joint Venture and its cost can be measured reliably. The carrying amount of the replaced part is derecognised.  The costs of the day-to-day servicing of property, plant and equipment are recognised in profit or loss as incurred. </w:t>
      </w:r>
    </w:p>
    <w:p>
      <w:pPr>
        <w:pStyle w:val="TextBody"/>
        <w:spacing w:before="0" w:after="200"/>
        <w:ind w:left="2160" w:right="0" w:firstLine="720"/>
        <w:jc w:val="both"/>
        <w:rPr>
          <w:b/>
          <w:sz w:val="17"/>
        </w:rPr>
      </w:pPr>
      <w:r>
        <w:rPr>
          <w:b/>
          <w:sz w:val="17"/>
        </w:rPr>
        <w:t xml:space="preserve">(iii) Depreciation </w:t>
      </w:r>
    </w:p>
    <w:p>
      <w:pPr>
        <w:pStyle w:val="TextBody"/>
        <w:spacing w:before="0" w:after="200"/>
        <w:ind w:left="1440" w:right="0" w:firstLine="720"/>
        <w:jc w:val="both"/>
        <w:rPr>
          <w:sz w:val="17"/>
        </w:rPr>
      </w:pPr>
      <w:r>
        <w:rPr>
          <w:sz w:val="17"/>
        </w:rPr>
        <w:t xml:space="preserve">Depreciation is recognised in profit or loss on a straight-line basis over the estimated useful lives of each part of an item of property, plant and equipment. Leased assets are depreciated over the shorter of the lease term and their useful lives. Land is not depreciated. </w:t>
      </w:r>
    </w:p>
    <w:p>
      <w:pPr>
        <w:pStyle w:val="TextBody"/>
        <w:spacing w:before="0" w:after="200"/>
        <w:ind w:left="1440" w:right="0" w:firstLine="720"/>
        <w:jc w:val="both"/>
        <w:rPr>
          <w:sz w:val="17"/>
        </w:rPr>
      </w:pPr>
      <w:r>
        <w:rPr>
          <w:sz w:val="17"/>
        </w:rPr>
        <w:t xml:space="preserve">The estimated useful lives for the current and comparative periods are as follows: </w:t>
      </w:r>
    </w:p>
    <w:p>
      <w:pPr>
        <w:pStyle w:val="TextBody"/>
        <w:spacing w:before="0" w:after="0"/>
        <w:ind w:left="1440" w:right="0" w:hanging="0"/>
        <w:jc w:val="both"/>
        <w:rPr>
          <w:sz w:val="17"/>
        </w:rPr>
      </w:pPr>
      <w:r>
        <w:rPr>
          <w:sz w:val="17"/>
        </w:rPr>
        <w:t xml:space="preserve">Leasehold improvementsShorter of estimated useful life and term of lease </w:t>
      </w:r>
    </w:p>
    <w:p>
      <w:pPr>
        <w:pStyle w:val="TextBody"/>
        <w:spacing w:before="0" w:after="0"/>
        <w:ind w:left="1440" w:right="0" w:hanging="0"/>
        <w:jc w:val="both"/>
        <w:rPr>
          <w:sz w:val="17"/>
        </w:rPr>
      </w:pPr>
      <w:r>
        <w:rPr>
          <w:sz w:val="17"/>
        </w:rPr>
        <w:t xml:space="preserve">Plant and equipment3 to 20 years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200" w:after="200"/>
        <w:ind w:left="1440" w:right="0" w:firstLine="720"/>
        <w:jc w:val="both"/>
        <w:rPr>
          <w:sz w:val="17"/>
        </w:rPr>
      </w:pPr>
      <w:r>
        <w:rPr>
          <w:sz w:val="17"/>
        </w:rPr>
        <w:t xml:space="preserve">Depreciation methods, useful lives and residual values are reviewed at each financial year end and adjusted if appropriate. </w:t>
      </w:r>
    </w:p>
    <w:p>
      <w:pPr>
        <w:pStyle w:val="TextBody"/>
        <w:spacing w:before="0" w:after="200"/>
        <w:ind w:left="1440" w:right="0" w:firstLine="720"/>
        <w:jc w:val="both"/>
        <w:rPr>
          <w:b/>
          <w:sz w:val="17"/>
        </w:rPr>
      </w:pPr>
      <w:r>
        <w:rPr>
          <w:b/>
          <w:sz w:val="17"/>
        </w:rPr>
        <w:t xml:space="preserve">(c) Leased assets </w:t>
      </w:r>
    </w:p>
    <w:p>
      <w:pPr>
        <w:pStyle w:val="TextBody"/>
        <w:spacing w:before="0" w:after="200"/>
        <w:ind w:left="1440" w:right="0" w:hanging="0"/>
        <w:jc w:val="both"/>
        <w:rPr/>
      </w:pPr>
      <w:r>
        <w:rPr/>
        <w:t>            </w:t>
      </w:r>
      <w:r>
        <w:rPr>
          <w:sz w:val="17"/>
        </w:rPr>
        <w:t xml:space="preserve">Leases in which the Joint Venture assumes substantially all the risks and rewards of ownership are classified as finance leases. Upon initial recognition the leased asset is measured at an amount equal to the lower of its fair value and the present value of the minimum lease payments. Subsequent to initial recognition, the asset is accounted for in accordance with the accounting policy applicable to that asset. </w:t>
      </w:r>
    </w:p>
    <w:p>
      <w:pPr>
        <w:pStyle w:val="TextBody"/>
        <w:spacing w:before="0" w:after="200"/>
        <w:ind w:left="1440" w:right="0" w:hanging="0"/>
        <w:jc w:val="both"/>
        <w:rPr/>
      </w:pPr>
      <w:r>
        <w:rPr/>
        <w:t>            </w:t>
      </w:r>
      <w:r>
        <w:rPr>
          <w:sz w:val="17"/>
        </w:rPr>
        <w:t xml:space="preserve">Other leases are operating leases and are not recognised on the Joint Venture’s statement of financial position. </w:t>
      </w:r>
    </w:p>
    <w:p>
      <w:pPr>
        <w:pStyle w:val="TextBody"/>
        <w:spacing w:before="0" w:after="200"/>
        <w:ind w:left="1440" w:right="0" w:firstLine="720"/>
        <w:jc w:val="both"/>
        <w:rPr>
          <w:sz w:val="17"/>
        </w:rPr>
      </w:pPr>
      <w:r>
        <w:rPr>
          <w:b/>
          <w:sz w:val="17"/>
        </w:rPr>
        <w:t>(d) Inventories</w:t>
      </w:r>
      <w:r>
        <w:rPr>
          <w:sz w:val="17"/>
        </w:rPr>
        <w:t xml:space="preserve"> </w:t>
      </w:r>
    </w:p>
    <w:p>
      <w:pPr>
        <w:pStyle w:val="TextBody"/>
        <w:spacing w:before="0" w:after="200"/>
        <w:ind w:left="1440" w:right="0" w:hanging="0"/>
        <w:jc w:val="both"/>
        <w:rPr/>
      </w:pPr>
      <w:r>
        <w:rPr/>
        <w:t>            </w:t>
      </w:r>
      <w:r>
        <w:rPr>
          <w:sz w:val="17"/>
        </w:rPr>
        <w:t xml:space="preserve">Inventories are measured at the lower of cost and net realisable value. The cost of inventories is based on the first-in first-out principle, and includes expenditure incurred in acquiring the inventories, and other costs incurred in bringing them to their existing location and condition.  Net realizable value is the estimated selling price in the ordinary course of business, less the estimated costs of completion and selling expenses. </w:t>
      </w:r>
    </w:p>
    <w:p>
      <w:pPr>
        <w:pStyle w:val="TextBody"/>
        <w:spacing w:before="0" w:after="200"/>
        <w:ind w:left="1440" w:right="0" w:firstLine="720"/>
        <w:jc w:val="both"/>
        <w:rPr>
          <w:sz w:val="17"/>
        </w:rPr>
      </w:pPr>
      <w:r>
        <w:rPr>
          <w:b/>
          <w:sz w:val="17"/>
        </w:rPr>
        <w:t>(e) Impairment</w:t>
      </w:r>
      <w:r>
        <w:rPr>
          <w:sz w:val="17"/>
        </w:rPr>
        <w:t xml:space="preserve"> </w:t>
      </w:r>
    </w:p>
    <w:p>
      <w:pPr>
        <w:pStyle w:val="TextBody"/>
        <w:spacing w:before="0" w:after="200"/>
        <w:ind w:left="2160" w:right="0" w:firstLine="720"/>
        <w:jc w:val="both"/>
        <w:rPr>
          <w:sz w:val="17"/>
        </w:rPr>
      </w:pPr>
      <w:r>
        <w:rPr>
          <w:b/>
          <w:sz w:val="17"/>
        </w:rPr>
        <w:t>(i) Financial assets</w:t>
      </w:r>
      <w:r>
        <w:rPr>
          <w:sz w:val="17"/>
        </w:rPr>
        <w:t xml:space="preserve"> </w:t>
      </w:r>
    </w:p>
    <w:p>
      <w:pPr>
        <w:pStyle w:val="TextBody"/>
        <w:spacing w:before="0" w:after="200"/>
        <w:ind w:left="1440" w:right="0" w:hanging="0"/>
        <w:jc w:val="both"/>
        <w:rPr>
          <w:sz w:val="17"/>
        </w:rPr>
      </w:pPr>
      <w:r>
        <w:rPr>
          <w:sz w:val="17"/>
        </w:rPr>
        <w:t xml:space="preserve">A financial asset is assessed at each reporting date to determine whether there is any objective evidence that it is impaired.  A financial asset is impaired if objective evidence indicates that a loss event has occurred after the initial recognition of the asset, and that loss event had a negative effect on the estimated future cash flows of that asset that can be estimated reliably. </w:t>
      </w:r>
    </w:p>
    <w:p>
      <w:pPr>
        <w:pStyle w:val="TextBody"/>
        <w:spacing w:before="0" w:after="200"/>
        <w:ind w:left="1440" w:right="0" w:firstLine="720"/>
        <w:jc w:val="both"/>
        <w:rPr>
          <w:sz w:val="17"/>
        </w:rPr>
      </w:pPr>
      <w:r>
        <w:rPr>
          <w:sz w:val="17"/>
        </w:rPr>
        <w:t xml:space="preserve">An impairment loss in respect of a financial asset measured at amortised cost is calculated as the difference between its carrying amount, and the present value of the estimated future cash flows discounted at the original effective interest rate. Losses are recognised in profit or loss and reflected in an allowance against the relevant asset.  When a subsequent event causes the amount of impairment loss to decrease, the decrease in impairment loss is reversed through profit or loss. </w:t>
      </w:r>
    </w:p>
    <w:p>
      <w:pPr>
        <w:pStyle w:val="TextBody"/>
        <w:spacing w:before="0" w:after="200"/>
        <w:ind w:left="2160" w:right="0" w:firstLine="720"/>
        <w:jc w:val="both"/>
        <w:rPr>
          <w:sz w:val="17"/>
        </w:rPr>
      </w:pPr>
      <w:r>
        <w:rPr>
          <w:b/>
          <w:sz w:val="17"/>
        </w:rPr>
        <w:t>(ii) Non-financial assets</w:t>
      </w:r>
      <w:r>
        <w:rPr>
          <w:sz w:val="17"/>
        </w:rPr>
        <w:t xml:space="preserve"> </w:t>
      </w:r>
    </w:p>
    <w:p>
      <w:pPr>
        <w:pStyle w:val="TextBody"/>
        <w:spacing w:before="0" w:after="200"/>
        <w:ind w:left="1440" w:right="0" w:firstLine="720"/>
        <w:jc w:val="both"/>
        <w:rPr>
          <w:sz w:val="17"/>
        </w:rPr>
      </w:pPr>
      <w:r>
        <w:rPr>
          <w:sz w:val="17"/>
        </w:rPr>
        <w:t xml:space="preserve">The carrying amounts of the Joint Venture’s non-financial assets, other than inventories, are reviewed at each reporting date to determine whether there is any indication of impairment.  If any such indication exists then the asset’s recoverable amount is estimated. </w:t>
      </w:r>
    </w:p>
    <w:p>
      <w:pPr>
        <w:pStyle w:val="TextBody"/>
        <w:spacing w:before="0" w:after="200"/>
        <w:ind w:left="1440" w:right="0" w:firstLine="720"/>
        <w:jc w:val="both"/>
        <w:rPr>
          <w:sz w:val="17"/>
        </w:rPr>
      </w:pPr>
      <w:r>
        <w:rPr>
          <w:sz w:val="17"/>
        </w:rPr>
        <w:t xml:space="preserve">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  </w:t>
      </w:r>
    </w:p>
    <w:p>
      <w:pPr>
        <w:pStyle w:val="TextBody"/>
        <w:spacing w:before="0" w:after="200"/>
        <w:ind w:left="1440" w:right="0" w:firstLine="720"/>
        <w:jc w:val="both"/>
        <w:rPr>
          <w:sz w:val="17"/>
        </w:rPr>
      </w:pPr>
      <w:r>
        <w:rPr>
          <w:sz w:val="17"/>
        </w:rPr>
        <w:t xml:space="preserve">An impairment loss is recognised if the carrying amount of an asset or its cash-generating unit exceeds its recoverable amount.  Impairment losses are recognised in profit or loss. </w:t>
      </w:r>
    </w:p>
    <w:p>
      <w:pPr>
        <w:pStyle w:val="TextBody"/>
        <w:spacing w:before="0" w:after="200"/>
        <w:ind w:left="1440" w:right="0" w:firstLine="720"/>
        <w:jc w:val="both"/>
        <w:rPr>
          <w:sz w:val="17"/>
        </w:rPr>
      </w:pPr>
      <w:r>
        <w:rPr>
          <w:sz w:val="17"/>
        </w:rPr>
        <w:t xml:space="preserve">In respect of other assets, impairment losses recognised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amortisation, if no impairment loss had been recognised.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b/>
          <w:sz w:val="17"/>
        </w:rPr>
        <w:t>(f) Employee benefits</w:t>
      </w:r>
      <w:r>
        <w:rPr>
          <w:sz w:val="17"/>
        </w:rPr>
        <w:t xml:space="preserve"> </w:t>
      </w:r>
    </w:p>
    <w:p>
      <w:pPr>
        <w:pStyle w:val="TextBody"/>
        <w:spacing w:before="0" w:after="200"/>
        <w:ind w:left="2160" w:right="0" w:firstLine="720"/>
        <w:jc w:val="both"/>
        <w:rPr>
          <w:sz w:val="17"/>
        </w:rPr>
      </w:pPr>
      <w:r>
        <w:rPr>
          <w:b/>
          <w:sz w:val="17"/>
        </w:rPr>
        <w:t>(i) Long-term employee benefits</w:t>
      </w:r>
      <w:r>
        <w:rPr>
          <w:sz w:val="17"/>
        </w:rPr>
        <w:t xml:space="preserve"> </w:t>
      </w:r>
    </w:p>
    <w:p>
      <w:pPr>
        <w:pStyle w:val="TextBody"/>
        <w:spacing w:before="0" w:after="200"/>
        <w:ind w:left="1440" w:right="0" w:firstLine="720"/>
        <w:jc w:val="both"/>
        <w:rPr>
          <w:sz w:val="17"/>
        </w:rPr>
      </w:pPr>
      <w:r>
        <w:rPr>
          <w:sz w:val="17"/>
        </w:rPr>
        <w:t xml:space="preserve">The Joint Venture’s net obligation in respect of long-term employee benefits is the amount of future benefit that employees have earned in return for their service in the current and prior periods plus related on-costs; that benefit is discounted to determine its present value and the fair value of any related assets is deducted. </w:t>
      </w:r>
    </w:p>
    <w:p>
      <w:pPr>
        <w:pStyle w:val="TextBody"/>
        <w:spacing w:before="0" w:after="200"/>
        <w:ind w:left="2160" w:right="0" w:firstLine="720"/>
        <w:jc w:val="both"/>
        <w:rPr>
          <w:sz w:val="17"/>
        </w:rPr>
      </w:pPr>
      <w:r>
        <w:rPr>
          <w:b/>
          <w:sz w:val="17"/>
        </w:rPr>
        <w:t>(ii) Termination benefits</w:t>
      </w:r>
      <w:r>
        <w:rPr>
          <w:sz w:val="17"/>
        </w:rPr>
        <w:t xml:space="preserve"> </w:t>
      </w:r>
    </w:p>
    <w:p>
      <w:pPr>
        <w:pStyle w:val="TextBody"/>
        <w:spacing w:before="0" w:after="200"/>
        <w:ind w:left="1440" w:right="0" w:firstLine="720"/>
        <w:jc w:val="both"/>
        <w:rPr>
          <w:sz w:val="17"/>
        </w:rPr>
      </w:pPr>
      <w:r>
        <w:rPr>
          <w:sz w:val="17"/>
        </w:rPr>
        <w:t xml:space="preserve">Termination benefits are recognised as an expense when the Joint Venture is demonstrably committed,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recognised as an expense if the Joint Venture has made an offer of voluntary redundancy, it is probable that the offer will be accepted, and the number of acceptances can be estimated reliably. </w:t>
      </w:r>
    </w:p>
    <w:p>
      <w:pPr>
        <w:pStyle w:val="TextBody"/>
        <w:spacing w:before="0" w:after="200"/>
        <w:ind w:left="2160" w:right="0" w:firstLine="720"/>
        <w:jc w:val="both"/>
        <w:rPr>
          <w:sz w:val="17"/>
        </w:rPr>
      </w:pPr>
      <w:r>
        <w:rPr>
          <w:b/>
          <w:sz w:val="17"/>
        </w:rPr>
        <w:t>(iii) Short-term benefits</w:t>
      </w:r>
      <w:r>
        <w:rPr>
          <w:sz w:val="17"/>
        </w:rPr>
        <w:t xml:space="preserve"> </w:t>
      </w:r>
    </w:p>
    <w:p>
      <w:pPr>
        <w:pStyle w:val="TextBody"/>
        <w:spacing w:before="0" w:after="200"/>
        <w:ind w:left="1440" w:right="0" w:firstLine="720"/>
        <w:jc w:val="both"/>
        <w:rPr>
          <w:sz w:val="17"/>
        </w:rPr>
      </w:pPr>
      <w:r>
        <w:rPr>
          <w:sz w:val="17"/>
        </w:rPr>
        <w:t xml:space="preserve">Liabilities for employee benefits for wages, salaries, and annual leave represent present obligations resulting from employees’ services provided to reporting date and are calculated at undiscounted amounts based on remuneration wage and salary rates that the Joint Venture expects to pay as at reporting date including related on-costs, such as workers compensation insurance and payroll tax.  </w:t>
      </w:r>
    </w:p>
    <w:p>
      <w:pPr>
        <w:pStyle w:val="TextBody"/>
        <w:spacing w:before="0" w:after="200"/>
        <w:ind w:left="1440" w:right="0" w:firstLine="720"/>
        <w:jc w:val="both"/>
        <w:rPr>
          <w:sz w:val="17"/>
        </w:rPr>
      </w:pPr>
      <w:r>
        <w:rPr>
          <w:b/>
          <w:sz w:val="17"/>
        </w:rPr>
        <w:t>(g) Provisions</w:t>
      </w:r>
      <w:r>
        <w:rPr>
          <w:sz w:val="17"/>
        </w:rPr>
        <w:t xml:space="preserve"> </w:t>
      </w:r>
    </w:p>
    <w:p>
      <w:pPr>
        <w:pStyle w:val="TextBody"/>
        <w:spacing w:before="0" w:after="200"/>
        <w:ind w:left="1440" w:right="0" w:firstLine="720"/>
        <w:jc w:val="both"/>
        <w:rPr>
          <w:sz w:val="17"/>
        </w:rPr>
      </w:pPr>
      <w:r>
        <w:rPr>
          <w:sz w:val="17"/>
        </w:rPr>
        <w:t xml:space="preserve">A provision is recognised if, as a result of a past event, the Joint Venture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 </w:t>
      </w:r>
    </w:p>
    <w:p>
      <w:pPr>
        <w:pStyle w:val="TextBody"/>
        <w:spacing w:before="0" w:after="200"/>
        <w:ind w:left="1440" w:right="0" w:firstLine="720"/>
        <w:jc w:val="both"/>
        <w:rPr>
          <w:sz w:val="17"/>
        </w:rPr>
      </w:pPr>
      <w:r>
        <w:rPr>
          <w:b/>
          <w:sz w:val="17"/>
        </w:rPr>
        <w:t>(h) Contributed equity</w:t>
      </w:r>
      <w:r>
        <w:rPr>
          <w:sz w:val="17"/>
        </w:rPr>
        <w:t xml:space="preserve"> </w:t>
      </w:r>
    </w:p>
    <w:p>
      <w:pPr>
        <w:pStyle w:val="TextBody"/>
        <w:spacing w:before="0" w:after="200"/>
        <w:ind w:left="1440" w:right="0" w:firstLine="720"/>
        <w:jc w:val="both"/>
        <w:rPr>
          <w:sz w:val="17"/>
        </w:rPr>
      </w:pPr>
      <w:r>
        <w:rPr>
          <w:sz w:val="17"/>
        </w:rPr>
        <w:t xml:space="preserve">The Joint Venture is comprised of three parties who share an equal ownership over the Joint Venture.  The Contributed Equity amount represents the initial investment in the partnership.  Distributions to the partners are made on behalf of the Joint Venture and are recognised through retained earnings. </w:t>
      </w:r>
    </w:p>
    <w:p>
      <w:pPr>
        <w:pStyle w:val="TextBody"/>
        <w:spacing w:before="0" w:after="200"/>
        <w:ind w:left="1440" w:right="0" w:firstLine="720"/>
        <w:jc w:val="both"/>
        <w:rPr>
          <w:sz w:val="17"/>
        </w:rPr>
      </w:pPr>
      <w:r>
        <w:rPr>
          <w:b/>
          <w:sz w:val="17"/>
        </w:rPr>
        <w:t>(i) Revenue</w:t>
      </w:r>
      <w:r>
        <w:rPr>
          <w:sz w:val="17"/>
        </w:rPr>
        <w:t xml:space="preserve"> </w:t>
      </w:r>
    </w:p>
    <w:p>
      <w:pPr>
        <w:pStyle w:val="TextBody"/>
        <w:spacing w:before="0" w:after="200"/>
        <w:ind w:left="2160" w:right="0" w:firstLine="720"/>
        <w:jc w:val="both"/>
        <w:rPr>
          <w:sz w:val="17"/>
        </w:rPr>
      </w:pPr>
      <w:r>
        <w:rPr>
          <w:b/>
          <w:sz w:val="17"/>
        </w:rPr>
        <w:t>Rendering of service/sale of concessions</w:t>
      </w:r>
      <w:r>
        <w:rPr>
          <w:sz w:val="17"/>
        </w:rPr>
        <w:t xml:space="preserve"> </w:t>
      </w:r>
    </w:p>
    <w:p>
      <w:pPr>
        <w:pStyle w:val="TextBody"/>
        <w:spacing w:before="0" w:after="200"/>
        <w:ind w:left="1440" w:right="0" w:firstLine="720"/>
        <w:jc w:val="both"/>
        <w:rPr>
          <w:sz w:val="17"/>
        </w:rPr>
      </w:pPr>
      <w:r>
        <w:rPr>
          <w:sz w:val="17"/>
        </w:rPr>
        <w:t xml:space="preserve">Revenue is measured at the fair value of the consideration received or receivable, net of returns, trade discounts and value rebates.  Revenues are generated principally through admissions and concession sales with proceeds received in cash at the point of sale. Service revenue also includes product advertising and other ancillary revenues, such as booking fees, which are recognised as income in the period earned. The Joint Venture recognises payments received attributable to the advertising services provided by the Joint Venture under certain vendor programs as revenue in the period in which services are delivered. </w:t>
      </w:r>
    </w:p>
    <w:p>
      <w:pPr>
        <w:pStyle w:val="TextBody"/>
        <w:spacing w:before="0" w:after="200"/>
        <w:ind w:left="1440" w:right="0" w:firstLine="720"/>
        <w:jc w:val="both"/>
        <w:rPr>
          <w:sz w:val="17"/>
        </w:rPr>
      </w:pPr>
      <w:r>
        <w:rPr>
          <w:b/>
          <w:sz w:val="17"/>
        </w:rPr>
        <w:t>(j) Lease payments</w:t>
      </w:r>
      <w:r>
        <w:rPr>
          <w:sz w:val="17"/>
        </w:rPr>
        <w:t xml:space="preserve"> </w:t>
      </w:r>
    </w:p>
    <w:p>
      <w:pPr>
        <w:pStyle w:val="TextBody"/>
        <w:spacing w:before="0" w:after="200"/>
        <w:ind w:left="1440" w:right="0" w:firstLine="720"/>
        <w:jc w:val="both"/>
        <w:rPr>
          <w:sz w:val="17"/>
        </w:rPr>
      </w:pPr>
      <w:r>
        <w:rPr>
          <w:sz w:val="17"/>
        </w:rPr>
        <w:t xml:space="preserve">Payments made under operating leases are recognised in profit or loss on a straight-line basis over the term of the lease on a basis that is representative of the pattern of benefit derived from the leased property. </w:t>
      </w:r>
    </w:p>
    <w:p>
      <w:pPr>
        <w:pStyle w:val="TextBody"/>
        <w:spacing w:before="0" w:after="200"/>
        <w:ind w:left="1440" w:right="0" w:firstLine="720"/>
        <w:jc w:val="both"/>
        <w:rPr>
          <w:sz w:val="17"/>
        </w:rPr>
      </w:pPr>
      <w:r>
        <w:rPr>
          <w:b/>
          <w:sz w:val="17"/>
        </w:rPr>
        <w:t>(k) Finance income</w:t>
      </w:r>
      <w:r>
        <w:rPr>
          <w:sz w:val="17"/>
        </w:rPr>
        <w:t xml:space="preserve"> </w:t>
      </w:r>
    </w:p>
    <w:p>
      <w:pPr>
        <w:pStyle w:val="TextBody"/>
        <w:spacing w:before="0" w:after="200"/>
        <w:ind w:left="1440" w:right="0" w:firstLine="720"/>
        <w:jc w:val="both"/>
        <w:rPr>
          <w:sz w:val="17"/>
        </w:rPr>
      </w:pPr>
      <w:r>
        <w:rPr>
          <w:sz w:val="17"/>
        </w:rPr>
        <w:t xml:space="preserve">Finance income comprises interest income on cash held in financial institutions.  Interest income is recognised as it accrues in profit or loss using the effective interest method.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20"/>
        <w:jc w:val="both"/>
        <w:rPr>
          <w:sz w:val="17"/>
        </w:rPr>
      </w:pPr>
      <w:r>
        <w:rPr>
          <w:b/>
          <w:sz w:val="17"/>
        </w:rPr>
        <w:t>(l) Taxes</w:t>
      </w:r>
      <w:r>
        <w:rPr>
          <w:sz w:val="17"/>
        </w:rPr>
        <w:t xml:space="preserve"> </w:t>
      </w:r>
    </w:p>
    <w:p>
      <w:pPr>
        <w:pStyle w:val="TextBody"/>
        <w:spacing w:before="0" w:after="200"/>
        <w:ind w:left="2160" w:right="0" w:firstLine="720"/>
        <w:jc w:val="both"/>
        <w:rPr>
          <w:sz w:val="17"/>
        </w:rPr>
      </w:pPr>
      <w:r>
        <w:rPr>
          <w:b/>
          <w:sz w:val="17"/>
        </w:rPr>
        <w:t>(i) Goods and service tax</w:t>
      </w:r>
      <w:r>
        <w:rPr>
          <w:sz w:val="17"/>
        </w:rPr>
        <w:t xml:space="preserve"> </w:t>
      </w:r>
    </w:p>
    <w:p>
      <w:pPr>
        <w:pStyle w:val="TextBody"/>
        <w:spacing w:before="0" w:after="200"/>
        <w:ind w:left="1440" w:right="0" w:firstLine="720"/>
        <w:jc w:val="both"/>
        <w:rPr>
          <w:sz w:val="17"/>
        </w:rPr>
      </w:pPr>
      <w:r>
        <w:rPr>
          <w:sz w:val="17"/>
        </w:rPr>
        <w:t xml:space="preserve">Revenue, expenses and assets are recognised net of the amount of goods and services tax (GST), except where the amount of GST incurred is not recoverable from the taxation authority.  In these circumstances, the GST is recognised as part of the cost of acquisition of the asset or as part of the expense. </w:t>
      </w:r>
    </w:p>
    <w:p>
      <w:pPr>
        <w:pStyle w:val="TextBody"/>
        <w:spacing w:before="0" w:after="200"/>
        <w:ind w:left="1440" w:right="0" w:firstLine="720"/>
        <w:jc w:val="both"/>
        <w:rPr>
          <w:sz w:val="17"/>
        </w:rPr>
      </w:pPr>
      <w:r>
        <w:rPr>
          <w:sz w:val="17"/>
        </w:rPr>
        <w:t xml:space="preserve">Receivables and payables are stated with the amount of GST included.  The net amount of GST recoverable from, or payable to, the ATO is included as a current asset or liability in the balance sheet. </w:t>
      </w:r>
    </w:p>
    <w:p>
      <w:pPr>
        <w:pStyle w:val="TextBody"/>
        <w:spacing w:before="0" w:after="200"/>
        <w:ind w:left="1440" w:right="0" w:firstLine="720"/>
        <w:jc w:val="both"/>
        <w:rPr>
          <w:sz w:val="17"/>
        </w:rPr>
      </w:pPr>
      <w:r>
        <w:rPr>
          <w:sz w:val="17"/>
        </w:rPr>
        <w:t xml:space="preserve">Cash flows are included in the statement of cash flows on a gross basis.  The GST components of cash flows arising from investing and financing activities which are recoverable from, or payable to, the ATO are classified as operating cash flows. </w:t>
      </w:r>
    </w:p>
    <w:p>
      <w:pPr>
        <w:pStyle w:val="TextBody"/>
        <w:spacing w:before="0" w:after="200"/>
        <w:ind w:left="2160" w:right="0" w:firstLine="720"/>
        <w:jc w:val="both"/>
        <w:rPr>
          <w:sz w:val="17"/>
        </w:rPr>
      </w:pPr>
      <w:r>
        <w:rPr>
          <w:b/>
          <w:sz w:val="17"/>
        </w:rPr>
        <w:t>(ii) Income tax</w:t>
      </w:r>
      <w:r>
        <w:rPr>
          <w:sz w:val="17"/>
        </w:rPr>
        <w:t xml:space="preserve"> </w:t>
      </w:r>
    </w:p>
    <w:p>
      <w:pPr>
        <w:pStyle w:val="TextBody"/>
        <w:spacing w:before="0" w:after="200"/>
        <w:ind w:left="1440" w:right="0" w:firstLine="720"/>
        <w:jc w:val="both"/>
        <w:rPr>
          <w:sz w:val="17"/>
        </w:rPr>
      </w:pPr>
      <w:r>
        <w:rPr>
          <w:sz w:val="17"/>
        </w:rPr>
        <w:t xml:space="preserve">Under applicable Australian law, the Joint Venture is not subject to tax on earnings generated.  Accordingly the Joint Venture does not recognise any income tax expense, or deferred tax balances.  Earnings of the Joint Venture are taxed at the Joint Venturer level. </w:t>
      </w:r>
    </w:p>
    <w:p>
      <w:pPr>
        <w:pStyle w:val="TextBody"/>
        <w:spacing w:before="0" w:after="200"/>
        <w:ind w:left="1440" w:right="0" w:firstLine="720"/>
        <w:jc w:val="both"/>
        <w:rPr>
          <w:sz w:val="17"/>
        </w:rPr>
      </w:pPr>
      <w:r>
        <w:rPr>
          <w:b/>
          <w:sz w:val="17"/>
        </w:rPr>
        <w:t>(m) Film expense</w:t>
      </w:r>
      <w:r>
        <w:rPr>
          <w:sz w:val="17"/>
        </w:rPr>
        <w:t xml:space="preserve"> </w:t>
      </w:r>
    </w:p>
    <w:p>
      <w:pPr>
        <w:pStyle w:val="TextBody"/>
        <w:spacing w:before="0" w:after="200"/>
        <w:ind w:left="1440" w:right="0" w:firstLine="720"/>
        <w:jc w:val="both"/>
        <w:rPr>
          <w:sz w:val="17"/>
        </w:rPr>
      </w:pPr>
      <w:r>
        <w:rPr>
          <w:sz w:val="17"/>
        </w:rPr>
        <w:t xml:space="preserve">Film expense is incurred based on a contracted percentage of box office results for each film.  The Joint Venture negotiates terms with each film distributor on a film-by-film basis.  Percentage terms are based on a sliding scale, with the Joint Venture subject to a higher percentage of box office results when the film is initially released and declining each subsequent week.  Different films have different rates dependent upon the expected popularity of the film, and forecasted success. </w:t>
      </w:r>
    </w:p>
    <w:p>
      <w:pPr>
        <w:pStyle w:val="TextBody"/>
        <w:spacing w:before="0" w:after="200"/>
        <w:ind w:left="1440" w:right="0" w:firstLine="720"/>
        <w:jc w:val="both"/>
        <w:rPr>
          <w:sz w:val="17"/>
        </w:rPr>
      </w:pPr>
      <w:r>
        <w:rPr>
          <w:b/>
          <w:sz w:val="17"/>
        </w:rPr>
        <w:t>(n) New standards and interpretations not yet adopted</w:t>
      </w:r>
      <w:r>
        <w:rPr>
          <w:sz w:val="17"/>
        </w:rPr>
        <w:t xml:space="preserve"> </w:t>
      </w:r>
    </w:p>
    <w:p>
      <w:pPr>
        <w:pStyle w:val="TextBody"/>
        <w:spacing w:before="0" w:after="200"/>
        <w:ind w:left="1440" w:right="0" w:firstLine="720"/>
        <w:jc w:val="both"/>
        <w:rPr>
          <w:sz w:val="17"/>
        </w:rPr>
      </w:pPr>
      <w:r>
        <w:rPr>
          <w:sz w:val="17"/>
        </w:rPr>
        <w:t xml:space="preserve">The following standards, amendments to standards and interpretations have been identified as those which may impact the entity in the period of initial application. They are available for early adoption at 31 December 2012, but have not been applied in preparing this financial report: </w:t>
      </w:r>
    </w:p>
    <w:p>
      <w:pPr>
        <w:pStyle w:val="TextBody"/>
        <w:pBdr/>
        <w:spacing w:before="0" w:after="200"/>
        <w:ind w:left="2430" w:right="0" w:hanging="0"/>
        <w:jc w:val="both"/>
        <w:rPr>
          <w:sz w:val="17"/>
        </w:rPr>
      </w:pPr>
      <w:r>
        <w:rPr>
          <w:sz w:val="17"/>
        </w:rPr>
        <w:t xml:space="preserve">AASB 9 Financial Instruments (2010), AASB 9 Financial Instruments (2009) AASB 9 (2009) introduces new requirements for the classification and measurement of financial assets. Under AASB 9 (2009), financial assets are classified and measured based on the business model in which they are held and the characteristics of their contractual cash flows. AASB 9 (2010) introduces additions relating to financial liabilities. The IASB currently has an active project that may result in limited amendments to the classification and measurement requirements of AASB 9 and add new requirements to address the impairment of financial assets and hedge accounting.  </w:t>
      </w:r>
    </w:p>
    <w:p>
      <w:pPr>
        <w:pStyle w:val="TextBody"/>
        <w:pBdr/>
        <w:spacing w:before="0" w:after="200"/>
        <w:ind w:left="2430" w:right="0" w:hanging="0"/>
        <w:jc w:val="both"/>
        <w:rPr>
          <w:sz w:val="17"/>
        </w:rPr>
      </w:pPr>
      <w:r>
        <w:rPr>
          <w:sz w:val="17"/>
        </w:rPr>
        <w:t xml:space="preserve">AASB 9 (2010 and 2009) are effective for annual periods beginning on or after 1 January 2015 with early adoption permitted. The Company has not yet determined the potential effect of the standard. </w:t>
      </w:r>
    </w:p>
    <w:p>
      <w:pPr>
        <w:pStyle w:val="TextBody"/>
        <w:spacing w:before="0" w:after="200"/>
        <w:ind w:left="1440" w:right="0" w:firstLine="720"/>
        <w:jc w:val="both"/>
        <w:rPr>
          <w:sz w:val="17"/>
        </w:rPr>
      </w:pPr>
      <w:r>
        <w:rPr>
          <w:sz w:val="17"/>
        </w:rPr>
        <w:t xml:space="preserve">The Joint Venture does not consider that any other standards or interpretations issued by the IASB or the IFRIC, either applicable in the current year or not yet applicable, have, or will have, a significant impact on the financial statements. </w:t>
      </w:r>
    </w:p>
    <w:p>
      <w:pPr>
        <w:pStyle w:val="TextBody"/>
        <w:spacing w:before="0" w:after="200"/>
        <w:ind w:left="1440" w:right="0" w:firstLine="720"/>
        <w:jc w:val="both"/>
        <w:rPr>
          <w:sz w:val="17"/>
        </w:rPr>
      </w:pPr>
      <w:r>
        <w:rPr>
          <w:b/>
          <w:sz w:val="17"/>
        </w:rPr>
        <w:t>(o) Amounts paid or payable to the auditor</w:t>
      </w:r>
      <w:r>
        <w:rPr>
          <w:sz w:val="17"/>
        </w:rPr>
        <w:t xml:space="preserve"> </w:t>
      </w:r>
    </w:p>
    <w:p>
      <w:pPr>
        <w:pStyle w:val="TextBody"/>
        <w:spacing w:before="0" w:after="200"/>
        <w:ind w:left="1440" w:right="0" w:firstLine="720"/>
        <w:jc w:val="both"/>
        <w:rPr>
          <w:sz w:val="17"/>
        </w:rPr>
      </w:pPr>
      <w:r>
        <w:rPr>
          <w:sz w:val="17"/>
        </w:rPr>
        <w:t xml:space="preserve">The amounts paid or payable to the auditor for the audit of these financial statements has been borne by one of the Joint Venturers for which these financial statements have been prepared.  The auditor provided no non-audit service in the current or prior periods disclosed.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tbl>
      <w:tblPr>
        <w:tblW w:w="2755" w:type="dxa"/>
        <w:jc w:val="left"/>
        <w:tblInd w:w="1440" w:type="dxa"/>
        <w:tblCellMar>
          <w:top w:w="0" w:type="dxa"/>
          <w:left w:w="0" w:type="dxa"/>
          <w:bottom w:w="0" w:type="dxa"/>
          <w:right w:w="0" w:type="dxa"/>
        </w:tblCellMar>
      </w:tblPr>
      <w:tblGrid>
        <w:gridCol w:w="740"/>
        <w:gridCol w:w="60"/>
        <w:gridCol w:w="60"/>
        <w:gridCol w:w="60"/>
        <w:gridCol w:w="110"/>
        <w:gridCol w:w="800"/>
        <w:gridCol w:w="110"/>
        <w:gridCol w:w="815"/>
      </w:tblGrid>
      <w:tr>
        <w:trPr/>
        <w:tc>
          <w:tcPr>
            <w:tcW w:w="74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74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74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740"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Audit fees</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w:t>
            </w:r>
          </w:p>
        </w:tc>
        <w:tc>
          <w:tcPr>
            <w:tcW w:w="800" w:type="dxa"/>
            <w:tcBorders>
              <w:top w:val="single" w:sz="8" w:space="0" w:color="000000"/>
            </w:tcBorders>
            <w:shd w:fill="auto" w:val="clear"/>
            <w:tcMar>
              <w:top w:w="28" w:type="dxa"/>
            </w:tcMar>
            <w:vAlign w:val="bottom"/>
          </w:tcPr>
          <w:p>
            <w:pPr>
              <w:pStyle w:val="TableContents"/>
              <w:spacing w:before="0" w:after="283"/>
              <w:rPr/>
            </w:pPr>
            <w:r>
              <w:rPr/>
              <w:t xml:space="preserve">57,500 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815" w:type="dxa"/>
            <w:tcBorders>
              <w:top w:val="single" w:sz="8" w:space="0" w:color="000000"/>
            </w:tcBorders>
            <w:shd w:fill="auto" w:val="clear"/>
            <w:tcMar>
              <w:top w:w="28" w:type="dxa"/>
            </w:tcMar>
            <w:vAlign w:val="bottom"/>
          </w:tcPr>
          <w:p>
            <w:pPr>
              <w:pStyle w:val="TableContents"/>
              <w:spacing w:before="0" w:after="283"/>
              <w:rPr/>
            </w:pPr>
            <w:r>
              <w:rPr/>
              <w:t xml:space="preserve">57,500  </w:t>
            </w:r>
          </w:p>
        </w:tc>
      </w:tr>
    </w:tbl>
    <w:p>
      <w:pPr>
        <w:pStyle w:val="TextBody"/>
        <w:spacing w:before="0" w:after="0"/>
        <w:ind w:left="1440" w:right="0" w:hanging="0"/>
        <w:jc w:val="both"/>
        <w:rPr/>
      </w:pPr>
      <w:r>
        <w:rPr>
          <w:u w:val="single"/>
        </w:rPr>
        <w:t> </w:t>
      </w:r>
      <w:r>
        <w:rPr/>
        <w:t xml:space="preserve"> </w:t>
      </w:r>
    </w:p>
    <w:p>
      <w:pPr>
        <w:pStyle w:val="TextBody"/>
        <w:spacing w:before="0" w:after="200"/>
        <w:ind w:left="1440" w:right="0" w:hanging="0"/>
        <w:jc w:val="both"/>
        <w:rPr>
          <w:sz w:val="17"/>
        </w:rPr>
      </w:pPr>
      <w:r>
        <w:rPr>
          <w:b/>
          <w:sz w:val="17"/>
        </w:rPr>
        <w:t>4.</w:t>
      </w:r>
      <w:r>
        <w:rPr>
          <w:sz w:val="17"/>
        </w:rPr>
        <w:t xml:space="preserve"> </w:t>
      </w:r>
      <w:r>
        <w:rPr>
          <w:b/>
          <w:sz w:val="17"/>
        </w:rPr>
        <w:t>Determination of fair values</w:t>
      </w:r>
      <w:r>
        <w:rPr>
          <w:sz w:val="17"/>
        </w:rPr>
        <w:t xml:space="preserve"> </w:t>
      </w:r>
    </w:p>
    <w:p>
      <w:pPr>
        <w:pStyle w:val="TextBody"/>
        <w:spacing w:before="0" w:after="200"/>
        <w:ind w:left="1440" w:right="0" w:firstLine="720"/>
        <w:jc w:val="both"/>
        <w:rPr>
          <w:sz w:val="17"/>
        </w:rPr>
      </w:pPr>
      <w:r>
        <w:rPr>
          <w:sz w:val="17"/>
        </w:rPr>
        <w:t xml:space="preserve">A number of the Joint Venture’s accounting policies and disclosures require the determination of fair value, for both financial and non-financial assets and liabilities. Fair values have been determined for measurement and disclosure purposes based on the following methods. Where applicable, further information about the assumptions made in determining fair values is disclosed in the notes specific to that asset or liability. </w:t>
      </w:r>
    </w:p>
    <w:p>
      <w:pPr>
        <w:pStyle w:val="TextBody"/>
        <w:spacing w:before="0" w:after="200"/>
        <w:ind w:left="2160" w:right="0" w:firstLine="720"/>
        <w:jc w:val="both"/>
        <w:rPr>
          <w:sz w:val="17"/>
        </w:rPr>
      </w:pPr>
      <w:r>
        <w:rPr>
          <w:b/>
          <w:sz w:val="17"/>
        </w:rPr>
        <w:t>(i) Trade and other receivables</w:t>
      </w:r>
      <w:r>
        <w:rPr>
          <w:sz w:val="17"/>
        </w:rPr>
        <w:t xml:space="preserve"> </w:t>
      </w:r>
    </w:p>
    <w:p>
      <w:pPr>
        <w:pStyle w:val="TextBody"/>
        <w:spacing w:before="0" w:after="200"/>
        <w:ind w:left="1440" w:right="0" w:firstLine="720"/>
        <w:jc w:val="both"/>
        <w:rPr>
          <w:sz w:val="17"/>
        </w:rPr>
      </w:pPr>
      <w:r>
        <w:rPr>
          <w:sz w:val="17"/>
        </w:rPr>
        <w:t xml:space="preserve">The fair value of trade and other receivables is estimated as the present value of future cash flows, discounted at the market rate of interest at the reporting date. </w:t>
      </w:r>
    </w:p>
    <w:p>
      <w:pPr>
        <w:pStyle w:val="TextBody"/>
        <w:spacing w:before="0" w:after="200"/>
        <w:ind w:left="2160" w:right="0" w:firstLine="720"/>
        <w:jc w:val="both"/>
        <w:rPr>
          <w:sz w:val="17"/>
        </w:rPr>
      </w:pPr>
      <w:r>
        <w:rPr>
          <w:b/>
          <w:sz w:val="17"/>
        </w:rPr>
        <w:t>(ii) Non-derivative financial liabilities</w:t>
      </w:r>
      <w:r>
        <w:rPr>
          <w:sz w:val="17"/>
        </w:rPr>
        <w:t xml:space="preserve"> </w:t>
      </w:r>
    </w:p>
    <w:p>
      <w:pPr>
        <w:pStyle w:val="TextBody"/>
        <w:spacing w:before="0" w:after="200"/>
        <w:ind w:left="1440" w:right="0" w:firstLine="720"/>
        <w:jc w:val="both"/>
        <w:rPr>
          <w:sz w:val="17"/>
        </w:rPr>
      </w:pPr>
      <w:r>
        <w:rPr>
          <w:sz w:val="17"/>
        </w:rPr>
        <w:t xml:space="preserve">Fair value, which is determined for disclosure purposes, is calculated based on the present value of future principal and interest cash flows, discounted at the market rate of interest at the reporting date. </w:t>
      </w:r>
    </w:p>
    <w:p>
      <w:pPr>
        <w:pStyle w:val="TextBody"/>
        <w:spacing w:before="0" w:after="200"/>
        <w:ind w:left="1440" w:right="0" w:hanging="0"/>
        <w:jc w:val="both"/>
        <w:rPr>
          <w:sz w:val="17"/>
        </w:rPr>
      </w:pPr>
      <w:r>
        <w:rPr>
          <w:b/>
          <w:sz w:val="17"/>
        </w:rPr>
        <w:t>5.</w:t>
      </w:r>
      <w:r>
        <w:rPr>
          <w:sz w:val="17"/>
        </w:rPr>
        <w:t xml:space="preserve"> </w:t>
      </w:r>
      <w:r>
        <w:rPr>
          <w:b/>
          <w:sz w:val="17"/>
        </w:rPr>
        <w:t>Revenue from rendering of services</w:t>
      </w:r>
      <w:r>
        <w:rPr>
          <w:sz w:val="17"/>
        </w:rPr>
        <w:t xml:space="preserve"> </w:t>
      </w:r>
    </w:p>
    <w:p>
      <w:pPr>
        <w:pStyle w:val="TextBody"/>
        <w:spacing w:before="0" w:after="0"/>
        <w:ind w:left="1440" w:right="0" w:hanging="0"/>
        <w:jc w:val="both"/>
        <w:rPr/>
      </w:pPr>
      <w:r>
        <w:rPr/>
        <w:t xml:space="preserve">  </w:t>
      </w:r>
    </w:p>
    <w:tbl>
      <w:tblPr>
        <w:tblW w:w="4715" w:type="dxa"/>
        <w:jc w:val="left"/>
        <w:tblInd w:w="1440" w:type="dxa"/>
        <w:tblCellMar>
          <w:top w:w="0" w:type="dxa"/>
          <w:left w:w="0" w:type="dxa"/>
          <w:bottom w:w="0" w:type="dxa"/>
          <w:right w:w="0" w:type="dxa"/>
        </w:tblCellMar>
      </w:tblPr>
      <w:tblGrid>
        <w:gridCol w:w="1550"/>
        <w:gridCol w:w="60"/>
        <w:gridCol w:w="110"/>
        <w:gridCol w:w="920"/>
        <w:gridCol w:w="110"/>
        <w:gridCol w:w="920"/>
        <w:gridCol w:w="110"/>
        <w:gridCol w:w="935"/>
      </w:tblGrid>
      <w:tr>
        <w:trPr/>
        <w:tc>
          <w:tcPr>
            <w:tcW w:w="15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15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center"/>
              <w:rPr/>
            </w:pPr>
            <w:r>
              <w:rPr/>
              <w:t> </w:t>
            </w:r>
          </w:p>
        </w:tc>
      </w:tr>
      <w:tr>
        <w:trPr/>
        <w:tc>
          <w:tcPr>
            <w:tcW w:w="155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155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 xml:space="preserve">Box office revenue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9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9,508,154 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92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9,019,423 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93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9,659,151  </w:t>
            </w:r>
          </w:p>
        </w:tc>
      </w:tr>
      <w:tr>
        <w:trPr/>
        <w:tc>
          <w:tcPr>
            <w:tcW w:w="1550" w:type="dxa"/>
            <w:tcBorders/>
            <w:shd w:fill="FFFFFF" w:val="clear"/>
            <w:vAlign w:val="bottom"/>
          </w:tcPr>
          <w:p>
            <w:pPr>
              <w:pStyle w:val="TableContents"/>
              <w:spacing w:before="0" w:after="1"/>
              <w:ind w:left="0" w:right="0" w:hanging="0"/>
              <w:jc w:val="both"/>
              <w:rPr>
                <w:sz w:val="17"/>
              </w:rPr>
            </w:pPr>
            <w:r>
              <w:rPr>
                <w:sz w:val="17"/>
              </w:rPr>
              <w:t>Screen advertising</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both"/>
              <w:rPr/>
            </w:pPr>
            <w:r>
              <w:rPr/>
              <w:t> </w:t>
            </w:r>
          </w:p>
        </w:tc>
        <w:tc>
          <w:tcPr>
            <w:tcW w:w="920" w:type="dxa"/>
            <w:tcBorders/>
            <w:shd w:fill="FFFFFF" w:val="clear"/>
            <w:vAlign w:val="bottom"/>
          </w:tcPr>
          <w:p>
            <w:pPr>
              <w:pStyle w:val="TableContents"/>
              <w:spacing w:before="0" w:after="283"/>
              <w:jc w:val="right"/>
              <w:rPr>
                <w:sz w:val="17"/>
              </w:rPr>
            </w:pPr>
            <w:r>
              <w:rPr>
                <w:sz w:val="17"/>
              </w:rPr>
              <w:t xml:space="preserve">286,501  </w:t>
            </w:r>
          </w:p>
        </w:tc>
        <w:tc>
          <w:tcPr>
            <w:tcW w:w="110" w:type="dxa"/>
            <w:tcBorders/>
            <w:shd w:fill="FFFFFF" w:val="clear"/>
            <w:vAlign w:val="bottom"/>
          </w:tcPr>
          <w:p>
            <w:pPr>
              <w:pStyle w:val="TableContents"/>
              <w:spacing w:before="0" w:after="1"/>
              <w:ind w:left="0" w:right="0" w:hanging="0"/>
              <w:jc w:val="both"/>
              <w:rPr/>
            </w:pPr>
            <w:r>
              <w:rPr/>
              <w:t> </w:t>
            </w:r>
          </w:p>
        </w:tc>
        <w:tc>
          <w:tcPr>
            <w:tcW w:w="920" w:type="dxa"/>
            <w:tcBorders/>
            <w:shd w:fill="FFFFFF" w:val="clear"/>
            <w:vAlign w:val="bottom"/>
          </w:tcPr>
          <w:p>
            <w:pPr>
              <w:pStyle w:val="TableContents"/>
              <w:spacing w:before="0" w:after="283"/>
              <w:jc w:val="right"/>
              <w:rPr>
                <w:sz w:val="17"/>
              </w:rPr>
            </w:pPr>
            <w:r>
              <w:rPr>
                <w:sz w:val="17"/>
              </w:rPr>
              <w:t xml:space="preserve">249,524  </w:t>
            </w:r>
          </w:p>
        </w:tc>
        <w:tc>
          <w:tcPr>
            <w:tcW w:w="110" w:type="dxa"/>
            <w:tcBorders/>
            <w:shd w:fill="FFFFFF" w:val="clear"/>
            <w:vAlign w:val="bottom"/>
          </w:tcPr>
          <w:p>
            <w:pPr>
              <w:pStyle w:val="TableContents"/>
              <w:spacing w:before="0" w:after="1"/>
              <w:ind w:left="0" w:right="0" w:hanging="0"/>
              <w:jc w:val="both"/>
              <w:rPr/>
            </w:pPr>
            <w:r>
              <w:rPr/>
              <w:t> </w:t>
            </w:r>
          </w:p>
        </w:tc>
        <w:tc>
          <w:tcPr>
            <w:tcW w:w="935" w:type="dxa"/>
            <w:tcBorders/>
            <w:shd w:fill="FFFFFF" w:val="clear"/>
            <w:vAlign w:val="bottom"/>
          </w:tcPr>
          <w:p>
            <w:pPr>
              <w:pStyle w:val="TableContents"/>
              <w:spacing w:before="0" w:after="283"/>
              <w:jc w:val="right"/>
              <w:rPr>
                <w:sz w:val="17"/>
              </w:rPr>
            </w:pPr>
            <w:r>
              <w:rPr>
                <w:sz w:val="17"/>
              </w:rPr>
              <w:t xml:space="preserve">251,325  </w:t>
            </w:r>
          </w:p>
        </w:tc>
      </w:tr>
      <w:tr>
        <w:trPr/>
        <w:tc>
          <w:tcPr>
            <w:tcW w:w="1550" w:type="dxa"/>
            <w:tcBorders/>
            <w:shd w:fill="CCEEFF" w:val="clear"/>
            <w:vAlign w:val="bottom"/>
          </w:tcPr>
          <w:p>
            <w:pPr>
              <w:pStyle w:val="TableContents"/>
              <w:spacing w:before="0" w:after="1"/>
              <w:ind w:left="0" w:right="0" w:hanging="0"/>
              <w:jc w:val="both"/>
              <w:rPr>
                <w:sz w:val="17"/>
              </w:rPr>
            </w:pPr>
            <w:r>
              <w:rPr>
                <w:sz w:val="17"/>
              </w:rPr>
              <w:t>Booking fees</w:t>
            </w:r>
          </w:p>
        </w:tc>
        <w:tc>
          <w:tcPr>
            <w:tcW w:w="60"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both"/>
              <w:rPr/>
            </w:pPr>
            <w:r>
              <w:rPr/>
              <w:t> </w:t>
            </w:r>
          </w:p>
        </w:tc>
        <w:tc>
          <w:tcPr>
            <w:tcW w:w="920" w:type="dxa"/>
            <w:tcBorders/>
            <w:shd w:fill="CCEEFF" w:val="clear"/>
            <w:vAlign w:val="bottom"/>
          </w:tcPr>
          <w:p>
            <w:pPr>
              <w:pStyle w:val="TableContents"/>
              <w:spacing w:before="0" w:after="283"/>
              <w:jc w:val="right"/>
              <w:rPr>
                <w:sz w:val="17"/>
              </w:rPr>
            </w:pPr>
            <w:r>
              <w:rPr>
                <w:sz w:val="17"/>
              </w:rPr>
              <w:t xml:space="preserve">268,180  </w:t>
            </w:r>
          </w:p>
        </w:tc>
        <w:tc>
          <w:tcPr>
            <w:tcW w:w="110" w:type="dxa"/>
            <w:tcBorders/>
            <w:shd w:fill="CCEEFF" w:val="clear"/>
            <w:vAlign w:val="bottom"/>
          </w:tcPr>
          <w:p>
            <w:pPr>
              <w:pStyle w:val="TableContents"/>
              <w:spacing w:before="0" w:after="1"/>
              <w:ind w:left="0" w:right="0" w:hanging="0"/>
              <w:jc w:val="both"/>
              <w:rPr/>
            </w:pPr>
            <w:r>
              <w:rPr/>
              <w:t> </w:t>
            </w:r>
          </w:p>
        </w:tc>
        <w:tc>
          <w:tcPr>
            <w:tcW w:w="920" w:type="dxa"/>
            <w:tcBorders/>
            <w:shd w:fill="CCEEFF" w:val="clear"/>
            <w:vAlign w:val="bottom"/>
          </w:tcPr>
          <w:p>
            <w:pPr>
              <w:pStyle w:val="TableContents"/>
              <w:spacing w:before="0" w:after="283"/>
              <w:jc w:val="right"/>
              <w:rPr>
                <w:sz w:val="17"/>
              </w:rPr>
            </w:pPr>
            <w:r>
              <w:rPr>
                <w:sz w:val="17"/>
              </w:rPr>
              <w:t xml:space="preserve">200,017  </w:t>
            </w:r>
          </w:p>
        </w:tc>
        <w:tc>
          <w:tcPr>
            <w:tcW w:w="110" w:type="dxa"/>
            <w:tcBorders/>
            <w:shd w:fill="CCEEFF" w:val="clear"/>
            <w:vAlign w:val="bottom"/>
          </w:tcPr>
          <w:p>
            <w:pPr>
              <w:pStyle w:val="TableContents"/>
              <w:spacing w:before="0" w:after="1"/>
              <w:ind w:left="0" w:right="0" w:hanging="0"/>
              <w:jc w:val="both"/>
              <w:rPr/>
            </w:pPr>
            <w:r>
              <w:rPr/>
              <w:t> </w:t>
            </w:r>
          </w:p>
        </w:tc>
        <w:tc>
          <w:tcPr>
            <w:tcW w:w="935" w:type="dxa"/>
            <w:tcBorders/>
            <w:shd w:fill="CCEEFF" w:val="clear"/>
            <w:vAlign w:val="bottom"/>
          </w:tcPr>
          <w:p>
            <w:pPr>
              <w:pStyle w:val="TableContents"/>
              <w:spacing w:before="0" w:after="283"/>
              <w:jc w:val="right"/>
              <w:rPr>
                <w:sz w:val="17"/>
              </w:rPr>
            </w:pPr>
            <w:r>
              <w:rPr>
                <w:sz w:val="17"/>
              </w:rPr>
              <w:t xml:space="preserve">187,206  </w:t>
            </w:r>
          </w:p>
        </w:tc>
      </w:tr>
      <w:tr>
        <w:trPr/>
        <w:tc>
          <w:tcPr>
            <w:tcW w:w="1550"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Other cinema services</w:t>
            </w:r>
          </w:p>
        </w:tc>
        <w:tc>
          <w:tcPr>
            <w:tcW w:w="6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626,605 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553,890 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93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280,550  </w:t>
            </w:r>
          </w:p>
        </w:tc>
      </w:tr>
      <w:tr>
        <w:trPr/>
        <w:tc>
          <w:tcPr>
            <w:tcW w:w="155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10,689,440 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10,022,854 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10,378,232 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6.</w:t>
      </w:r>
      <w:r>
        <w:rPr>
          <w:sz w:val="17"/>
        </w:rPr>
        <w:t xml:space="preserve"> </w:t>
      </w:r>
      <w:r>
        <w:rPr>
          <w:b/>
          <w:sz w:val="17"/>
        </w:rPr>
        <w:t>Personnel expenses</w:t>
      </w:r>
      <w:r>
        <w:rPr>
          <w:sz w:val="17"/>
        </w:rPr>
        <w:t xml:space="preserve"> </w:t>
      </w:r>
    </w:p>
    <w:p>
      <w:pPr>
        <w:pStyle w:val="TextBody"/>
        <w:spacing w:before="0" w:after="0"/>
        <w:ind w:left="1440" w:right="0" w:hanging="0"/>
        <w:jc w:val="both"/>
        <w:rPr/>
      </w:pPr>
      <w:r>
        <w:rPr/>
        <w:t xml:space="preserve">  </w:t>
      </w:r>
    </w:p>
    <w:tbl>
      <w:tblPr>
        <w:tblW w:w="5810" w:type="dxa"/>
        <w:jc w:val="left"/>
        <w:tblInd w:w="1440" w:type="dxa"/>
        <w:tblCellMar>
          <w:top w:w="0" w:type="dxa"/>
          <w:left w:w="0" w:type="dxa"/>
          <w:bottom w:w="0" w:type="dxa"/>
          <w:right w:w="0" w:type="dxa"/>
        </w:tblCellMar>
      </w:tblPr>
      <w:tblGrid>
        <w:gridCol w:w="2915"/>
        <w:gridCol w:w="60"/>
        <w:gridCol w:w="110"/>
        <w:gridCol w:w="830"/>
        <w:gridCol w:w="110"/>
        <w:gridCol w:w="830"/>
        <w:gridCol w:w="110"/>
        <w:gridCol w:w="845"/>
      </w:tblGrid>
      <w:tr>
        <w:trPr/>
        <w:tc>
          <w:tcPr>
            <w:tcW w:w="291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291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center"/>
              <w:rPr/>
            </w:pPr>
            <w:r>
              <w:rPr/>
              <w:t> </w:t>
            </w:r>
          </w:p>
        </w:tc>
      </w:tr>
      <w:tr>
        <w:trPr/>
        <w:tc>
          <w:tcPr>
            <w:tcW w:w="291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4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291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Wages and salaries</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83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1,767,789 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83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1,846,267 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84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1,987,041  </w:t>
            </w:r>
          </w:p>
        </w:tc>
      </w:tr>
      <w:tr>
        <w:trPr/>
        <w:tc>
          <w:tcPr>
            <w:tcW w:w="2915" w:type="dxa"/>
            <w:tcBorders/>
            <w:shd w:fill="FFFFFF" w:val="clear"/>
            <w:vAlign w:val="bottom"/>
          </w:tcPr>
          <w:p>
            <w:pPr>
              <w:pStyle w:val="TableContents"/>
              <w:spacing w:before="0" w:after="1"/>
              <w:ind w:left="0" w:right="0" w:hanging="0"/>
              <w:jc w:val="both"/>
              <w:rPr>
                <w:sz w:val="17"/>
              </w:rPr>
            </w:pPr>
            <w:r>
              <w:rPr>
                <w:sz w:val="17"/>
              </w:rPr>
              <w:t xml:space="preserve">Change in liability for annual leave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830" w:type="dxa"/>
            <w:tcBorders/>
            <w:shd w:fill="FFFFFF" w:val="clear"/>
            <w:vAlign w:val="bottom"/>
          </w:tcPr>
          <w:p>
            <w:pPr>
              <w:pStyle w:val="TableContents"/>
              <w:spacing w:before="0" w:after="283"/>
              <w:jc w:val="right"/>
              <w:rPr>
                <w:sz w:val="17"/>
              </w:rPr>
            </w:pPr>
            <w:r>
              <w:rPr>
                <w:sz w:val="17"/>
              </w:rPr>
              <w:t xml:space="preserve">65,274  </w:t>
            </w:r>
          </w:p>
        </w:tc>
        <w:tc>
          <w:tcPr>
            <w:tcW w:w="110" w:type="dxa"/>
            <w:tcBorders/>
            <w:shd w:fill="FFFFFF" w:val="clear"/>
            <w:vAlign w:val="bottom"/>
          </w:tcPr>
          <w:p>
            <w:pPr>
              <w:pStyle w:val="TableContents"/>
              <w:spacing w:before="0" w:after="1"/>
              <w:ind w:left="0" w:right="0" w:hanging="0"/>
              <w:jc w:val="right"/>
              <w:rPr/>
            </w:pPr>
            <w:r>
              <w:rPr/>
              <w:t> </w:t>
            </w:r>
          </w:p>
        </w:tc>
        <w:tc>
          <w:tcPr>
            <w:tcW w:w="830" w:type="dxa"/>
            <w:tcBorders/>
            <w:shd w:fill="FFFFFF" w:val="clear"/>
            <w:vAlign w:val="bottom"/>
          </w:tcPr>
          <w:p>
            <w:pPr>
              <w:pStyle w:val="TableContents"/>
              <w:spacing w:before="0" w:after="283"/>
              <w:jc w:val="right"/>
              <w:rPr>
                <w:sz w:val="17"/>
              </w:rPr>
            </w:pPr>
            <w:r>
              <w:rPr>
                <w:sz w:val="17"/>
              </w:rPr>
              <w:t xml:space="preserve">57,628  </w:t>
            </w:r>
          </w:p>
        </w:tc>
        <w:tc>
          <w:tcPr>
            <w:tcW w:w="110" w:type="dxa"/>
            <w:tcBorders/>
            <w:shd w:fill="FFFFFF" w:val="clear"/>
            <w:vAlign w:val="bottom"/>
          </w:tcPr>
          <w:p>
            <w:pPr>
              <w:pStyle w:val="TableContents"/>
              <w:spacing w:before="0" w:after="1"/>
              <w:ind w:left="0" w:right="0" w:hanging="0"/>
              <w:jc w:val="right"/>
              <w:rPr/>
            </w:pPr>
            <w:r>
              <w:rPr/>
              <w:t> </w:t>
            </w:r>
          </w:p>
        </w:tc>
        <w:tc>
          <w:tcPr>
            <w:tcW w:w="845" w:type="dxa"/>
            <w:tcBorders/>
            <w:shd w:fill="FFFFFF" w:val="clear"/>
            <w:vAlign w:val="bottom"/>
          </w:tcPr>
          <w:p>
            <w:pPr>
              <w:pStyle w:val="TableContents"/>
              <w:spacing w:before="0" w:after="283"/>
              <w:jc w:val="right"/>
              <w:rPr>
                <w:sz w:val="17"/>
              </w:rPr>
            </w:pPr>
            <w:r>
              <w:rPr>
                <w:sz w:val="17"/>
              </w:rPr>
              <w:t xml:space="preserve">67,604  </w:t>
            </w:r>
          </w:p>
        </w:tc>
      </w:tr>
      <w:tr>
        <w:trPr/>
        <w:tc>
          <w:tcPr>
            <w:tcW w:w="291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 xml:space="preserve">Change in liability for long-service leave </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12,452 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21,295 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29,606  </w:t>
            </w:r>
          </w:p>
        </w:tc>
      </w:tr>
      <w:tr>
        <w:trPr/>
        <w:tc>
          <w:tcPr>
            <w:tcW w:w="291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1,845,515 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1,925,190 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4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2,084,251 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7.</w:t>
      </w:r>
      <w:r>
        <w:rPr>
          <w:sz w:val="17"/>
        </w:rPr>
        <w:t xml:space="preserve"> </w:t>
      </w:r>
      <w:r>
        <w:rPr>
          <w:b/>
          <w:sz w:val="17"/>
        </w:rPr>
        <w:t>Finance income</w:t>
      </w:r>
      <w:r>
        <w:rPr>
          <w:sz w:val="17"/>
        </w:rPr>
        <w:t xml:space="preserve"> </w:t>
      </w:r>
    </w:p>
    <w:p>
      <w:pPr>
        <w:pStyle w:val="TextBody"/>
        <w:spacing w:before="0" w:after="0"/>
        <w:ind w:left="1440" w:right="0" w:hanging="0"/>
        <w:jc w:val="both"/>
        <w:rPr/>
      </w:pPr>
      <w:r>
        <w:rPr/>
        <w:t xml:space="preserve">  </w:t>
      </w:r>
    </w:p>
    <w:tbl>
      <w:tblPr>
        <w:tblW w:w="5075" w:type="dxa"/>
        <w:jc w:val="left"/>
        <w:tblInd w:w="1440" w:type="dxa"/>
        <w:tblCellMar>
          <w:top w:w="0" w:type="dxa"/>
          <w:left w:w="0" w:type="dxa"/>
          <w:bottom w:w="0" w:type="dxa"/>
          <w:right w:w="0" w:type="dxa"/>
        </w:tblCellMar>
      </w:tblPr>
      <w:tblGrid>
        <w:gridCol w:w="2270"/>
        <w:gridCol w:w="60"/>
        <w:gridCol w:w="110"/>
        <w:gridCol w:w="800"/>
        <w:gridCol w:w="110"/>
        <w:gridCol w:w="800"/>
        <w:gridCol w:w="110"/>
        <w:gridCol w:w="815"/>
      </w:tblGrid>
      <w:tr>
        <w:trPr/>
        <w:tc>
          <w:tcPr>
            <w:tcW w:w="22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227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center"/>
              <w:rPr/>
            </w:pPr>
            <w:r>
              <w:rPr/>
              <w:t> </w:t>
            </w:r>
          </w:p>
        </w:tc>
      </w:tr>
      <w:tr>
        <w:trPr/>
        <w:tc>
          <w:tcPr>
            <w:tcW w:w="227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227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Interest income on cash at bank:</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21,256 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58,301 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81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19,522  </w:t>
            </w:r>
          </w:p>
        </w:tc>
      </w:tr>
      <w:tr>
        <w:trPr/>
        <w:tc>
          <w:tcPr>
            <w:tcW w:w="227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80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21,256 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80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58,301 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8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19,522 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8.  Cash and cash equivalents</w:t>
      </w:r>
      <w:r>
        <w:rPr>
          <w:sz w:val="17"/>
        </w:rPr>
        <w:t xml:space="preserve"> </w:t>
      </w:r>
    </w:p>
    <w:p>
      <w:pPr>
        <w:pStyle w:val="TextBody"/>
        <w:spacing w:before="0" w:after="0"/>
        <w:ind w:left="1440" w:right="0" w:hanging="0"/>
        <w:jc w:val="both"/>
        <w:rPr/>
      </w:pPr>
      <w:r>
        <w:rPr/>
        <w:t xml:space="preserve">  </w:t>
      </w:r>
    </w:p>
    <w:tbl>
      <w:tblPr>
        <w:tblW w:w="6645" w:type="dxa"/>
        <w:jc w:val="left"/>
        <w:tblInd w:w="1440" w:type="dxa"/>
        <w:tblCellMar>
          <w:top w:w="0" w:type="dxa"/>
          <w:left w:w="0" w:type="dxa"/>
          <w:bottom w:w="0" w:type="dxa"/>
          <w:right w:w="0" w:type="dxa"/>
        </w:tblCellMar>
      </w:tblPr>
      <w:tblGrid>
        <w:gridCol w:w="3920"/>
        <w:gridCol w:w="350"/>
        <w:gridCol w:w="60"/>
        <w:gridCol w:w="60"/>
        <w:gridCol w:w="110"/>
        <w:gridCol w:w="920"/>
        <w:gridCol w:w="110"/>
        <w:gridCol w:w="1115"/>
      </w:tblGrid>
      <w:tr>
        <w:trPr/>
        <w:tc>
          <w:tcPr>
            <w:tcW w:w="3920" w:type="dxa"/>
            <w:tcBorders/>
            <w:shd w:fill="auto" w:val="clear"/>
            <w:vAlign w:val="bottom"/>
          </w:tcPr>
          <w:p>
            <w:pPr>
              <w:pStyle w:val="TableContents"/>
              <w:spacing w:before="0" w:after="1"/>
              <w:ind w:left="0" w:right="0" w:hanging="0"/>
              <w:jc w:val="both"/>
              <w:rPr/>
            </w:pPr>
            <w:r>
              <w:rPr/>
              <w:t> </w:t>
            </w:r>
          </w:p>
        </w:tc>
        <w:tc>
          <w:tcPr>
            <w:tcW w:w="3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r>
      <w:tr>
        <w:trPr/>
        <w:tc>
          <w:tcPr>
            <w:tcW w:w="3920" w:type="dxa"/>
            <w:tcBorders/>
            <w:shd w:fill="auto" w:val="clear"/>
            <w:vAlign w:val="bottom"/>
          </w:tcPr>
          <w:p>
            <w:pPr>
              <w:pStyle w:val="TableContents"/>
              <w:spacing w:before="0" w:after="1"/>
              <w:ind w:left="0" w:right="0" w:hanging="0"/>
              <w:jc w:val="both"/>
              <w:rPr/>
            </w:pPr>
            <w:r>
              <w:rPr/>
              <w:t> </w:t>
            </w:r>
          </w:p>
        </w:tc>
        <w:tc>
          <w:tcPr>
            <w:tcW w:w="3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r>
      <w:tr>
        <w:trPr/>
        <w:tc>
          <w:tcPr>
            <w:tcW w:w="392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50" w:type="dxa"/>
            <w:tcBorders>
              <w:bottom w:val="single" w:sz="12" w:space="0" w:color="000000"/>
            </w:tcBorders>
            <w:shd w:fill="auto" w:val="clear"/>
            <w:tcMar>
              <w:bottom w:w="28" w:type="dxa"/>
            </w:tcMar>
            <w:vAlign w:val="bottom"/>
          </w:tcPr>
          <w:p>
            <w:pPr>
              <w:pStyle w:val="TableContents"/>
              <w:spacing w:before="0" w:after="1"/>
              <w:ind w:left="0" w:right="0" w:hanging="0"/>
              <w:jc w:val="center"/>
              <w:rPr>
                <w:b/>
                <w:i/>
                <w:sz w:val="17"/>
              </w:rPr>
            </w:pPr>
            <w:r>
              <w:rPr>
                <w:b/>
                <w:i/>
                <w:sz w:val="17"/>
              </w:rPr>
              <w:t>Note</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39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 xml:space="preserve">Cash at bank and on hand </w:t>
            </w:r>
          </w:p>
        </w:tc>
        <w:tc>
          <w:tcPr>
            <w:tcW w:w="3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sz w:val="17"/>
              </w:rPr>
            </w:pPr>
            <w:r>
              <w:rPr>
                <w:sz w:val="17"/>
              </w:rPr>
              <w:t>15</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898,217 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1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1,590,333  </w:t>
            </w:r>
          </w:p>
        </w:tc>
      </w:tr>
      <w:tr>
        <w:trPr/>
        <w:tc>
          <w:tcPr>
            <w:tcW w:w="3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Cash and cash equivalents in the statement of cash flows</w:t>
            </w:r>
          </w:p>
        </w:tc>
        <w:tc>
          <w:tcPr>
            <w:tcW w:w="35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898,217 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11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1,590,333 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The Joint Venture’s exposure to interest rate risk is disclosed in Note 15(e),  </w:t>
      </w:r>
      <w:r>
        <w:rPr>
          <w:i/>
          <w:sz w:val="17"/>
        </w:rPr>
        <w:t>Financial instruments, Market risk</w:t>
      </w:r>
      <w:r>
        <w:rPr>
          <w:sz w:val="17"/>
        </w:rPr>
        <w:t xml:space="preserve">. </w:t>
      </w:r>
    </w:p>
    <w:p>
      <w:pPr>
        <w:pStyle w:val="TextBody"/>
        <w:spacing w:before="0" w:after="200"/>
        <w:ind w:left="1440" w:right="0" w:hanging="0"/>
        <w:jc w:val="both"/>
        <w:rPr>
          <w:sz w:val="17"/>
        </w:rPr>
      </w:pPr>
      <w:r>
        <w:rPr>
          <w:b/>
          <w:sz w:val="17"/>
        </w:rPr>
        <w:t>9.  Trade and other receivables</w:t>
      </w:r>
      <w:r>
        <w:rPr>
          <w:sz w:val="17"/>
        </w:rPr>
        <w:t xml:space="preserve"> </w:t>
      </w:r>
    </w:p>
    <w:p>
      <w:pPr>
        <w:pStyle w:val="TextBody"/>
        <w:spacing w:before="0" w:after="0"/>
        <w:ind w:left="1440" w:right="0" w:hanging="0"/>
        <w:jc w:val="both"/>
        <w:rPr/>
      </w:pPr>
      <w:r>
        <w:rPr/>
        <w:t xml:space="preserve">  </w:t>
      </w:r>
    </w:p>
    <w:tbl>
      <w:tblPr>
        <w:tblW w:w="3840" w:type="dxa"/>
        <w:jc w:val="left"/>
        <w:tblInd w:w="1440" w:type="dxa"/>
        <w:tblCellMar>
          <w:top w:w="0" w:type="dxa"/>
          <w:left w:w="0" w:type="dxa"/>
          <w:bottom w:w="0" w:type="dxa"/>
          <w:right w:w="0" w:type="dxa"/>
        </w:tblCellMar>
      </w:tblPr>
      <w:tblGrid>
        <w:gridCol w:w="1295"/>
        <w:gridCol w:w="350"/>
        <w:gridCol w:w="60"/>
        <w:gridCol w:w="60"/>
        <w:gridCol w:w="110"/>
        <w:gridCol w:w="920"/>
        <w:gridCol w:w="110"/>
        <w:gridCol w:w="935"/>
      </w:tblGrid>
      <w:tr>
        <w:trPr/>
        <w:tc>
          <w:tcPr>
            <w:tcW w:w="1295" w:type="dxa"/>
            <w:tcBorders/>
            <w:shd w:fill="auto" w:val="clear"/>
            <w:vAlign w:val="bottom"/>
          </w:tcPr>
          <w:p>
            <w:pPr>
              <w:pStyle w:val="TableContents"/>
              <w:spacing w:before="0" w:after="1"/>
              <w:ind w:left="0" w:right="0" w:hanging="0"/>
              <w:jc w:val="both"/>
              <w:rPr/>
            </w:pPr>
            <w:r>
              <w:rPr/>
              <w:t> </w:t>
            </w:r>
          </w:p>
        </w:tc>
        <w:tc>
          <w:tcPr>
            <w:tcW w:w="3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1295" w:type="dxa"/>
            <w:tcBorders/>
            <w:shd w:fill="auto" w:val="clear"/>
            <w:vAlign w:val="bottom"/>
          </w:tcPr>
          <w:p>
            <w:pPr>
              <w:pStyle w:val="TableContents"/>
              <w:spacing w:before="0" w:after="1"/>
              <w:ind w:left="0" w:right="0" w:hanging="0"/>
              <w:jc w:val="both"/>
              <w:rPr/>
            </w:pPr>
            <w:r>
              <w:rPr/>
              <w:t> </w:t>
            </w:r>
          </w:p>
        </w:tc>
        <w:tc>
          <w:tcPr>
            <w:tcW w:w="3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129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50" w:type="dxa"/>
            <w:tcBorders>
              <w:bottom w:val="single" w:sz="12" w:space="0" w:color="000000"/>
            </w:tcBorders>
            <w:shd w:fill="auto" w:val="clear"/>
            <w:tcMar>
              <w:bottom w:w="28" w:type="dxa"/>
            </w:tcMar>
            <w:vAlign w:val="bottom"/>
          </w:tcPr>
          <w:p>
            <w:pPr>
              <w:pStyle w:val="TableContents"/>
              <w:spacing w:before="0" w:after="1"/>
              <w:ind w:left="0" w:right="0" w:hanging="0"/>
              <w:jc w:val="center"/>
              <w:rPr>
                <w:b/>
                <w:i/>
                <w:sz w:val="17"/>
              </w:rPr>
            </w:pPr>
            <w:r>
              <w:rPr>
                <w:b/>
                <w:i/>
                <w:sz w:val="17"/>
              </w:rPr>
              <w:t>Note</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29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 xml:space="preserve">Trade receivables </w:t>
            </w:r>
          </w:p>
        </w:tc>
        <w:tc>
          <w:tcPr>
            <w:tcW w:w="3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sz w:val="17"/>
              </w:rPr>
            </w:pPr>
            <w:r>
              <w:rPr>
                <w:sz w:val="17"/>
              </w:rPr>
              <w:t>15</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196,598 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3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143,488  </w:t>
            </w:r>
          </w:p>
        </w:tc>
      </w:tr>
      <w:tr>
        <w:trPr/>
        <w:tc>
          <w:tcPr>
            <w:tcW w:w="12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35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196,598 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143,488 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1440" w:right="0" w:hanging="0"/>
        <w:jc w:val="both"/>
        <w:rPr/>
      </w:pPr>
      <w:r>
        <w:rPr/>
        <w:t>            </w:t>
      </w:r>
      <w:r>
        <w:rPr>
          <w:sz w:val="17"/>
        </w:rPr>
        <w:t xml:space="preserve">The Joint Venture’s trade receivables relate mainly to the Joint Venture’s screen advertiser and credit card companies. </w:t>
      </w:r>
    </w:p>
    <w:p>
      <w:pPr>
        <w:pStyle w:val="TextBody"/>
        <w:spacing w:before="0" w:after="200"/>
        <w:ind w:left="1440" w:right="0" w:hanging="0"/>
        <w:jc w:val="both"/>
        <w:rPr/>
      </w:pPr>
      <w:r>
        <w:rPr/>
        <w:t>            </w:t>
      </w:r>
      <w:r>
        <w:rPr>
          <w:sz w:val="17"/>
        </w:rPr>
        <w:t>The Joint Venture’s exposure to credit risk and impairment losses related to trade receivables is disclosed in Note 15(c),  </w:t>
      </w:r>
      <w:r>
        <w:rPr>
          <w:i/>
          <w:sz w:val="17"/>
        </w:rPr>
        <w:t>Financial instruments, Credit risk</w:t>
      </w:r>
      <w:r>
        <w:rPr>
          <w:sz w:val="17"/>
        </w:rPr>
        <w:t xml:space="preserve">. </w:t>
      </w:r>
    </w:p>
    <w:p>
      <w:pPr>
        <w:pStyle w:val="TextBody"/>
        <w:spacing w:before="0" w:after="200"/>
        <w:ind w:left="1440" w:right="0" w:hanging="0"/>
        <w:jc w:val="both"/>
        <w:rPr>
          <w:sz w:val="17"/>
        </w:rPr>
      </w:pPr>
      <w:r>
        <w:rPr>
          <w:b/>
          <w:sz w:val="17"/>
        </w:rPr>
        <w:t>10.</w:t>
      </w:r>
      <w:r>
        <w:rPr>
          <w:sz w:val="17"/>
        </w:rPr>
        <w:t xml:space="preserve"> </w:t>
      </w:r>
      <w:r>
        <w:rPr>
          <w:b/>
          <w:sz w:val="17"/>
        </w:rPr>
        <w:t>Inventories</w:t>
      </w:r>
      <w:r>
        <w:rPr>
          <w:sz w:val="17"/>
        </w:rPr>
        <w:t xml:space="preserve"> </w:t>
      </w:r>
    </w:p>
    <w:p>
      <w:pPr>
        <w:pStyle w:val="TextBody"/>
        <w:spacing w:before="0" w:after="0"/>
        <w:ind w:left="1440" w:right="0" w:hanging="0"/>
        <w:jc w:val="both"/>
        <w:rPr/>
      </w:pPr>
      <w:r>
        <w:rPr/>
        <w:t xml:space="preserve">  </w:t>
      </w:r>
    </w:p>
    <w:tbl>
      <w:tblPr>
        <w:tblW w:w="3985" w:type="dxa"/>
        <w:jc w:val="left"/>
        <w:tblInd w:w="1440" w:type="dxa"/>
        <w:tblCellMar>
          <w:top w:w="0" w:type="dxa"/>
          <w:left w:w="0" w:type="dxa"/>
          <w:bottom w:w="0" w:type="dxa"/>
          <w:right w:w="0" w:type="dxa"/>
        </w:tblCellMar>
      </w:tblPr>
      <w:tblGrid>
        <w:gridCol w:w="1730"/>
        <w:gridCol w:w="60"/>
        <w:gridCol w:w="60"/>
        <w:gridCol w:w="60"/>
        <w:gridCol w:w="110"/>
        <w:gridCol w:w="920"/>
        <w:gridCol w:w="110"/>
        <w:gridCol w:w="935"/>
      </w:tblGrid>
      <w:tr>
        <w:trPr/>
        <w:tc>
          <w:tcPr>
            <w:tcW w:w="173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173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173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73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Concession stores at cost</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173,411 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3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153,899  </w:t>
            </w:r>
          </w:p>
        </w:tc>
      </w:tr>
      <w:tr>
        <w:trPr/>
        <w:tc>
          <w:tcPr>
            <w:tcW w:w="17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173,411 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153,899 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11.</w:t>
      </w:r>
      <w:r>
        <w:rPr>
          <w:sz w:val="17"/>
        </w:rPr>
        <w:t xml:space="preserve"> </w:t>
      </w:r>
      <w:r>
        <w:rPr>
          <w:b/>
          <w:sz w:val="17"/>
        </w:rPr>
        <w:t>Property, Plant, and Equipment</w:t>
      </w:r>
      <w:r>
        <w:rPr>
          <w:sz w:val="17"/>
        </w:rPr>
        <w:t xml:space="preserve"> </w:t>
      </w:r>
    </w:p>
    <w:p>
      <w:pPr>
        <w:pStyle w:val="TextBody"/>
        <w:spacing w:before="0" w:after="0"/>
        <w:ind w:left="2971" w:right="0" w:hanging="1531"/>
        <w:jc w:val="both"/>
        <w:rPr/>
      </w:pPr>
      <w:r>
        <w:rPr/>
        <w:t xml:space="preserve">  </w:t>
      </w:r>
    </w:p>
    <w:tbl>
      <w:tblPr>
        <w:tblW w:w="7920" w:type="dxa"/>
        <w:jc w:val="left"/>
        <w:tblInd w:w="1440" w:type="dxa"/>
        <w:tblCellMar>
          <w:top w:w="0" w:type="dxa"/>
          <w:left w:w="0" w:type="dxa"/>
          <w:bottom w:w="0" w:type="dxa"/>
          <w:right w:w="0" w:type="dxa"/>
        </w:tblCellMar>
      </w:tblPr>
      <w:tblGrid>
        <w:gridCol w:w="2165"/>
        <w:gridCol w:w="110"/>
        <w:gridCol w:w="1550"/>
        <w:gridCol w:w="110"/>
        <w:gridCol w:w="1820"/>
        <w:gridCol w:w="110"/>
        <w:gridCol w:w="935"/>
        <w:gridCol w:w="110"/>
        <w:gridCol w:w="1010"/>
      </w:tblGrid>
      <w:tr>
        <w:trPr/>
        <w:tc>
          <w:tcPr>
            <w:tcW w:w="216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15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8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both"/>
              <w:rPr/>
            </w:pPr>
            <w:r>
              <w:rPr/>
              <w:t> </w:t>
            </w:r>
          </w:p>
        </w:tc>
      </w:tr>
      <w:tr>
        <w:trPr/>
        <w:tc>
          <w:tcPr>
            <w:tcW w:w="216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155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8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010" w:type="dxa"/>
            <w:tcBorders/>
            <w:shd w:fill="auto" w:val="clear"/>
            <w:vAlign w:val="bottom"/>
          </w:tcPr>
          <w:p>
            <w:pPr>
              <w:pStyle w:val="TableContents"/>
              <w:spacing w:before="0" w:after="1"/>
              <w:ind w:left="0" w:right="0" w:hanging="0"/>
              <w:jc w:val="center"/>
              <w:rPr/>
            </w:pPr>
            <w:r>
              <w:rPr/>
              <w:t> </w:t>
            </w:r>
          </w:p>
        </w:tc>
      </w:tr>
      <w:tr>
        <w:trPr/>
        <w:tc>
          <w:tcPr>
            <w:tcW w:w="216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55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Plant and Equipment</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8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Leasehold Improvements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Capital WIP</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0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165" w:type="dxa"/>
            <w:tcBorders>
              <w:top w:val="single" w:sz="8" w:space="0" w:color="000000"/>
            </w:tcBorders>
            <w:shd w:fill="auto" w:val="clear"/>
            <w:tcMar>
              <w:top w:w="28" w:type="dxa"/>
            </w:tcMar>
            <w:vAlign w:val="bottom"/>
          </w:tcPr>
          <w:p>
            <w:pPr>
              <w:pStyle w:val="TableContents"/>
              <w:spacing w:before="0" w:after="1"/>
              <w:ind w:left="0" w:right="0" w:hanging="0"/>
              <w:jc w:val="both"/>
              <w:rPr>
                <w:b/>
                <w:sz w:val="17"/>
              </w:rPr>
            </w:pPr>
            <w:r>
              <w:rPr>
                <w:b/>
                <w:sz w:val="17"/>
              </w:rPr>
              <w:t xml:space="preserve">Cost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55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82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r>
      <w:tr>
        <w:trPr/>
        <w:tc>
          <w:tcPr>
            <w:tcW w:w="2165" w:type="dxa"/>
            <w:tcBorders/>
            <w:shd w:fill="CCEEFF" w:val="clear"/>
            <w:vAlign w:val="bottom"/>
          </w:tcPr>
          <w:p>
            <w:pPr>
              <w:pStyle w:val="TableContents"/>
              <w:spacing w:before="0" w:after="1"/>
              <w:ind w:left="0" w:right="0" w:hanging="0"/>
              <w:jc w:val="both"/>
              <w:rPr>
                <w:sz w:val="17"/>
              </w:rPr>
            </w:pPr>
            <w:r>
              <w:rPr>
                <w:sz w:val="17"/>
              </w:rPr>
              <w:t>Balance at January 1, 2011</w:t>
            </w:r>
          </w:p>
        </w:tc>
        <w:tc>
          <w:tcPr>
            <w:tcW w:w="110" w:type="dxa"/>
            <w:tcBorders/>
            <w:shd w:fill="CCEEFF" w:val="clear"/>
            <w:vAlign w:val="bottom"/>
          </w:tcPr>
          <w:p>
            <w:pPr>
              <w:pStyle w:val="TableContents"/>
              <w:spacing w:before="0" w:after="1"/>
              <w:ind w:left="0" w:right="0" w:hanging="0"/>
              <w:jc w:val="right"/>
              <w:rPr/>
            </w:pPr>
            <w:r>
              <w:rPr/>
              <w:t> </w:t>
            </w:r>
          </w:p>
        </w:tc>
        <w:tc>
          <w:tcPr>
            <w:tcW w:w="1550" w:type="dxa"/>
            <w:tcBorders/>
            <w:shd w:fill="CCEEFF" w:val="clear"/>
            <w:vAlign w:val="bottom"/>
          </w:tcPr>
          <w:p>
            <w:pPr>
              <w:pStyle w:val="TableContents"/>
              <w:spacing w:before="0" w:after="283"/>
              <w:jc w:val="right"/>
              <w:rPr>
                <w:sz w:val="17"/>
              </w:rPr>
            </w:pPr>
            <w:r>
              <w:rPr>
                <w:sz w:val="17"/>
              </w:rPr>
              <w:t xml:space="preserve">9,347,006  </w:t>
            </w:r>
          </w:p>
        </w:tc>
        <w:tc>
          <w:tcPr>
            <w:tcW w:w="110" w:type="dxa"/>
            <w:tcBorders/>
            <w:shd w:fill="CCEEFF" w:val="clear"/>
            <w:vAlign w:val="bottom"/>
          </w:tcPr>
          <w:p>
            <w:pPr>
              <w:pStyle w:val="TableContents"/>
              <w:spacing w:before="0" w:after="1"/>
              <w:ind w:left="0" w:right="0" w:hanging="0"/>
              <w:jc w:val="right"/>
              <w:rPr/>
            </w:pPr>
            <w:r>
              <w:rPr/>
              <w:t> </w:t>
            </w:r>
          </w:p>
        </w:tc>
        <w:tc>
          <w:tcPr>
            <w:tcW w:w="1820" w:type="dxa"/>
            <w:tcBorders/>
            <w:shd w:fill="CCEEFF" w:val="clear"/>
            <w:vAlign w:val="bottom"/>
          </w:tcPr>
          <w:p>
            <w:pPr>
              <w:pStyle w:val="TableContents"/>
              <w:spacing w:before="0" w:after="283"/>
              <w:jc w:val="right"/>
              <w:rPr>
                <w:sz w:val="17"/>
              </w:rPr>
            </w:pPr>
            <w:r>
              <w:rPr>
                <w:sz w:val="17"/>
              </w:rPr>
              <w:t xml:space="preserve">2,566,704  </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283"/>
              <w:jc w:val="right"/>
              <w:rPr>
                <w:sz w:val="17"/>
              </w:rPr>
            </w:pPr>
            <w:r>
              <w:rPr>
                <w:sz w:val="17"/>
              </w:rPr>
              <w:t xml:space="preserve">265,351  </w:t>
            </w:r>
          </w:p>
        </w:tc>
        <w:tc>
          <w:tcPr>
            <w:tcW w:w="110" w:type="dxa"/>
            <w:tcBorders/>
            <w:shd w:fill="CCEEFF" w:val="clear"/>
            <w:vAlign w:val="bottom"/>
          </w:tcPr>
          <w:p>
            <w:pPr>
              <w:pStyle w:val="TableContents"/>
              <w:spacing w:before="0" w:after="1"/>
              <w:ind w:left="0" w:right="0" w:hanging="0"/>
              <w:jc w:val="right"/>
              <w:rPr/>
            </w:pPr>
            <w:r>
              <w:rPr/>
              <w:t> </w:t>
            </w:r>
          </w:p>
        </w:tc>
        <w:tc>
          <w:tcPr>
            <w:tcW w:w="1010" w:type="dxa"/>
            <w:tcBorders/>
            <w:shd w:fill="CCEEFF" w:val="clear"/>
            <w:vAlign w:val="bottom"/>
          </w:tcPr>
          <w:p>
            <w:pPr>
              <w:pStyle w:val="TableContents"/>
              <w:spacing w:before="0" w:after="283"/>
              <w:jc w:val="right"/>
              <w:rPr>
                <w:sz w:val="17"/>
              </w:rPr>
            </w:pPr>
            <w:r>
              <w:rPr>
                <w:sz w:val="17"/>
              </w:rPr>
              <w:t xml:space="preserve">12,179,061  </w:t>
            </w:r>
          </w:p>
        </w:tc>
      </w:tr>
      <w:tr>
        <w:trPr/>
        <w:tc>
          <w:tcPr>
            <w:tcW w:w="2165" w:type="dxa"/>
            <w:tcBorders/>
            <w:shd w:fill="FFFFFF" w:val="clear"/>
            <w:vAlign w:val="bottom"/>
          </w:tcPr>
          <w:p>
            <w:pPr>
              <w:pStyle w:val="TableContents"/>
              <w:spacing w:before="0" w:after="1"/>
              <w:ind w:left="0" w:right="0" w:hanging="0"/>
              <w:jc w:val="both"/>
              <w:rPr>
                <w:sz w:val="17"/>
              </w:rPr>
            </w:pPr>
            <w:r>
              <w:rPr>
                <w:sz w:val="17"/>
              </w:rPr>
              <w:t>Additions</w:t>
            </w:r>
          </w:p>
        </w:tc>
        <w:tc>
          <w:tcPr>
            <w:tcW w:w="110" w:type="dxa"/>
            <w:tcBorders/>
            <w:shd w:fill="FFFFFF" w:val="clear"/>
            <w:vAlign w:val="bottom"/>
          </w:tcPr>
          <w:p>
            <w:pPr>
              <w:pStyle w:val="TableContents"/>
              <w:spacing w:before="0" w:after="1"/>
              <w:ind w:left="0" w:right="0" w:hanging="0"/>
              <w:jc w:val="right"/>
              <w:rPr/>
            </w:pPr>
            <w:r>
              <w:rPr/>
              <w:t> </w:t>
            </w:r>
          </w:p>
        </w:tc>
        <w:tc>
          <w:tcPr>
            <w:tcW w:w="155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820"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283"/>
              <w:jc w:val="right"/>
              <w:rPr>
                <w:sz w:val="17"/>
              </w:rPr>
            </w:pPr>
            <w:r>
              <w:rPr>
                <w:sz w:val="17"/>
              </w:rPr>
              <w:t xml:space="preserve">1,309,433  </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283"/>
              <w:jc w:val="right"/>
              <w:rPr>
                <w:sz w:val="17"/>
              </w:rPr>
            </w:pPr>
            <w:r>
              <w:rPr>
                <w:sz w:val="17"/>
              </w:rPr>
              <w:t xml:space="preserve">1,309,433  </w:t>
            </w:r>
          </w:p>
        </w:tc>
      </w:tr>
      <w:tr>
        <w:trPr/>
        <w:tc>
          <w:tcPr>
            <w:tcW w:w="21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Transfers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55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1,111,257 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8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221,080 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(1,332,337)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r>
      <w:tr>
        <w:trPr/>
        <w:tc>
          <w:tcPr>
            <w:tcW w:w="21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Balance at December 31, 2011</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5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10,458,263 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2,787,784 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242,447 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13,488,494  </w:t>
            </w:r>
          </w:p>
        </w:tc>
      </w:tr>
      <w:tr>
        <w:trPr/>
        <w:tc>
          <w:tcPr>
            <w:tcW w:w="216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55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82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2165" w:type="dxa"/>
            <w:tcBorders/>
            <w:shd w:fill="FFFFFF" w:val="clear"/>
            <w:vAlign w:val="bottom"/>
          </w:tcPr>
          <w:p>
            <w:pPr>
              <w:pStyle w:val="TableContents"/>
              <w:spacing w:before="0" w:after="1"/>
              <w:ind w:left="0" w:right="0" w:hanging="0"/>
              <w:jc w:val="both"/>
              <w:rPr>
                <w:sz w:val="17"/>
              </w:rPr>
            </w:pPr>
            <w:r>
              <w:rPr>
                <w:sz w:val="17"/>
              </w:rPr>
              <w:t>Balance at January 1, 2012</w:t>
            </w:r>
          </w:p>
        </w:tc>
        <w:tc>
          <w:tcPr>
            <w:tcW w:w="110" w:type="dxa"/>
            <w:tcBorders/>
            <w:shd w:fill="FFFFFF" w:val="clear"/>
            <w:vAlign w:val="bottom"/>
          </w:tcPr>
          <w:p>
            <w:pPr>
              <w:pStyle w:val="TableContents"/>
              <w:spacing w:before="0" w:after="1"/>
              <w:ind w:left="0" w:right="0" w:hanging="0"/>
              <w:jc w:val="right"/>
              <w:rPr/>
            </w:pPr>
            <w:r>
              <w:rPr/>
              <w:t> </w:t>
            </w:r>
          </w:p>
        </w:tc>
        <w:tc>
          <w:tcPr>
            <w:tcW w:w="1550" w:type="dxa"/>
            <w:tcBorders/>
            <w:shd w:fill="FFFFFF" w:val="clear"/>
            <w:vAlign w:val="bottom"/>
          </w:tcPr>
          <w:p>
            <w:pPr>
              <w:pStyle w:val="TableContents"/>
              <w:spacing w:before="0" w:after="283"/>
              <w:jc w:val="right"/>
              <w:rPr>
                <w:sz w:val="17"/>
              </w:rPr>
            </w:pPr>
            <w:r>
              <w:rPr>
                <w:sz w:val="17"/>
              </w:rPr>
              <w:t xml:space="preserve">10,458,263  </w:t>
            </w:r>
          </w:p>
        </w:tc>
        <w:tc>
          <w:tcPr>
            <w:tcW w:w="110" w:type="dxa"/>
            <w:tcBorders/>
            <w:shd w:fill="FFFFFF" w:val="clear"/>
            <w:vAlign w:val="bottom"/>
          </w:tcPr>
          <w:p>
            <w:pPr>
              <w:pStyle w:val="TableContents"/>
              <w:spacing w:before="0" w:after="1"/>
              <w:ind w:left="0" w:right="0" w:hanging="0"/>
              <w:jc w:val="right"/>
              <w:rPr/>
            </w:pPr>
            <w:r>
              <w:rPr/>
              <w:t> </w:t>
            </w:r>
          </w:p>
        </w:tc>
        <w:tc>
          <w:tcPr>
            <w:tcW w:w="1820" w:type="dxa"/>
            <w:tcBorders/>
            <w:shd w:fill="FFFFFF" w:val="clear"/>
            <w:vAlign w:val="bottom"/>
          </w:tcPr>
          <w:p>
            <w:pPr>
              <w:pStyle w:val="TableContents"/>
              <w:spacing w:before="0" w:after="283"/>
              <w:jc w:val="right"/>
              <w:rPr>
                <w:sz w:val="17"/>
              </w:rPr>
            </w:pPr>
            <w:r>
              <w:rPr>
                <w:sz w:val="17"/>
              </w:rPr>
              <w:t xml:space="preserve">2,787,784 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283"/>
              <w:jc w:val="right"/>
              <w:rPr>
                <w:sz w:val="17"/>
              </w:rPr>
            </w:pPr>
            <w:r>
              <w:rPr>
                <w:sz w:val="17"/>
              </w:rPr>
              <w:t xml:space="preserve">242,446  </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283"/>
              <w:jc w:val="right"/>
              <w:rPr>
                <w:sz w:val="17"/>
              </w:rPr>
            </w:pPr>
            <w:r>
              <w:rPr>
                <w:sz w:val="17"/>
              </w:rPr>
              <w:t xml:space="preserve">13,488,493  </w:t>
            </w:r>
          </w:p>
        </w:tc>
      </w:tr>
      <w:tr>
        <w:trPr/>
        <w:tc>
          <w:tcPr>
            <w:tcW w:w="2165" w:type="dxa"/>
            <w:tcBorders/>
            <w:shd w:fill="CCEEFF" w:val="clear"/>
            <w:vAlign w:val="bottom"/>
          </w:tcPr>
          <w:p>
            <w:pPr>
              <w:pStyle w:val="TableContents"/>
              <w:spacing w:before="0" w:after="1"/>
              <w:ind w:left="0" w:right="0" w:hanging="0"/>
              <w:jc w:val="both"/>
              <w:rPr>
                <w:sz w:val="17"/>
              </w:rPr>
            </w:pPr>
            <w:r>
              <w:rPr>
                <w:sz w:val="17"/>
              </w:rPr>
              <w:t>Additions</w:t>
            </w:r>
          </w:p>
        </w:tc>
        <w:tc>
          <w:tcPr>
            <w:tcW w:w="110" w:type="dxa"/>
            <w:tcBorders/>
            <w:shd w:fill="CCEEFF" w:val="clear"/>
            <w:vAlign w:val="bottom"/>
          </w:tcPr>
          <w:p>
            <w:pPr>
              <w:pStyle w:val="TableContents"/>
              <w:spacing w:before="0" w:after="1"/>
              <w:ind w:left="0" w:right="0" w:hanging="0"/>
              <w:jc w:val="right"/>
              <w:rPr/>
            </w:pPr>
            <w:r>
              <w:rPr/>
              <w:t> </w:t>
            </w:r>
          </w:p>
        </w:tc>
        <w:tc>
          <w:tcPr>
            <w:tcW w:w="155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182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283"/>
              <w:jc w:val="right"/>
              <w:rPr>
                <w:sz w:val="17"/>
              </w:rPr>
            </w:pPr>
            <w:r>
              <w:rPr>
                <w:sz w:val="17"/>
              </w:rPr>
              <w:t xml:space="preserve">783,266  </w:t>
            </w:r>
          </w:p>
        </w:tc>
        <w:tc>
          <w:tcPr>
            <w:tcW w:w="110" w:type="dxa"/>
            <w:tcBorders/>
            <w:shd w:fill="CCEEFF" w:val="clear"/>
            <w:vAlign w:val="bottom"/>
          </w:tcPr>
          <w:p>
            <w:pPr>
              <w:pStyle w:val="TableContents"/>
              <w:spacing w:before="0" w:after="1"/>
              <w:ind w:left="0" w:right="0" w:hanging="0"/>
              <w:jc w:val="right"/>
              <w:rPr/>
            </w:pPr>
            <w:r>
              <w:rPr/>
              <w:t> </w:t>
            </w:r>
          </w:p>
        </w:tc>
        <w:tc>
          <w:tcPr>
            <w:tcW w:w="1010" w:type="dxa"/>
            <w:tcBorders/>
            <w:shd w:fill="CCEEFF" w:val="clear"/>
            <w:vAlign w:val="bottom"/>
          </w:tcPr>
          <w:p>
            <w:pPr>
              <w:pStyle w:val="TableContents"/>
              <w:spacing w:before="0" w:after="283"/>
              <w:jc w:val="right"/>
              <w:rPr>
                <w:sz w:val="17"/>
              </w:rPr>
            </w:pPr>
            <w:r>
              <w:rPr>
                <w:sz w:val="17"/>
              </w:rPr>
              <w:t xml:space="preserve">783,266  </w:t>
            </w:r>
          </w:p>
        </w:tc>
      </w:tr>
      <w:tr>
        <w:trPr/>
        <w:tc>
          <w:tcPr>
            <w:tcW w:w="216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Transfers</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55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94,123 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82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4,900 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(99,023)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FFFFFF" w:val="clear"/>
            <w:tcMar>
              <w:bottom w:w="28" w:type="dxa"/>
            </w:tcMar>
            <w:vAlign w:val="bottom"/>
          </w:tcPr>
          <w:p>
            <w:pPr>
              <w:pStyle w:val="TableContents"/>
              <w:spacing w:before="0" w:after="1"/>
              <w:ind w:left="0" w:right="65" w:hanging="0"/>
              <w:jc w:val="right"/>
              <w:rPr>
                <w:sz w:val="17"/>
              </w:rPr>
            </w:pPr>
            <w:r>
              <w:rPr>
                <w:sz w:val="17"/>
              </w:rPr>
              <w:t>--</w:t>
            </w:r>
          </w:p>
        </w:tc>
      </w:tr>
      <w:tr>
        <w:trPr/>
        <w:tc>
          <w:tcPr>
            <w:tcW w:w="21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sz w:val="17"/>
              </w:rPr>
            </w:pPr>
            <w:r>
              <w:rPr>
                <w:sz w:val="17"/>
              </w:rPr>
              <w:t>Balance at December 31, 2012</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5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10,552,386 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2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2,792,684 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926,689  </w:t>
            </w:r>
          </w:p>
        </w:tc>
        <w:tc>
          <w:tcPr>
            <w:tcW w:w="1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14,271,759  </w:t>
            </w:r>
          </w:p>
        </w:tc>
      </w:tr>
      <w:tr>
        <w:trPr/>
        <w:tc>
          <w:tcPr>
            <w:tcW w:w="2165"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550"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820"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FFFFFF"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FFFFFF" w:val="clear"/>
            <w:tcMar>
              <w:top w:w="28" w:type="dxa"/>
            </w:tcMar>
            <w:vAlign w:val="bottom"/>
          </w:tcPr>
          <w:p>
            <w:pPr>
              <w:pStyle w:val="TableContents"/>
              <w:spacing w:before="0" w:after="1"/>
              <w:ind w:left="0" w:right="0" w:hanging="0"/>
              <w:jc w:val="both"/>
              <w:rPr/>
            </w:pPr>
            <w:r>
              <w:rPr/>
              <w:t> </w:t>
            </w:r>
          </w:p>
        </w:tc>
      </w:tr>
      <w:tr>
        <w:trPr/>
        <w:tc>
          <w:tcPr>
            <w:tcW w:w="2165" w:type="dxa"/>
            <w:tcBorders>
              <w:bottom w:val="single" w:sz="12" w:space="0" w:color="000000"/>
            </w:tcBorders>
            <w:shd w:fill="CCEEFF" w:val="clear"/>
            <w:tcMar>
              <w:bottom w:w="28" w:type="dxa"/>
            </w:tcMar>
            <w:vAlign w:val="bottom"/>
          </w:tcPr>
          <w:p>
            <w:pPr>
              <w:pStyle w:val="TableContents"/>
              <w:spacing w:before="0" w:after="1"/>
              <w:ind w:left="0" w:right="0" w:hanging="0"/>
              <w:jc w:val="both"/>
              <w:rPr>
                <w:i/>
                <w:sz w:val="17"/>
              </w:rPr>
            </w:pPr>
            <w:r>
              <w:rPr>
                <w:i/>
                <w:sz w:val="17"/>
              </w:rPr>
              <w:t>In AUS$</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155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Plant and Equipment</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182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Leasehold Improvements</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Capital WIP</w:t>
            </w:r>
          </w:p>
        </w:tc>
        <w:tc>
          <w:tcPr>
            <w:tcW w:w="110" w:type="dxa"/>
            <w:tcBorders>
              <w:bottom w:val="single" w:sz="12"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1"/>
              <w:ind w:left="0" w:right="0" w:hanging="0"/>
              <w:jc w:val="center"/>
              <w:rPr>
                <w:b/>
                <w:sz w:val="17"/>
              </w:rPr>
            </w:pPr>
            <w:r>
              <w:rPr>
                <w:b/>
                <w:sz w:val="17"/>
              </w:rPr>
              <w:t>Total</w:t>
            </w:r>
          </w:p>
        </w:tc>
      </w:tr>
      <w:tr>
        <w:trPr/>
        <w:tc>
          <w:tcPr>
            <w:tcW w:w="2165" w:type="dxa"/>
            <w:tcBorders>
              <w:top w:val="single" w:sz="12" w:space="0" w:color="000000"/>
            </w:tcBorders>
            <w:shd w:fill="FFFFFF" w:val="clear"/>
            <w:tcMar>
              <w:top w:w="28" w:type="dxa"/>
            </w:tcMar>
            <w:vAlign w:val="bottom"/>
          </w:tcPr>
          <w:p>
            <w:pPr>
              <w:pStyle w:val="TableContents"/>
              <w:spacing w:before="0" w:after="1"/>
              <w:ind w:left="0" w:right="0" w:hanging="0"/>
              <w:jc w:val="both"/>
              <w:rPr>
                <w:b/>
                <w:sz w:val="17"/>
              </w:rPr>
            </w:pPr>
            <w:r>
              <w:rPr>
                <w:b/>
                <w:sz w:val="17"/>
              </w:rPr>
              <w:t xml:space="preserve">Accumulated depreciation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55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82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935"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c>
          <w:tcPr>
            <w:tcW w:w="1010" w:type="dxa"/>
            <w:tcBorders>
              <w:top w:val="single" w:sz="12" w:space="0" w:color="000000"/>
            </w:tcBorders>
            <w:shd w:fill="FFFFFF" w:val="clear"/>
            <w:tcMar>
              <w:top w:w="28" w:type="dxa"/>
            </w:tcMar>
            <w:vAlign w:val="bottom"/>
          </w:tcPr>
          <w:p>
            <w:pPr>
              <w:pStyle w:val="TableContents"/>
              <w:spacing w:before="0" w:after="1"/>
              <w:ind w:left="0" w:right="0" w:hanging="0"/>
              <w:jc w:val="right"/>
              <w:rPr/>
            </w:pPr>
            <w:r>
              <w:rPr/>
              <w:t> </w:t>
            </w:r>
          </w:p>
        </w:tc>
      </w:tr>
      <w:tr>
        <w:trPr/>
        <w:tc>
          <w:tcPr>
            <w:tcW w:w="2165" w:type="dxa"/>
            <w:tcBorders/>
            <w:shd w:fill="CCEEFF" w:val="clear"/>
            <w:vAlign w:val="bottom"/>
          </w:tcPr>
          <w:p>
            <w:pPr>
              <w:pStyle w:val="TableContents"/>
              <w:spacing w:before="0" w:after="1"/>
              <w:ind w:left="0" w:right="0" w:hanging="0"/>
              <w:jc w:val="both"/>
              <w:rPr>
                <w:sz w:val="17"/>
              </w:rPr>
            </w:pPr>
            <w:r>
              <w:rPr>
                <w:sz w:val="17"/>
              </w:rPr>
              <w:t>Balance at January 1, 2011</w:t>
            </w:r>
          </w:p>
        </w:tc>
        <w:tc>
          <w:tcPr>
            <w:tcW w:w="110" w:type="dxa"/>
            <w:tcBorders/>
            <w:shd w:fill="CCEEFF" w:val="clear"/>
            <w:vAlign w:val="bottom"/>
          </w:tcPr>
          <w:p>
            <w:pPr>
              <w:pStyle w:val="TableContents"/>
              <w:spacing w:before="0" w:after="1"/>
              <w:ind w:left="0" w:right="0" w:hanging="0"/>
              <w:jc w:val="right"/>
              <w:rPr/>
            </w:pPr>
            <w:r>
              <w:rPr/>
              <w:t> </w:t>
            </w:r>
          </w:p>
        </w:tc>
        <w:tc>
          <w:tcPr>
            <w:tcW w:w="1550" w:type="dxa"/>
            <w:tcBorders/>
            <w:shd w:fill="CCEEFF" w:val="clear"/>
            <w:vAlign w:val="bottom"/>
          </w:tcPr>
          <w:p>
            <w:pPr>
              <w:pStyle w:val="TableContents"/>
              <w:spacing w:before="0" w:after="283"/>
              <w:jc w:val="right"/>
              <w:rPr>
                <w:sz w:val="17"/>
              </w:rPr>
            </w:pPr>
            <w:r>
              <w:rPr>
                <w:sz w:val="17"/>
              </w:rPr>
              <w:t xml:space="preserve">(8,224,886) </w:t>
            </w:r>
          </w:p>
        </w:tc>
        <w:tc>
          <w:tcPr>
            <w:tcW w:w="110" w:type="dxa"/>
            <w:tcBorders/>
            <w:shd w:fill="CCEEFF" w:val="clear"/>
            <w:vAlign w:val="bottom"/>
          </w:tcPr>
          <w:p>
            <w:pPr>
              <w:pStyle w:val="TableContents"/>
              <w:spacing w:before="0" w:after="1"/>
              <w:ind w:left="0" w:right="0" w:hanging="0"/>
              <w:jc w:val="right"/>
              <w:rPr/>
            </w:pPr>
            <w:r>
              <w:rPr/>
              <w:t> </w:t>
            </w:r>
          </w:p>
        </w:tc>
        <w:tc>
          <w:tcPr>
            <w:tcW w:w="1820" w:type="dxa"/>
            <w:tcBorders/>
            <w:shd w:fill="CCEEFF" w:val="clear"/>
            <w:vAlign w:val="bottom"/>
          </w:tcPr>
          <w:p>
            <w:pPr>
              <w:pStyle w:val="TableContents"/>
              <w:spacing w:before="0" w:after="283"/>
              <w:jc w:val="right"/>
              <w:rPr>
                <w:sz w:val="17"/>
              </w:rPr>
            </w:pPr>
            <w:r>
              <w:rPr>
                <w:sz w:val="17"/>
              </w:rPr>
              <w:t xml:space="preserve">(970,059) </w:t>
            </w:r>
          </w:p>
        </w:tc>
        <w:tc>
          <w:tcPr>
            <w:tcW w:w="110" w:type="dxa"/>
            <w:tcBorders/>
            <w:shd w:fill="CCEEFF" w:val="clear"/>
            <w:vAlign w:val="bottom"/>
          </w:tcPr>
          <w:p>
            <w:pPr>
              <w:pStyle w:val="TableContents"/>
              <w:spacing w:before="0" w:after="1"/>
              <w:ind w:left="0" w:right="0" w:hanging="0"/>
              <w:jc w:val="right"/>
              <w:rPr/>
            </w:pPr>
            <w:r>
              <w:rPr/>
              <w:t> </w:t>
            </w:r>
          </w:p>
        </w:tc>
        <w:tc>
          <w:tcPr>
            <w:tcW w:w="935"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right"/>
              <w:rPr/>
            </w:pPr>
            <w:r>
              <w:rPr/>
              <w:t> </w:t>
            </w:r>
          </w:p>
        </w:tc>
        <w:tc>
          <w:tcPr>
            <w:tcW w:w="1010" w:type="dxa"/>
            <w:tcBorders/>
            <w:shd w:fill="CCEEFF" w:val="clear"/>
            <w:vAlign w:val="bottom"/>
          </w:tcPr>
          <w:p>
            <w:pPr>
              <w:pStyle w:val="TableContents"/>
              <w:spacing w:before="0" w:after="283"/>
              <w:jc w:val="right"/>
              <w:rPr>
                <w:sz w:val="17"/>
              </w:rPr>
            </w:pPr>
            <w:r>
              <w:rPr>
                <w:sz w:val="17"/>
              </w:rPr>
              <w:t xml:space="preserve">(9,194,945) </w:t>
            </w:r>
          </w:p>
        </w:tc>
      </w:tr>
      <w:tr>
        <w:trPr/>
        <w:tc>
          <w:tcPr>
            <w:tcW w:w="2165" w:type="dxa"/>
            <w:tcBorders/>
            <w:shd w:fill="FFFFFF" w:val="clear"/>
            <w:vAlign w:val="bottom"/>
          </w:tcPr>
          <w:p>
            <w:pPr>
              <w:pStyle w:val="TableContents"/>
              <w:spacing w:before="0" w:after="1"/>
              <w:ind w:left="0" w:right="0" w:hanging="0"/>
              <w:jc w:val="both"/>
              <w:rPr>
                <w:sz w:val="17"/>
              </w:rPr>
            </w:pPr>
            <w:r>
              <w:rPr>
                <w:sz w:val="17"/>
              </w:rPr>
              <w:t>Depreciation and amortisation</w:t>
            </w:r>
          </w:p>
        </w:tc>
        <w:tc>
          <w:tcPr>
            <w:tcW w:w="110" w:type="dxa"/>
            <w:tcBorders/>
            <w:shd w:fill="FFFFFF" w:val="clear"/>
            <w:vAlign w:val="bottom"/>
          </w:tcPr>
          <w:p>
            <w:pPr>
              <w:pStyle w:val="TableContents"/>
              <w:spacing w:before="0" w:after="1"/>
              <w:ind w:left="0" w:right="0" w:hanging="0"/>
              <w:jc w:val="right"/>
              <w:rPr/>
            </w:pPr>
            <w:r>
              <w:rPr/>
              <w:t> </w:t>
            </w:r>
          </w:p>
        </w:tc>
        <w:tc>
          <w:tcPr>
            <w:tcW w:w="1550" w:type="dxa"/>
            <w:tcBorders/>
            <w:shd w:fill="FFFFFF" w:val="clear"/>
            <w:vAlign w:val="bottom"/>
          </w:tcPr>
          <w:p>
            <w:pPr>
              <w:pStyle w:val="TableContents"/>
              <w:spacing w:before="0" w:after="283"/>
              <w:jc w:val="right"/>
              <w:rPr>
                <w:sz w:val="17"/>
              </w:rPr>
            </w:pPr>
            <w:r>
              <w:rPr>
                <w:sz w:val="17"/>
              </w:rPr>
              <w:t xml:space="preserve">(463,815) </w:t>
            </w:r>
          </w:p>
        </w:tc>
        <w:tc>
          <w:tcPr>
            <w:tcW w:w="110" w:type="dxa"/>
            <w:tcBorders/>
            <w:shd w:fill="FFFFFF" w:val="clear"/>
            <w:vAlign w:val="bottom"/>
          </w:tcPr>
          <w:p>
            <w:pPr>
              <w:pStyle w:val="TableContents"/>
              <w:spacing w:before="0" w:after="1"/>
              <w:ind w:left="0" w:right="0" w:hanging="0"/>
              <w:jc w:val="right"/>
              <w:rPr/>
            </w:pPr>
            <w:r>
              <w:rPr/>
              <w:t> </w:t>
            </w:r>
          </w:p>
        </w:tc>
        <w:tc>
          <w:tcPr>
            <w:tcW w:w="1820" w:type="dxa"/>
            <w:tcBorders/>
            <w:shd w:fill="FFFFFF" w:val="clear"/>
            <w:vAlign w:val="bottom"/>
          </w:tcPr>
          <w:p>
            <w:pPr>
              <w:pStyle w:val="TableContents"/>
              <w:spacing w:before="0" w:after="283"/>
              <w:jc w:val="right"/>
              <w:rPr>
                <w:sz w:val="17"/>
              </w:rPr>
            </w:pPr>
            <w:r>
              <w:rPr>
                <w:sz w:val="17"/>
              </w:rPr>
              <w:t xml:space="preserve">(91,779)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283"/>
              <w:jc w:val="right"/>
              <w:rPr>
                <w:sz w:val="17"/>
              </w:rPr>
            </w:pPr>
            <w:r>
              <w:rPr>
                <w:sz w:val="17"/>
              </w:rPr>
              <w:t xml:space="preserve">(555,594) </w:t>
            </w:r>
          </w:p>
        </w:tc>
      </w:tr>
      <w:tr>
        <w:trPr/>
        <w:tc>
          <w:tcPr>
            <w:tcW w:w="21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Disposals</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55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82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r>
      <w:tr>
        <w:trPr/>
        <w:tc>
          <w:tcPr>
            <w:tcW w:w="21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Balance at December 31, 2011</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5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(8,688,701)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2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(1,061,838)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65" w:hanging="0"/>
              <w:jc w:val="right"/>
              <w:rPr>
                <w:sz w:val="17"/>
              </w:rPr>
            </w:pPr>
            <w:r>
              <w:rPr>
                <w:sz w:val="17"/>
              </w:rPr>
              <w:t>--</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(9,750,539) </w:t>
            </w:r>
          </w:p>
        </w:tc>
      </w:tr>
      <w:tr>
        <w:trPr/>
        <w:tc>
          <w:tcPr>
            <w:tcW w:w="2165"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55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82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935"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c>
          <w:tcPr>
            <w:tcW w:w="1010" w:type="dxa"/>
            <w:tcBorders>
              <w:top w:val="single" w:sz="8" w:space="0" w:color="000000"/>
            </w:tcBorders>
            <w:shd w:fill="CCEEFF" w:val="clear"/>
            <w:tcMar>
              <w:top w:w="28" w:type="dxa"/>
            </w:tcMar>
            <w:vAlign w:val="bottom"/>
          </w:tcPr>
          <w:p>
            <w:pPr>
              <w:pStyle w:val="TableContents"/>
              <w:spacing w:before="0" w:after="1"/>
              <w:ind w:left="0" w:right="0" w:hanging="0"/>
              <w:jc w:val="right"/>
              <w:rPr/>
            </w:pPr>
            <w:r>
              <w:rPr/>
              <w:t> </w:t>
            </w:r>
          </w:p>
        </w:tc>
      </w:tr>
      <w:tr>
        <w:trPr/>
        <w:tc>
          <w:tcPr>
            <w:tcW w:w="2165" w:type="dxa"/>
            <w:tcBorders/>
            <w:shd w:fill="FFFFFF" w:val="clear"/>
            <w:vAlign w:val="bottom"/>
          </w:tcPr>
          <w:p>
            <w:pPr>
              <w:pStyle w:val="TableContents"/>
              <w:spacing w:before="0" w:after="1"/>
              <w:ind w:left="0" w:right="0" w:hanging="0"/>
              <w:jc w:val="both"/>
              <w:rPr>
                <w:sz w:val="17"/>
              </w:rPr>
            </w:pPr>
            <w:r>
              <w:rPr>
                <w:sz w:val="17"/>
              </w:rPr>
              <w:t>Balance at January 1, 2012</w:t>
            </w:r>
          </w:p>
        </w:tc>
        <w:tc>
          <w:tcPr>
            <w:tcW w:w="110" w:type="dxa"/>
            <w:tcBorders/>
            <w:shd w:fill="FFFFFF" w:val="clear"/>
            <w:vAlign w:val="bottom"/>
          </w:tcPr>
          <w:p>
            <w:pPr>
              <w:pStyle w:val="TableContents"/>
              <w:spacing w:before="0" w:after="1"/>
              <w:ind w:left="0" w:right="0" w:hanging="0"/>
              <w:jc w:val="right"/>
              <w:rPr/>
            </w:pPr>
            <w:r>
              <w:rPr/>
              <w:t> </w:t>
            </w:r>
          </w:p>
        </w:tc>
        <w:tc>
          <w:tcPr>
            <w:tcW w:w="1550" w:type="dxa"/>
            <w:tcBorders/>
            <w:shd w:fill="FFFFFF" w:val="clear"/>
            <w:vAlign w:val="bottom"/>
          </w:tcPr>
          <w:p>
            <w:pPr>
              <w:pStyle w:val="TableContents"/>
              <w:spacing w:before="0" w:after="283"/>
              <w:jc w:val="right"/>
              <w:rPr>
                <w:sz w:val="17"/>
              </w:rPr>
            </w:pPr>
            <w:r>
              <w:rPr>
                <w:sz w:val="17"/>
              </w:rPr>
              <w:t xml:space="preserve">(8,688,701) </w:t>
            </w:r>
          </w:p>
        </w:tc>
        <w:tc>
          <w:tcPr>
            <w:tcW w:w="110" w:type="dxa"/>
            <w:tcBorders/>
            <w:shd w:fill="FFFFFF" w:val="clear"/>
            <w:vAlign w:val="bottom"/>
          </w:tcPr>
          <w:p>
            <w:pPr>
              <w:pStyle w:val="TableContents"/>
              <w:spacing w:before="0" w:after="1"/>
              <w:ind w:left="0" w:right="0" w:hanging="0"/>
              <w:jc w:val="right"/>
              <w:rPr/>
            </w:pPr>
            <w:r>
              <w:rPr/>
              <w:t> </w:t>
            </w:r>
          </w:p>
        </w:tc>
        <w:tc>
          <w:tcPr>
            <w:tcW w:w="1820" w:type="dxa"/>
            <w:tcBorders/>
            <w:shd w:fill="FFFFFF" w:val="clear"/>
            <w:vAlign w:val="bottom"/>
          </w:tcPr>
          <w:p>
            <w:pPr>
              <w:pStyle w:val="TableContents"/>
              <w:spacing w:before="0" w:after="283"/>
              <w:jc w:val="right"/>
              <w:rPr>
                <w:sz w:val="17"/>
              </w:rPr>
            </w:pPr>
            <w:r>
              <w:rPr>
                <w:sz w:val="17"/>
              </w:rPr>
              <w:t xml:space="preserve">(1,061,838) </w:t>
            </w:r>
          </w:p>
        </w:tc>
        <w:tc>
          <w:tcPr>
            <w:tcW w:w="110" w:type="dxa"/>
            <w:tcBorders/>
            <w:shd w:fill="FFFFFF" w:val="clear"/>
            <w:vAlign w:val="bottom"/>
          </w:tcPr>
          <w:p>
            <w:pPr>
              <w:pStyle w:val="TableContents"/>
              <w:spacing w:before="0" w:after="1"/>
              <w:ind w:left="0" w:right="0" w:hanging="0"/>
              <w:jc w:val="right"/>
              <w:rPr/>
            </w:pPr>
            <w:r>
              <w:rPr/>
              <w:t> </w:t>
            </w:r>
          </w:p>
        </w:tc>
        <w:tc>
          <w:tcPr>
            <w:tcW w:w="935" w:type="dxa"/>
            <w:tcBorders/>
            <w:shd w:fill="FFFFFF" w:val="clear"/>
            <w:vAlign w:val="bottom"/>
          </w:tcPr>
          <w:p>
            <w:pPr>
              <w:pStyle w:val="TableContents"/>
              <w:spacing w:before="0" w:after="1"/>
              <w:ind w:left="0" w:right="65" w:hanging="0"/>
              <w:jc w:val="right"/>
              <w:rPr>
                <w:sz w:val="17"/>
              </w:rPr>
            </w:pPr>
            <w:r>
              <w:rPr>
                <w:sz w:val="17"/>
              </w:rPr>
              <w:t>--</w:t>
            </w:r>
          </w:p>
        </w:tc>
        <w:tc>
          <w:tcPr>
            <w:tcW w:w="110" w:type="dxa"/>
            <w:tcBorders/>
            <w:shd w:fill="FFFFFF" w:val="clear"/>
            <w:vAlign w:val="bottom"/>
          </w:tcPr>
          <w:p>
            <w:pPr>
              <w:pStyle w:val="TableContents"/>
              <w:spacing w:before="0" w:after="1"/>
              <w:ind w:left="0" w:right="0" w:hanging="0"/>
              <w:jc w:val="right"/>
              <w:rPr/>
            </w:pPr>
            <w:r>
              <w:rPr/>
              <w:t> </w:t>
            </w:r>
          </w:p>
        </w:tc>
        <w:tc>
          <w:tcPr>
            <w:tcW w:w="1010" w:type="dxa"/>
            <w:tcBorders/>
            <w:shd w:fill="FFFFFF" w:val="clear"/>
            <w:vAlign w:val="bottom"/>
          </w:tcPr>
          <w:p>
            <w:pPr>
              <w:pStyle w:val="TableContents"/>
              <w:spacing w:before="0" w:after="283"/>
              <w:jc w:val="right"/>
              <w:rPr>
                <w:sz w:val="17"/>
              </w:rPr>
            </w:pPr>
            <w:r>
              <w:rPr>
                <w:sz w:val="17"/>
              </w:rPr>
              <w:t xml:space="preserve">(9,750,539) </w:t>
            </w:r>
          </w:p>
        </w:tc>
      </w:tr>
      <w:tr>
        <w:trPr/>
        <w:tc>
          <w:tcPr>
            <w:tcW w:w="216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Depreciation and amortisation</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55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(492,890)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82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(104,459)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935"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0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(597,349) </w:t>
            </w:r>
          </w:p>
        </w:tc>
      </w:tr>
      <w:tr>
        <w:trPr/>
        <w:tc>
          <w:tcPr>
            <w:tcW w:w="216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Balance at December 31, 2012</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55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(9,181,591)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8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(1,166,297)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65" w:hanging="0"/>
              <w:jc w:val="right"/>
              <w:rPr>
                <w:sz w:val="17"/>
              </w:rPr>
            </w:pPr>
            <w:r>
              <w:rPr>
                <w:sz w:val="17"/>
              </w:rPr>
              <w:t>--</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10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(10,347,888) </w:t>
            </w:r>
          </w:p>
        </w:tc>
      </w:tr>
      <w:tr>
        <w:trPr/>
        <w:tc>
          <w:tcPr>
            <w:tcW w:w="216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155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182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935"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101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tbl>
      <w:tblPr>
        <w:tblW w:w="7215" w:type="dxa"/>
        <w:jc w:val="left"/>
        <w:tblInd w:w="1440" w:type="dxa"/>
        <w:tblCellMar>
          <w:top w:w="0" w:type="dxa"/>
          <w:left w:w="0" w:type="dxa"/>
          <w:bottom w:w="28" w:type="dxa"/>
          <w:right w:w="0" w:type="dxa"/>
        </w:tblCellMar>
      </w:tblPr>
      <w:tblGrid>
        <w:gridCol w:w="1625"/>
        <w:gridCol w:w="110"/>
        <w:gridCol w:w="1550"/>
        <w:gridCol w:w="110"/>
        <w:gridCol w:w="1820"/>
        <w:gridCol w:w="110"/>
        <w:gridCol w:w="935"/>
        <w:gridCol w:w="110"/>
        <w:gridCol w:w="845"/>
      </w:tblGrid>
      <w:tr>
        <w:trPr/>
        <w:tc>
          <w:tcPr>
            <w:tcW w:w="1625" w:type="dxa"/>
            <w:tcBorders>
              <w:bottom w:val="single" w:sz="12" w:space="0" w:color="000000"/>
            </w:tcBorders>
            <w:shd w:fill="auto" w:val="clear"/>
            <w:vAlign w:val="bottom"/>
          </w:tcPr>
          <w:p>
            <w:pPr>
              <w:pStyle w:val="TableContents"/>
              <w:spacing w:before="0" w:after="1"/>
              <w:ind w:left="0" w:right="0" w:hanging="0"/>
              <w:jc w:val="both"/>
              <w:rPr>
                <w:i/>
                <w:sz w:val="17"/>
              </w:rPr>
            </w:pPr>
            <w:r>
              <w:rPr>
                <w:i/>
                <w:sz w:val="17"/>
              </w:rPr>
              <w:t>In AUS$</w:t>
            </w:r>
          </w:p>
        </w:tc>
        <w:tc>
          <w:tcPr>
            <w:tcW w:w="110" w:type="dxa"/>
            <w:tcBorders>
              <w:bottom w:val="single" w:sz="12" w:space="0" w:color="000000"/>
            </w:tcBorders>
            <w:shd w:fill="auto" w:val="clear"/>
            <w:vAlign w:val="bottom"/>
          </w:tcPr>
          <w:p>
            <w:pPr>
              <w:pStyle w:val="TableContents"/>
              <w:spacing w:before="0" w:after="1"/>
              <w:ind w:left="0" w:right="0" w:hanging="0"/>
              <w:jc w:val="right"/>
              <w:rPr/>
            </w:pPr>
            <w:r>
              <w:rPr/>
              <w:t> </w:t>
            </w:r>
          </w:p>
        </w:tc>
        <w:tc>
          <w:tcPr>
            <w:tcW w:w="1550" w:type="dxa"/>
            <w:tcBorders>
              <w:bottom w:val="single" w:sz="12" w:space="0" w:color="000000"/>
            </w:tcBorders>
            <w:shd w:fill="auto" w:val="clear"/>
            <w:vAlign w:val="bottom"/>
          </w:tcPr>
          <w:p>
            <w:pPr>
              <w:pStyle w:val="TableContents"/>
              <w:spacing w:before="0" w:after="1"/>
              <w:ind w:left="0" w:right="0" w:hanging="0"/>
              <w:jc w:val="center"/>
              <w:rPr>
                <w:b/>
                <w:sz w:val="17"/>
              </w:rPr>
            </w:pPr>
            <w:r>
              <w:rPr>
                <w:b/>
                <w:sz w:val="17"/>
              </w:rPr>
              <w:t>Plant and Equipment</w:t>
            </w:r>
          </w:p>
        </w:tc>
        <w:tc>
          <w:tcPr>
            <w:tcW w:w="110" w:type="dxa"/>
            <w:tcBorders>
              <w:bottom w:val="single" w:sz="12" w:space="0" w:color="000000"/>
            </w:tcBorders>
            <w:shd w:fill="auto" w:val="clear"/>
            <w:vAlign w:val="bottom"/>
          </w:tcPr>
          <w:p>
            <w:pPr>
              <w:pStyle w:val="TableContents"/>
              <w:spacing w:before="0" w:after="1"/>
              <w:ind w:left="0" w:right="0" w:hanging="0"/>
              <w:jc w:val="right"/>
              <w:rPr/>
            </w:pPr>
            <w:r>
              <w:rPr/>
              <w:t> </w:t>
            </w:r>
          </w:p>
        </w:tc>
        <w:tc>
          <w:tcPr>
            <w:tcW w:w="1820" w:type="dxa"/>
            <w:tcBorders>
              <w:bottom w:val="single" w:sz="12" w:space="0" w:color="000000"/>
            </w:tcBorders>
            <w:shd w:fill="auto" w:val="clear"/>
            <w:vAlign w:val="bottom"/>
          </w:tcPr>
          <w:p>
            <w:pPr>
              <w:pStyle w:val="TableContents"/>
              <w:spacing w:before="0" w:after="1"/>
              <w:ind w:left="0" w:right="0" w:hanging="0"/>
              <w:jc w:val="center"/>
              <w:rPr>
                <w:b/>
                <w:sz w:val="17"/>
              </w:rPr>
            </w:pPr>
            <w:r>
              <w:rPr>
                <w:b/>
                <w:sz w:val="17"/>
              </w:rPr>
              <w:t>Leasehold Improvements</w:t>
            </w:r>
          </w:p>
        </w:tc>
        <w:tc>
          <w:tcPr>
            <w:tcW w:w="110" w:type="dxa"/>
            <w:tcBorders>
              <w:bottom w:val="single" w:sz="12" w:space="0" w:color="000000"/>
            </w:tcBorders>
            <w:shd w:fill="auto" w:val="clear"/>
            <w:vAlign w:val="bottom"/>
          </w:tcPr>
          <w:p>
            <w:pPr>
              <w:pStyle w:val="TableContents"/>
              <w:spacing w:before="0" w:after="1"/>
              <w:ind w:left="0" w:right="0" w:hanging="0"/>
              <w:jc w:val="right"/>
              <w:rPr/>
            </w:pPr>
            <w:r>
              <w:rPr/>
              <w:t> </w:t>
            </w:r>
          </w:p>
        </w:tc>
        <w:tc>
          <w:tcPr>
            <w:tcW w:w="935" w:type="dxa"/>
            <w:tcBorders>
              <w:bottom w:val="single" w:sz="12" w:space="0" w:color="000000"/>
            </w:tcBorders>
            <w:shd w:fill="auto" w:val="clear"/>
            <w:vAlign w:val="bottom"/>
          </w:tcPr>
          <w:p>
            <w:pPr>
              <w:pStyle w:val="TableContents"/>
              <w:spacing w:before="0" w:after="1"/>
              <w:ind w:left="0" w:right="0" w:hanging="0"/>
              <w:jc w:val="center"/>
              <w:rPr>
                <w:b/>
                <w:sz w:val="17"/>
              </w:rPr>
            </w:pPr>
            <w:r>
              <w:rPr>
                <w:b/>
                <w:sz w:val="17"/>
              </w:rPr>
              <w:t>Capital WIP</w:t>
            </w:r>
          </w:p>
        </w:tc>
        <w:tc>
          <w:tcPr>
            <w:tcW w:w="110" w:type="dxa"/>
            <w:tcBorders>
              <w:bottom w:val="single" w:sz="12" w:space="0" w:color="000000"/>
            </w:tcBorders>
            <w:shd w:fill="auto" w:val="clear"/>
            <w:vAlign w:val="bottom"/>
          </w:tcPr>
          <w:p>
            <w:pPr>
              <w:pStyle w:val="TableContents"/>
              <w:spacing w:before="0" w:after="1"/>
              <w:ind w:left="0" w:right="0" w:hanging="0"/>
              <w:jc w:val="right"/>
              <w:rPr/>
            </w:pPr>
            <w:r>
              <w:rPr/>
              <w:t> </w:t>
            </w:r>
          </w:p>
        </w:tc>
        <w:tc>
          <w:tcPr>
            <w:tcW w:w="845" w:type="dxa"/>
            <w:tcBorders>
              <w:bottom w:val="single" w:sz="12" w:space="0" w:color="000000"/>
            </w:tcBorders>
            <w:shd w:fill="auto" w:val="clear"/>
            <w:vAlign w:val="bottom"/>
          </w:tcPr>
          <w:p>
            <w:pPr>
              <w:pStyle w:val="TableContents"/>
              <w:spacing w:before="0" w:after="1"/>
              <w:ind w:left="0" w:right="0" w:hanging="0"/>
              <w:jc w:val="center"/>
              <w:rPr>
                <w:b/>
                <w:sz w:val="17"/>
              </w:rPr>
            </w:pPr>
            <w:r>
              <w:rPr>
                <w:b/>
                <w:sz w:val="17"/>
              </w:rPr>
              <w:t>Total</w:t>
            </w:r>
          </w:p>
        </w:tc>
      </w:tr>
      <w:tr>
        <w:trPr/>
        <w:tc>
          <w:tcPr>
            <w:tcW w:w="1625" w:type="dxa"/>
            <w:tcBorders>
              <w:top w:val="single" w:sz="8" w:space="0" w:color="000000"/>
            </w:tcBorders>
            <w:shd w:fill="auto" w:val="clear"/>
            <w:tcMar>
              <w:top w:w="28" w:type="dxa"/>
              <w:bottom w:w="0" w:type="dxa"/>
            </w:tcMar>
          </w:tcPr>
          <w:p>
            <w:pPr>
              <w:pStyle w:val="TableContents"/>
              <w:spacing w:before="0" w:after="1"/>
              <w:ind w:left="0" w:right="0" w:hanging="0"/>
              <w:jc w:val="both"/>
              <w:rPr>
                <w:b/>
                <w:sz w:val="17"/>
              </w:rPr>
            </w:pPr>
            <w:r>
              <w:rPr>
                <w:b/>
                <w:sz w:val="17"/>
              </w:rPr>
              <w:t>Carrying amounts</w:t>
            </w:r>
          </w:p>
        </w:tc>
        <w:tc>
          <w:tcPr>
            <w:tcW w:w="110"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1550"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1820"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935"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c>
          <w:tcPr>
            <w:tcW w:w="845" w:type="dxa"/>
            <w:tcBorders>
              <w:top w:val="single" w:sz="8" w:space="0" w:color="000000"/>
            </w:tcBorders>
            <w:shd w:fill="auto" w:val="clear"/>
            <w:tcMar>
              <w:top w:w="28" w:type="dxa"/>
              <w:bottom w:w="0" w:type="dxa"/>
            </w:tcMar>
          </w:tcPr>
          <w:p>
            <w:pPr>
              <w:pStyle w:val="TableContents"/>
              <w:spacing w:before="0" w:after="1"/>
              <w:ind w:left="0" w:right="0" w:hanging="0"/>
              <w:jc w:val="right"/>
              <w:rPr/>
            </w:pPr>
            <w:r>
              <w:rPr/>
              <w:t> </w:t>
            </w:r>
          </w:p>
        </w:tc>
      </w:tr>
      <w:tr>
        <w:trPr/>
        <w:tc>
          <w:tcPr>
            <w:tcW w:w="1625" w:type="dxa"/>
            <w:tcBorders/>
            <w:shd w:fill="CCEEFF" w:val="clear"/>
            <w:tcMar>
              <w:bottom w:w="0" w:type="dxa"/>
            </w:tcMar>
          </w:tcPr>
          <w:p>
            <w:pPr>
              <w:pStyle w:val="TableContents"/>
              <w:spacing w:before="0" w:after="1"/>
              <w:ind w:left="0" w:right="0" w:hanging="0"/>
              <w:jc w:val="both"/>
              <w:rPr>
                <w:sz w:val="17"/>
              </w:rPr>
            </w:pPr>
            <w:r>
              <w:rPr>
                <w:sz w:val="17"/>
              </w:rPr>
              <w:t>At January 1, 2011</w:t>
            </w:r>
          </w:p>
        </w:tc>
        <w:tc>
          <w:tcPr>
            <w:tcW w:w="110" w:type="dxa"/>
            <w:tcBorders/>
            <w:shd w:fill="CCEEFF" w:val="clear"/>
            <w:tcMar>
              <w:bottom w:w="0" w:type="dxa"/>
            </w:tcMar>
          </w:tcPr>
          <w:p>
            <w:pPr>
              <w:pStyle w:val="TableContents"/>
              <w:spacing w:before="0" w:after="1"/>
              <w:ind w:left="0" w:right="0" w:hanging="0"/>
              <w:jc w:val="right"/>
              <w:rPr>
                <w:sz w:val="17"/>
              </w:rPr>
            </w:pPr>
            <w:r>
              <w:rPr>
                <w:sz w:val="17"/>
              </w:rPr>
              <w:t>$</w:t>
            </w:r>
          </w:p>
        </w:tc>
        <w:tc>
          <w:tcPr>
            <w:tcW w:w="1550" w:type="dxa"/>
            <w:tcBorders/>
            <w:shd w:fill="CCEEFF" w:val="clear"/>
            <w:tcMar>
              <w:bottom w:w="0" w:type="dxa"/>
            </w:tcMar>
          </w:tcPr>
          <w:p>
            <w:pPr>
              <w:pStyle w:val="TableContents"/>
              <w:spacing w:before="0" w:after="283"/>
              <w:jc w:val="right"/>
              <w:rPr>
                <w:sz w:val="17"/>
              </w:rPr>
            </w:pPr>
            <w:r>
              <w:rPr>
                <w:sz w:val="17"/>
              </w:rPr>
              <w:t xml:space="preserve">1,122,120  </w:t>
            </w:r>
          </w:p>
        </w:tc>
        <w:tc>
          <w:tcPr>
            <w:tcW w:w="110" w:type="dxa"/>
            <w:tcBorders/>
            <w:shd w:fill="CCEEFF" w:val="clear"/>
            <w:tcMar>
              <w:bottom w:w="0" w:type="dxa"/>
            </w:tcMar>
          </w:tcPr>
          <w:p>
            <w:pPr>
              <w:pStyle w:val="TableContents"/>
              <w:spacing w:before="0" w:after="1"/>
              <w:ind w:left="0" w:right="0" w:hanging="0"/>
              <w:jc w:val="right"/>
              <w:rPr>
                <w:sz w:val="17"/>
              </w:rPr>
            </w:pPr>
            <w:r>
              <w:rPr>
                <w:sz w:val="17"/>
              </w:rPr>
              <w:t>$</w:t>
            </w:r>
          </w:p>
        </w:tc>
        <w:tc>
          <w:tcPr>
            <w:tcW w:w="1820" w:type="dxa"/>
            <w:tcBorders/>
            <w:shd w:fill="CCEEFF" w:val="clear"/>
            <w:tcMar>
              <w:bottom w:w="0" w:type="dxa"/>
            </w:tcMar>
          </w:tcPr>
          <w:p>
            <w:pPr>
              <w:pStyle w:val="TableContents"/>
              <w:spacing w:before="0" w:after="283"/>
              <w:jc w:val="right"/>
              <w:rPr>
                <w:sz w:val="17"/>
              </w:rPr>
            </w:pPr>
            <w:r>
              <w:rPr>
                <w:sz w:val="17"/>
              </w:rPr>
              <w:t xml:space="preserve">1,596,645  </w:t>
            </w:r>
          </w:p>
        </w:tc>
        <w:tc>
          <w:tcPr>
            <w:tcW w:w="110" w:type="dxa"/>
            <w:tcBorders/>
            <w:shd w:fill="CCEEFF" w:val="clear"/>
            <w:tcMar>
              <w:bottom w:w="0" w:type="dxa"/>
            </w:tcMar>
          </w:tcPr>
          <w:p>
            <w:pPr>
              <w:pStyle w:val="TableContents"/>
              <w:spacing w:before="0" w:after="1"/>
              <w:ind w:left="0" w:right="0" w:hanging="0"/>
              <w:jc w:val="right"/>
              <w:rPr>
                <w:sz w:val="17"/>
              </w:rPr>
            </w:pPr>
            <w:r>
              <w:rPr>
                <w:sz w:val="17"/>
              </w:rPr>
              <w:t>$</w:t>
            </w:r>
          </w:p>
        </w:tc>
        <w:tc>
          <w:tcPr>
            <w:tcW w:w="935" w:type="dxa"/>
            <w:tcBorders/>
            <w:shd w:fill="CCEEFF" w:val="clear"/>
            <w:tcMar>
              <w:bottom w:w="0" w:type="dxa"/>
            </w:tcMar>
          </w:tcPr>
          <w:p>
            <w:pPr>
              <w:pStyle w:val="TableContents"/>
              <w:spacing w:before="0" w:after="283"/>
              <w:jc w:val="right"/>
              <w:rPr>
                <w:sz w:val="17"/>
              </w:rPr>
            </w:pPr>
            <w:r>
              <w:rPr>
                <w:sz w:val="17"/>
              </w:rPr>
              <w:t xml:space="preserve">265,351  </w:t>
            </w:r>
          </w:p>
        </w:tc>
        <w:tc>
          <w:tcPr>
            <w:tcW w:w="110" w:type="dxa"/>
            <w:tcBorders/>
            <w:shd w:fill="CCEEFF" w:val="clear"/>
            <w:tcMar>
              <w:bottom w:w="0" w:type="dxa"/>
            </w:tcMar>
          </w:tcPr>
          <w:p>
            <w:pPr>
              <w:pStyle w:val="TableContents"/>
              <w:spacing w:before="0" w:after="1"/>
              <w:ind w:left="0" w:right="0" w:hanging="0"/>
              <w:jc w:val="right"/>
              <w:rPr>
                <w:sz w:val="17"/>
              </w:rPr>
            </w:pPr>
            <w:r>
              <w:rPr>
                <w:sz w:val="17"/>
              </w:rPr>
              <w:t>$</w:t>
            </w:r>
          </w:p>
        </w:tc>
        <w:tc>
          <w:tcPr>
            <w:tcW w:w="845" w:type="dxa"/>
            <w:tcBorders/>
            <w:shd w:fill="CCEEFF" w:val="clear"/>
            <w:tcMar>
              <w:bottom w:w="0" w:type="dxa"/>
            </w:tcMar>
          </w:tcPr>
          <w:p>
            <w:pPr>
              <w:pStyle w:val="TableContents"/>
              <w:spacing w:before="0" w:after="283"/>
              <w:jc w:val="right"/>
              <w:rPr>
                <w:sz w:val="17"/>
              </w:rPr>
            </w:pPr>
            <w:r>
              <w:rPr>
                <w:sz w:val="17"/>
              </w:rPr>
              <w:t xml:space="preserve">2,984,116  </w:t>
            </w:r>
          </w:p>
        </w:tc>
      </w:tr>
      <w:tr>
        <w:trPr/>
        <w:tc>
          <w:tcPr>
            <w:tcW w:w="1625" w:type="dxa"/>
            <w:tcBorders/>
            <w:shd w:fill="FFFFFF" w:val="clear"/>
            <w:tcMar>
              <w:bottom w:w="0" w:type="dxa"/>
            </w:tcMar>
          </w:tcPr>
          <w:p>
            <w:pPr>
              <w:pStyle w:val="TableContents"/>
              <w:spacing w:before="0" w:after="1"/>
              <w:ind w:left="0" w:right="0" w:hanging="0"/>
              <w:jc w:val="both"/>
              <w:rPr>
                <w:sz w:val="17"/>
              </w:rPr>
            </w:pPr>
            <w:r>
              <w:rPr>
                <w:sz w:val="17"/>
              </w:rPr>
              <w:t>At December 31, 2011</w:t>
            </w:r>
          </w:p>
        </w:tc>
        <w:tc>
          <w:tcPr>
            <w:tcW w:w="110" w:type="dxa"/>
            <w:tcBorders/>
            <w:shd w:fill="FFFFFF" w:val="clear"/>
            <w:tcMar>
              <w:bottom w:w="0" w:type="dxa"/>
            </w:tcMar>
          </w:tcPr>
          <w:p>
            <w:pPr>
              <w:pStyle w:val="TableContents"/>
              <w:spacing w:before="0" w:after="1"/>
              <w:ind w:left="0" w:right="0" w:hanging="0"/>
              <w:jc w:val="right"/>
              <w:rPr/>
            </w:pPr>
            <w:r>
              <w:rPr/>
              <w:t> </w:t>
            </w:r>
          </w:p>
        </w:tc>
        <w:tc>
          <w:tcPr>
            <w:tcW w:w="1550" w:type="dxa"/>
            <w:tcBorders/>
            <w:shd w:fill="FFFFFF" w:val="clear"/>
            <w:tcMar>
              <w:bottom w:w="0" w:type="dxa"/>
            </w:tcMar>
          </w:tcPr>
          <w:p>
            <w:pPr>
              <w:pStyle w:val="TableContents"/>
              <w:spacing w:before="0" w:after="283"/>
              <w:jc w:val="right"/>
              <w:rPr>
                <w:sz w:val="17"/>
              </w:rPr>
            </w:pPr>
            <w:r>
              <w:rPr>
                <w:sz w:val="17"/>
              </w:rPr>
              <w:t xml:space="preserve">1,769,563  </w:t>
            </w:r>
          </w:p>
        </w:tc>
        <w:tc>
          <w:tcPr>
            <w:tcW w:w="110" w:type="dxa"/>
            <w:tcBorders/>
            <w:shd w:fill="FFFFFF" w:val="clear"/>
            <w:tcMar>
              <w:bottom w:w="0" w:type="dxa"/>
            </w:tcMar>
          </w:tcPr>
          <w:p>
            <w:pPr>
              <w:pStyle w:val="TableContents"/>
              <w:spacing w:before="0" w:after="1"/>
              <w:ind w:left="0" w:right="0" w:hanging="0"/>
              <w:jc w:val="right"/>
              <w:rPr/>
            </w:pPr>
            <w:r>
              <w:rPr/>
              <w:t> </w:t>
            </w:r>
          </w:p>
        </w:tc>
        <w:tc>
          <w:tcPr>
            <w:tcW w:w="1820" w:type="dxa"/>
            <w:tcBorders/>
            <w:shd w:fill="FFFFFF" w:val="clear"/>
            <w:tcMar>
              <w:bottom w:w="0" w:type="dxa"/>
            </w:tcMar>
          </w:tcPr>
          <w:p>
            <w:pPr>
              <w:pStyle w:val="TableContents"/>
              <w:spacing w:before="0" w:after="283"/>
              <w:jc w:val="right"/>
              <w:rPr>
                <w:sz w:val="17"/>
              </w:rPr>
            </w:pPr>
            <w:r>
              <w:rPr>
                <w:sz w:val="17"/>
              </w:rPr>
              <w:t xml:space="preserve">1,725,946  </w:t>
            </w:r>
          </w:p>
        </w:tc>
        <w:tc>
          <w:tcPr>
            <w:tcW w:w="110" w:type="dxa"/>
            <w:tcBorders/>
            <w:shd w:fill="FFFFFF" w:val="clear"/>
            <w:tcMar>
              <w:bottom w:w="0" w:type="dxa"/>
            </w:tcMar>
          </w:tcPr>
          <w:p>
            <w:pPr>
              <w:pStyle w:val="TableContents"/>
              <w:spacing w:before="0" w:after="1"/>
              <w:ind w:left="0" w:right="0" w:hanging="0"/>
              <w:jc w:val="right"/>
              <w:rPr/>
            </w:pPr>
            <w:r>
              <w:rPr/>
              <w:t> </w:t>
            </w:r>
          </w:p>
        </w:tc>
        <w:tc>
          <w:tcPr>
            <w:tcW w:w="935" w:type="dxa"/>
            <w:tcBorders/>
            <w:shd w:fill="FFFFFF" w:val="clear"/>
            <w:tcMar>
              <w:bottom w:w="0" w:type="dxa"/>
            </w:tcMar>
          </w:tcPr>
          <w:p>
            <w:pPr>
              <w:pStyle w:val="TableContents"/>
              <w:spacing w:before="0" w:after="283"/>
              <w:jc w:val="right"/>
              <w:rPr>
                <w:sz w:val="17"/>
              </w:rPr>
            </w:pPr>
            <w:r>
              <w:rPr>
                <w:sz w:val="17"/>
              </w:rPr>
              <w:t xml:space="preserve">242,446  </w:t>
            </w:r>
          </w:p>
        </w:tc>
        <w:tc>
          <w:tcPr>
            <w:tcW w:w="110" w:type="dxa"/>
            <w:tcBorders/>
            <w:shd w:fill="FFFFFF" w:val="clear"/>
            <w:tcMar>
              <w:bottom w:w="0" w:type="dxa"/>
            </w:tcMar>
          </w:tcPr>
          <w:p>
            <w:pPr>
              <w:pStyle w:val="TableContents"/>
              <w:spacing w:before="0" w:after="1"/>
              <w:ind w:left="0" w:right="0" w:hanging="0"/>
              <w:jc w:val="right"/>
              <w:rPr/>
            </w:pPr>
            <w:r>
              <w:rPr/>
              <w:t> </w:t>
            </w:r>
          </w:p>
        </w:tc>
        <w:tc>
          <w:tcPr>
            <w:tcW w:w="845" w:type="dxa"/>
            <w:tcBorders/>
            <w:shd w:fill="FFFFFF" w:val="clear"/>
            <w:tcMar>
              <w:bottom w:w="0" w:type="dxa"/>
            </w:tcMar>
          </w:tcPr>
          <w:p>
            <w:pPr>
              <w:pStyle w:val="TableContents"/>
              <w:spacing w:before="0" w:after="283"/>
              <w:jc w:val="right"/>
              <w:rPr>
                <w:sz w:val="17"/>
              </w:rPr>
            </w:pPr>
            <w:r>
              <w:rPr>
                <w:sz w:val="17"/>
              </w:rPr>
              <w:t xml:space="preserve">3,737,955  </w:t>
            </w:r>
          </w:p>
        </w:tc>
      </w:tr>
      <w:tr>
        <w:trPr/>
        <w:tc>
          <w:tcPr>
            <w:tcW w:w="1625" w:type="dxa"/>
            <w:tcBorders/>
            <w:shd w:fill="CCEEFF" w:val="clear"/>
            <w:tcMar>
              <w:bottom w:w="0" w:type="dxa"/>
            </w:tcMar>
          </w:tcPr>
          <w:p>
            <w:pPr>
              <w:pStyle w:val="TableContents"/>
              <w:spacing w:before="0" w:after="1"/>
              <w:ind w:left="0" w:right="0" w:hanging="0"/>
              <w:jc w:val="both"/>
              <w:rPr>
                <w:sz w:val="17"/>
              </w:rPr>
            </w:pPr>
            <w:r>
              <w:rPr>
                <w:sz w:val="17"/>
              </w:rPr>
              <w:t>At January 1, 2012</w:t>
            </w:r>
          </w:p>
        </w:tc>
        <w:tc>
          <w:tcPr>
            <w:tcW w:w="110" w:type="dxa"/>
            <w:tcBorders/>
            <w:shd w:fill="CCEEFF" w:val="clear"/>
            <w:tcMar>
              <w:bottom w:w="0" w:type="dxa"/>
            </w:tcMar>
          </w:tcPr>
          <w:p>
            <w:pPr>
              <w:pStyle w:val="TableContents"/>
              <w:spacing w:before="0" w:after="1"/>
              <w:ind w:left="0" w:right="0" w:hanging="0"/>
              <w:jc w:val="right"/>
              <w:rPr/>
            </w:pPr>
            <w:r>
              <w:rPr/>
              <w:t> </w:t>
            </w:r>
          </w:p>
        </w:tc>
        <w:tc>
          <w:tcPr>
            <w:tcW w:w="1550" w:type="dxa"/>
            <w:tcBorders/>
            <w:shd w:fill="CCEEFF" w:val="clear"/>
            <w:tcMar>
              <w:bottom w:w="0" w:type="dxa"/>
            </w:tcMar>
          </w:tcPr>
          <w:p>
            <w:pPr>
              <w:pStyle w:val="TableContents"/>
              <w:spacing w:before="0" w:after="283"/>
              <w:jc w:val="right"/>
              <w:rPr>
                <w:sz w:val="17"/>
              </w:rPr>
            </w:pPr>
            <w:r>
              <w:rPr>
                <w:sz w:val="17"/>
              </w:rPr>
              <w:t xml:space="preserve">1,769,563  </w:t>
            </w:r>
          </w:p>
        </w:tc>
        <w:tc>
          <w:tcPr>
            <w:tcW w:w="110" w:type="dxa"/>
            <w:tcBorders/>
            <w:shd w:fill="CCEEFF" w:val="clear"/>
            <w:tcMar>
              <w:bottom w:w="0" w:type="dxa"/>
            </w:tcMar>
          </w:tcPr>
          <w:p>
            <w:pPr>
              <w:pStyle w:val="TableContents"/>
              <w:spacing w:before="0" w:after="1"/>
              <w:ind w:left="0" w:right="0" w:hanging="0"/>
              <w:jc w:val="right"/>
              <w:rPr/>
            </w:pPr>
            <w:r>
              <w:rPr/>
              <w:t> </w:t>
            </w:r>
          </w:p>
        </w:tc>
        <w:tc>
          <w:tcPr>
            <w:tcW w:w="1820" w:type="dxa"/>
            <w:tcBorders/>
            <w:shd w:fill="CCEEFF" w:val="clear"/>
            <w:tcMar>
              <w:bottom w:w="0" w:type="dxa"/>
            </w:tcMar>
          </w:tcPr>
          <w:p>
            <w:pPr>
              <w:pStyle w:val="TableContents"/>
              <w:spacing w:before="0" w:after="283"/>
              <w:jc w:val="right"/>
              <w:rPr>
                <w:sz w:val="17"/>
              </w:rPr>
            </w:pPr>
            <w:r>
              <w:rPr>
                <w:sz w:val="17"/>
              </w:rPr>
              <w:t xml:space="preserve">1,725,946  </w:t>
            </w:r>
          </w:p>
        </w:tc>
        <w:tc>
          <w:tcPr>
            <w:tcW w:w="110" w:type="dxa"/>
            <w:tcBorders/>
            <w:shd w:fill="CCEEFF" w:val="clear"/>
            <w:tcMar>
              <w:bottom w:w="0" w:type="dxa"/>
            </w:tcMar>
          </w:tcPr>
          <w:p>
            <w:pPr>
              <w:pStyle w:val="TableContents"/>
              <w:spacing w:before="0" w:after="1"/>
              <w:ind w:left="0" w:right="0" w:hanging="0"/>
              <w:jc w:val="right"/>
              <w:rPr/>
            </w:pPr>
            <w:r>
              <w:rPr/>
              <w:t> </w:t>
            </w:r>
          </w:p>
        </w:tc>
        <w:tc>
          <w:tcPr>
            <w:tcW w:w="935" w:type="dxa"/>
            <w:tcBorders/>
            <w:shd w:fill="CCEEFF" w:val="clear"/>
            <w:tcMar>
              <w:bottom w:w="0" w:type="dxa"/>
            </w:tcMar>
          </w:tcPr>
          <w:p>
            <w:pPr>
              <w:pStyle w:val="TableContents"/>
              <w:spacing w:before="0" w:after="283"/>
              <w:jc w:val="right"/>
              <w:rPr>
                <w:sz w:val="17"/>
              </w:rPr>
            </w:pPr>
            <w:r>
              <w:rPr>
                <w:sz w:val="17"/>
              </w:rPr>
              <w:t xml:space="preserve">242,446  </w:t>
            </w:r>
          </w:p>
        </w:tc>
        <w:tc>
          <w:tcPr>
            <w:tcW w:w="110" w:type="dxa"/>
            <w:tcBorders/>
            <w:shd w:fill="CCEEFF" w:val="clear"/>
            <w:tcMar>
              <w:bottom w:w="0" w:type="dxa"/>
            </w:tcMar>
          </w:tcPr>
          <w:p>
            <w:pPr>
              <w:pStyle w:val="TableContents"/>
              <w:spacing w:before="0" w:after="1"/>
              <w:ind w:left="0" w:right="0" w:hanging="0"/>
              <w:jc w:val="right"/>
              <w:rPr/>
            </w:pPr>
            <w:r>
              <w:rPr/>
              <w:t> </w:t>
            </w:r>
          </w:p>
        </w:tc>
        <w:tc>
          <w:tcPr>
            <w:tcW w:w="845" w:type="dxa"/>
            <w:tcBorders/>
            <w:shd w:fill="CCEEFF" w:val="clear"/>
            <w:tcMar>
              <w:bottom w:w="0" w:type="dxa"/>
            </w:tcMar>
          </w:tcPr>
          <w:p>
            <w:pPr>
              <w:pStyle w:val="TableContents"/>
              <w:spacing w:before="0" w:after="283"/>
              <w:jc w:val="right"/>
              <w:rPr>
                <w:sz w:val="17"/>
              </w:rPr>
            </w:pPr>
            <w:r>
              <w:rPr>
                <w:sz w:val="17"/>
              </w:rPr>
              <w:t xml:space="preserve">3,737,955  </w:t>
            </w:r>
          </w:p>
        </w:tc>
      </w:tr>
      <w:tr>
        <w:trPr/>
        <w:tc>
          <w:tcPr>
            <w:tcW w:w="1625" w:type="dxa"/>
            <w:tcBorders>
              <w:bottom w:val="single" w:sz="12" w:space="0" w:color="000000"/>
            </w:tcBorders>
            <w:shd w:fill="FFFFFF" w:val="clear"/>
          </w:tcPr>
          <w:p>
            <w:pPr>
              <w:pStyle w:val="TableContents"/>
              <w:spacing w:before="0" w:after="1"/>
              <w:ind w:left="0" w:right="0" w:hanging="0"/>
              <w:jc w:val="both"/>
              <w:rPr>
                <w:sz w:val="17"/>
              </w:rPr>
            </w:pPr>
            <w:r>
              <w:rPr>
                <w:sz w:val="17"/>
              </w:rPr>
              <w:t>At December 31, 2012</w:t>
            </w:r>
          </w:p>
        </w:tc>
        <w:tc>
          <w:tcPr>
            <w:tcW w:w="110" w:type="dxa"/>
            <w:tcBorders>
              <w:bottom w:val="single" w:sz="12" w:space="0" w:color="000000"/>
            </w:tcBorders>
            <w:shd w:fill="FFFFFF" w:val="clear"/>
          </w:tcPr>
          <w:p>
            <w:pPr>
              <w:pStyle w:val="TableContents"/>
              <w:spacing w:before="0" w:after="1"/>
              <w:ind w:left="0" w:right="0" w:hanging="0"/>
              <w:jc w:val="right"/>
              <w:rPr/>
            </w:pPr>
            <w:r>
              <w:rPr/>
              <w:t> </w:t>
            </w:r>
          </w:p>
        </w:tc>
        <w:tc>
          <w:tcPr>
            <w:tcW w:w="1550" w:type="dxa"/>
            <w:tcBorders>
              <w:bottom w:val="single" w:sz="12" w:space="0" w:color="000000"/>
            </w:tcBorders>
            <w:shd w:fill="FFFFFF" w:val="clear"/>
          </w:tcPr>
          <w:p>
            <w:pPr>
              <w:pStyle w:val="TableContents"/>
              <w:spacing w:before="0" w:after="283"/>
              <w:jc w:val="right"/>
              <w:rPr>
                <w:sz w:val="17"/>
              </w:rPr>
            </w:pPr>
            <w:r>
              <w:rPr>
                <w:sz w:val="17"/>
              </w:rPr>
              <w:t xml:space="preserve">1,370,795  </w:t>
            </w:r>
          </w:p>
        </w:tc>
        <w:tc>
          <w:tcPr>
            <w:tcW w:w="110" w:type="dxa"/>
            <w:tcBorders>
              <w:bottom w:val="single" w:sz="12" w:space="0" w:color="000000"/>
            </w:tcBorders>
            <w:shd w:fill="FFFFFF" w:val="clear"/>
          </w:tcPr>
          <w:p>
            <w:pPr>
              <w:pStyle w:val="TableContents"/>
              <w:spacing w:before="0" w:after="1"/>
              <w:ind w:left="0" w:right="0" w:hanging="0"/>
              <w:jc w:val="right"/>
              <w:rPr/>
            </w:pPr>
            <w:r>
              <w:rPr/>
              <w:t> </w:t>
            </w:r>
          </w:p>
        </w:tc>
        <w:tc>
          <w:tcPr>
            <w:tcW w:w="1820" w:type="dxa"/>
            <w:tcBorders>
              <w:bottom w:val="single" w:sz="12" w:space="0" w:color="000000"/>
            </w:tcBorders>
            <w:shd w:fill="FFFFFF" w:val="clear"/>
          </w:tcPr>
          <w:p>
            <w:pPr>
              <w:pStyle w:val="TableContents"/>
              <w:spacing w:before="0" w:after="283"/>
              <w:jc w:val="right"/>
              <w:rPr>
                <w:sz w:val="17"/>
              </w:rPr>
            </w:pPr>
            <w:r>
              <w:rPr>
                <w:sz w:val="17"/>
              </w:rPr>
              <w:t xml:space="preserve">1,626,387  </w:t>
            </w:r>
          </w:p>
        </w:tc>
        <w:tc>
          <w:tcPr>
            <w:tcW w:w="110" w:type="dxa"/>
            <w:tcBorders>
              <w:bottom w:val="single" w:sz="12" w:space="0" w:color="000000"/>
            </w:tcBorders>
            <w:shd w:fill="FFFFFF" w:val="clear"/>
          </w:tcPr>
          <w:p>
            <w:pPr>
              <w:pStyle w:val="TableContents"/>
              <w:spacing w:before="0" w:after="1"/>
              <w:ind w:left="0" w:right="0" w:hanging="0"/>
              <w:jc w:val="right"/>
              <w:rPr/>
            </w:pPr>
            <w:r>
              <w:rPr/>
              <w:t> </w:t>
            </w:r>
          </w:p>
        </w:tc>
        <w:tc>
          <w:tcPr>
            <w:tcW w:w="935" w:type="dxa"/>
            <w:tcBorders>
              <w:bottom w:val="single" w:sz="12" w:space="0" w:color="000000"/>
            </w:tcBorders>
            <w:shd w:fill="FFFFFF" w:val="clear"/>
          </w:tcPr>
          <w:p>
            <w:pPr>
              <w:pStyle w:val="TableContents"/>
              <w:spacing w:before="0" w:after="283"/>
              <w:jc w:val="right"/>
              <w:rPr>
                <w:sz w:val="17"/>
              </w:rPr>
            </w:pPr>
            <w:r>
              <w:rPr>
                <w:sz w:val="17"/>
              </w:rPr>
              <w:t xml:space="preserve">926,689  </w:t>
            </w:r>
          </w:p>
        </w:tc>
        <w:tc>
          <w:tcPr>
            <w:tcW w:w="110" w:type="dxa"/>
            <w:tcBorders>
              <w:bottom w:val="single" w:sz="12" w:space="0" w:color="000000"/>
            </w:tcBorders>
            <w:shd w:fill="FFFFFF" w:val="clear"/>
          </w:tcPr>
          <w:p>
            <w:pPr>
              <w:pStyle w:val="TableContents"/>
              <w:spacing w:before="0" w:after="1"/>
              <w:ind w:left="0" w:right="0" w:hanging="0"/>
              <w:jc w:val="right"/>
              <w:rPr/>
            </w:pPr>
            <w:r>
              <w:rPr/>
              <w:t> </w:t>
            </w:r>
          </w:p>
        </w:tc>
        <w:tc>
          <w:tcPr>
            <w:tcW w:w="845" w:type="dxa"/>
            <w:tcBorders>
              <w:bottom w:val="single" w:sz="12" w:space="0" w:color="000000"/>
            </w:tcBorders>
            <w:shd w:fill="FFFFFF" w:val="clear"/>
          </w:tcPr>
          <w:p>
            <w:pPr>
              <w:pStyle w:val="TableContents"/>
              <w:spacing w:before="0" w:after="283"/>
              <w:jc w:val="right"/>
              <w:rPr>
                <w:sz w:val="17"/>
              </w:rPr>
            </w:pPr>
            <w:r>
              <w:rPr>
                <w:sz w:val="17"/>
              </w:rPr>
              <w:t xml:space="preserve">3,923,871 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12.</w:t>
      </w:r>
      <w:r>
        <w:rPr>
          <w:sz w:val="17"/>
        </w:rPr>
        <w:t xml:space="preserve"> </w:t>
      </w:r>
      <w:r>
        <w:rPr>
          <w:b/>
          <w:sz w:val="17"/>
        </w:rPr>
        <w:t>Trade and other payables</w:t>
      </w:r>
      <w:r>
        <w:rPr>
          <w:sz w:val="17"/>
        </w:rPr>
        <w:t xml:space="preserve"> </w:t>
      </w:r>
    </w:p>
    <w:p>
      <w:pPr>
        <w:pStyle w:val="TextBody"/>
        <w:spacing w:before="0" w:after="0"/>
        <w:ind w:left="1440" w:right="0" w:hanging="0"/>
        <w:jc w:val="both"/>
        <w:rPr/>
      </w:pPr>
      <w:r>
        <w:rPr/>
        <w:t xml:space="preserve">  </w:t>
      </w:r>
    </w:p>
    <w:tbl>
      <w:tblPr>
        <w:tblW w:w="4890" w:type="dxa"/>
        <w:jc w:val="left"/>
        <w:tblInd w:w="1440" w:type="dxa"/>
        <w:tblCellMar>
          <w:top w:w="0" w:type="dxa"/>
          <w:left w:w="0" w:type="dxa"/>
          <w:bottom w:w="0" w:type="dxa"/>
          <w:right w:w="0" w:type="dxa"/>
        </w:tblCellMar>
      </w:tblPr>
      <w:tblGrid>
        <w:gridCol w:w="2330"/>
        <w:gridCol w:w="365"/>
        <w:gridCol w:w="60"/>
        <w:gridCol w:w="60"/>
        <w:gridCol w:w="110"/>
        <w:gridCol w:w="920"/>
        <w:gridCol w:w="110"/>
        <w:gridCol w:w="935"/>
      </w:tblGrid>
      <w:tr>
        <w:trPr/>
        <w:tc>
          <w:tcPr>
            <w:tcW w:w="2330"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330"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center"/>
              <w:rPr/>
            </w:pPr>
            <w:r>
              <w:rPr/>
              <w:t> </w:t>
            </w:r>
          </w:p>
        </w:tc>
        <w:tc>
          <w:tcPr>
            <w:tcW w:w="60" w:type="dxa"/>
            <w:tcBorders/>
            <w:shd w:fill="auto" w:val="clear"/>
            <w:vAlign w:val="bottom"/>
          </w:tcPr>
          <w:p>
            <w:pPr>
              <w:pStyle w:val="TableContents"/>
              <w:spacing w:before="0" w:after="1"/>
              <w:ind w:left="0" w:right="0" w:hanging="0"/>
              <w:jc w:val="center"/>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33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Note</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2330"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Trade payables</w:t>
            </w:r>
          </w:p>
        </w:tc>
        <w:tc>
          <w:tcPr>
            <w:tcW w:w="365"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20" w:type="dxa"/>
            <w:tcBorders>
              <w:top w:val="single" w:sz="8" w:space="0" w:color="000000"/>
            </w:tcBorders>
            <w:shd w:fill="auto" w:val="clear"/>
            <w:tcMar>
              <w:top w:w="28" w:type="dxa"/>
            </w:tcMar>
            <w:vAlign w:val="bottom"/>
          </w:tcPr>
          <w:p>
            <w:pPr>
              <w:pStyle w:val="TableContents"/>
              <w:spacing w:before="0" w:after="283"/>
              <w:rPr/>
            </w:pPr>
            <w:r>
              <w:rPr/>
              <w:t xml:space="preserve">413,082 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35" w:type="dxa"/>
            <w:tcBorders>
              <w:top w:val="single" w:sz="8" w:space="0" w:color="000000"/>
            </w:tcBorders>
            <w:shd w:fill="auto" w:val="clear"/>
            <w:tcMar>
              <w:top w:w="28" w:type="dxa"/>
            </w:tcMar>
            <w:vAlign w:val="bottom"/>
          </w:tcPr>
          <w:p>
            <w:pPr>
              <w:pStyle w:val="TableContents"/>
              <w:spacing w:before="0" w:after="283"/>
              <w:rPr/>
            </w:pPr>
            <w:r>
              <w:rPr/>
              <w:t xml:space="preserve">365,188  </w:t>
            </w:r>
          </w:p>
        </w:tc>
      </w:tr>
      <w:tr>
        <w:trPr/>
        <w:tc>
          <w:tcPr>
            <w:tcW w:w="2330" w:type="dxa"/>
            <w:tcBorders>
              <w:bottom w:val="single" w:sz="8" w:space="0" w:color="000000"/>
            </w:tcBorders>
            <w:shd w:fill="auto" w:val="clear"/>
            <w:tcMar>
              <w:bottom w:w="28" w:type="dxa"/>
            </w:tcMar>
            <w:vAlign w:val="bottom"/>
          </w:tcPr>
          <w:p>
            <w:pPr>
              <w:pStyle w:val="TableContents"/>
              <w:spacing w:before="0" w:after="1"/>
              <w:ind w:left="0" w:right="0" w:hanging="0"/>
              <w:jc w:val="both"/>
              <w:rPr>
                <w:sz w:val="17"/>
              </w:rPr>
            </w:pPr>
            <w:r>
              <w:rPr>
                <w:sz w:val="17"/>
              </w:rPr>
              <w:t xml:space="preserve">Non-trade payables and accruals </w:t>
            </w:r>
          </w:p>
        </w:tc>
        <w:tc>
          <w:tcPr>
            <w:tcW w:w="365" w:type="dxa"/>
            <w:tcBorders>
              <w:bottom w:val="single" w:sz="8"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8"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8"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8" w:space="0" w:color="000000"/>
            </w:tcBorders>
            <w:shd w:fill="auto" w:val="clear"/>
            <w:tcMar>
              <w:bottom w:w="28" w:type="dxa"/>
            </w:tcMar>
            <w:vAlign w:val="bottom"/>
          </w:tcPr>
          <w:p>
            <w:pPr>
              <w:pStyle w:val="TableContents"/>
              <w:spacing w:before="0" w:after="283"/>
              <w:rPr/>
            </w:pPr>
            <w:r>
              <w:rPr/>
              <w:t xml:space="preserve">464,944  </w:t>
            </w:r>
          </w:p>
        </w:tc>
        <w:tc>
          <w:tcPr>
            <w:tcW w:w="110" w:type="dxa"/>
            <w:tcBorders>
              <w:bottom w:val="single" w:sz="8" w:space="0" w:color="000000"/>
            </w:tcBorders>
            <w:shd w:fill="auto" w:val="clear"/>
            <w:tcMar>
              <w:bottom w:w="28" w:type="dxa"/>
            </w:tcMar>
            <w:vAlign w:val="bottom"/>
          </w:tcPr>
          <w:p>
            <w:pPr>
              <w:pStyle w:val="TableContents"/>
              <w:spacing w:before="0" w:after="1"/>
              <w:ind w:left="0" w:right="0" w:hanging="0"/>
              <w:jc w:val="both"/>
              <w:rPr/>
            </w:pPr>
            <w:r>
              <w:rPr/>
              <w:t> </w:t>
            </w:r>
          </w:p>
        </w:tc>
        <w:tc>
          <w:tcPr>
            <w:tcW w:w="935" w:type="dxa"/>
            <w:tcBorders>
              <w:bottom w:val="single" w:sz="8" w:space="0" w:color="000000"/>
            </w:tcBorders>
            <w:shd w:fill="auto" w:val="clear"/>
            <w:tcMar>
              <w:bottom w:w="28" w:type="dxa"/>
            </w:tcMar>
            <w:vAlign w:val="bottom"/>
          </w:tcPr>
          <w:p>
            <w:pPr>
              <w:pStyle w:val="TableContents"/>
              <w:spacing w:before="0" w:after="283"/>
              <w:rPr/>
            </w:pPr>
            <w:r>
              <w:rPr/>
              <w:t xml:space="preserve">292,703  </w:t>
            </w:r>
          </w:p>
        </w:tc>
      </w:tr>
      <w:tr>
        <w:trPr/>
        <w:tc>
          <w:tcPr>
            <w:tcW w:w="233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36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sz w:val="17"/>
              </w:rPr>
            </w:pPr>
            <w:r>
              <w:rPr>
                <w:sz w:val="17"/>
              </w:rPr>
              <w:t>15</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878,026 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657,891  </w:t>
            </w:r>
          </w:p>
        </w:tc>
      </w:tr>
    </w:tbl>
    <w:p>
      <w:pPr>
        <w:pStyle w:val="TextBody"/>
        <w:spacing w:before="0" w:after="0"/>
        <w:ind w:left="1440" w:right="0" w:firstLine="720"/>
        <w:jc w:val="both"/>
        <w:rPr/>
      </w:pPr>
      <w:r>
        <w:rPr/>
        <w:t xml:space="preserve">  </w:t>
      </w:r>
    </w:p>
    <w:p>
      <w:pPr>
        <w:pStyle w:val="TextBody"/>
        <w:spacing w:before="0" w:after="200"/>
        <w:ind w:left="1440" w:right="0" w:firstLine="720"/>
        <w:jc w:val="both"/>
        <w:rPr>
          <w:sz w:val="17"/>
        </w:rPr>
      </w:pPr>
      <w:r>
        <w:rPr>
          <w:sz w:val="17"/>
        </w:rPr>
        <w:t>The Joint Venture’s exposure to liquidity risk related to trade and other payables is disclosed in Note 15(d),  </w:t>
      </w:r>
      <w:r>
        <w:rPr>
          <w:i/>
          <w:sz w:val="17"/>
        </w:rPr>
        <w:t>Financial instruments, Liquidity risk</w:t>
      </w:r>
      <w:r>
        <w:rPr>
          <w:sz w:val="17"/>
        </w:rPr>
        <w:t xml:space="preserve">. Trade payables represents payments to trade creditors.  The Joint Venture makes these payments through the managing party’s shared service centre and is charged a management fee for these services.  Disclosure regarding the management fee is made in Note 19, </w:t>
      </w:r>
      <w:r>
        <w:rPr>
          <w:i/>
          <w:sz w:val="17"/>
        </w:rPr>
        <w:t>Related parties</w:t>
      </w:r>
      <w:r>
        <w:rPr>
          <w:sz w:val="17"/>
        </w:rPr>
        <w:t xml:space="preserve">. </w:t>
      </w:r>
    </w:p>
    <w:p>
      <w:pPr>
        <w:pStyle w:val="TextBody"/>
        <w:spacing w:before="0" w:after="200"/>
        <w:ind w:left="1440" w:right="0" w:hanging="0"/>
        <w:jc w:val="both"/>
        <w:rPr>
          <w:sz w:val="17"/>
        </w:rPr>
      </w:pPr>
      <w:r>
        <w:rPr>
          <w:b/>
          <w:sz w:val="17"/>
        </w:rPr>
        <w:t>13.</w:t>
      </w:r>
      <w:r>
        <w:rPr>
          <w:sz w:val="17"/>
        </w:rPr>
        <w:t xml:space="preserve"> </w:t>
      </w:r>
      <w:r>
        <w:rPr>
          <w:b/>
          <w:sz w:val="17"/>
        </w:rPr>
        <w:t>Employee benefits</w:t>
      </w:r>
      <w:r>
        <w:rPr>
          <w:sz w:val="17"/>
        </w:rPr>
        <w:t xml:space="preserve"> </w:t>
      </w:r>
    </w:p>
    <w:tbl>
      <w:tblPr>
        <w:tblW w:w="4435" w:type="dxa"/>
        <w:jc w:val="left"/>
        <w:tblInd w:w="1440" w:type="dxa"/>
        <w:tblCellMar>
          <w:top w:w="0" w:type="dxa"/>
          <w:left w:w="0" w:type="dxa"/>
          <w:bottom w:w="0" w:type="dxa"/>
          <w:right w:w="0" w:type="dxa"/>
        </w:tblCellMar>
      </w:tblPr>
      <w:tblGrid>
        <w:gridCol w:w="2180"/>
        <w:gridCol w:w="60"/>
        <w:gridCol w:w="60"/>
        <w:gridCol w:w="60"/>
        <w:gridCol w:w="110"/>
        <w:gridCol w:w="920"/>
        <w:gridCol w:w="110"/>
        <w:gridCol w:w="935"/>
      </w:tblGrid>
      <w:tr>
        <w:trPr/>
        <w:tc>
          <w:tcPr>
            <w:tcW w:w="218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18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180" w:type="dxa"/>
            <w:tcBorders/>
            <w:shd w:fill="auto" w:val="clear"/>
            <w:vAlign w:val="bottom"/>
          </w:tcPr>
          <w:p>
            <w:pPr>
              <w:pStyle w:val="TableContents"/>
              <w:spacing w:before="0" w:after="1"/>
              <w:ind w:left="0" w:right="0" w:hanging="0"/>
              <w:jc w:val="both"/>
              <w:rPr>
                <w:sz w:val="17"/>
                <w:u w:val="single"/>
              </w:rPr>
            </w:pPr>
            <w:r>
              <w:rPr>
                <w:sz w:val="17"/>
                <w:u w:val="single"/>
              </w:rPr>
              <w:t>Current</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center"/>
              <w:rPr/>
            </w:pPr>
            <w:r>
              <w:rPr/>
              <w:t> </w:t>
            </w:r>
          </w:p>
        </w:tc>
        <w:tc>
          <w:tcPr>
            <w:tcW w:w="110" w:type="dxa"/>
            <w:tcBorders/>
            <w:shd w:fill="auto" w:val="clear"/>
            <w:vAlign w:val="bottom"/>
          </w:tcPr>
          <w:p>
            <w:pPr>
              <w:pStyle w:val="TableContents"/>
              <w:spacing w:before="0" w:after="1"/>
              <w:ind w:left="0" w:right="0" w:hanging="0"/>
              <w:jc w:val="center"/>
              <w:rPr/>
            </w:pPr>
            <w:r>
              <w:rPr/>
              <w:t> </w:t>
            </w:r>
          </w:p>
        </w:tc>
        <w:tc>
          <w:tcPr>
            <w:tcW w:w="935" w:type="dxa"/>
            <w:tcBorders/>
            <w:shd w:fill="auto" w:val="clear"/>
            <w:vAlign w:val="bottom"/>
          </w:tcPr>
          <w:p>
            <w:pPr>
              <w:pStyle w:val="TableContents"/>
              <w:spacing w:before="0" w:after="1"/>
              <w:ind w:left="0" w:right="0" w:hanging="0"/>
              <w:jc w:val="center"/>
              <w:rPr/>
            </w:pPr>
            <w:r>
              <w:rPr/>
              <w:t> </w:t>
            </w:r>
          </w:p>
        </w:tc>
      </w:tr>
      <w:tr>
        <w:trPr/>
        <w:tc>
          <w:tcPr>
            <w:tcW w:w="218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2180"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Liability for annual leave</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20" w:type="dxa"/>
            <w:tcBorders>
              <w:top w:val="single" w:sz="8" w:space="0" w:color="000000"/>
            </w:tcBorders>
            <w:shd w:fill="auto" w:val="clear"/>
            <w:tcMar>
              <w:top w:w="28" w:type="dxa"/>
            </w:tcMar>
            <w:vAlign w:val="bottom"/>
          </w:tcPr>
          <w:p>
            <w:pPr>
              <w:pStyle w:val="TableContents"/>
              <w:spacing w:before="0" w:after="283"/>
              <w:rPr/>
            </w:pPr>
            <w:r>
              <w:rPr/>
              <w:t xml:space="preserve">102,540 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35" w:type="dxa"/>
            <w:tcBorders>
              <w:top w:val="single" w:sz="8" w:space="0" w:color="000000"/>
            </w:tcBorders>
            <w:shd w:fill="auto" w:val="clear"/>
            <w:tcMar>
              <w:top w:w="28" w:type="dxa"/>
            </w:tcMar>
            <w:vAlign w:val="bottom"/>
          </w:tcPr>
          <w:p>
            <w:pPr>
              <w:pStyle w:val="TableContents"/>
              <w:spacing w:before="0" w:after="283"/>
              <w:rPr/>
            </w:pPr>
            <w:r>
              <w:rPr/>
              <w:t xml:space="preserve">82,698  </w:t>
            </w:r>
          </w:p>
        </w:tc>
      </w:tr>
      <w:tr>
        <w:trPr/>
        <w:tc>
          <w:tcPr>
            <w:tcW w:w="2180" w:type="dxa"/>
            <w:tcBorders>
              <w:bottom w:val="single" w:sz="8" w:space="0" w:color="000000"/>
            </w:tcBorders>
            <w:shd w:fill="auto" w:val="clear"/>
            <w:tcMar>
              <w:bottom w:w="28" w:type="dxa"/>
            </w:tcMar>
            <w:vAlign w:val="bottom"/>
          </w:tcPr>
          <w:p>
            <w:pPr>
              <w:pStyle w:val="TableContents"/>
              <w:spacing w:before="0" w:after="1"/>
              <w:ind w:left="0" w:right="0" w:hanging="0"/>
              <w:jc w:val="both"/>
              <w:rPr>
                <w:sz w:val="17"/>
              </w:rPr>
            </w:pPr>
            <w:r>
              <w:rPr>
                <w:sz w:val="17"/>
              </w:rPr>
              <w:t>Liability for long-service leave</w:t>
            </w:r>
          </w:p>
        </w:tc>
        <w:tc>
          <w:tcPr>
            <w:tcW w:w="60" w:type="dxa"/>
            <w:tcBorders>
              <w:bottom w:val="single" w:sz="8"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8"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8"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8" w:space="0" w:color="000000"/>
            </w:tcBorders>
            <w:shd w:fill="auto" w:val="clear"/>
            <w:tcMar>
              <w:bottom w:w="28" w:type="dxa"/>
            </w:tcMar>
            <w:vAlign w:val="bottom"/>
          </w:tcPr>
          <w:p>
            <w:pPr>
              <w:pStyle w:val="TableContents"/>
              <w:spacing w:before="0" w:after="283"/>
              <w:rPr/>
            </w:pPr>
            <w:r>
              <w:rPr/>
              <w:t xml:space="preserve">60,421  </w:t>
            </w:r>
          </w:p>
        </w:tc>
        <w:tc>
          <w:tcPr>
            <w:tcW w:w="110" w:type="dxa"/>
            <w:tcBorders>
              <w:bottom w:val="single" w:sz="8" w:space="0" w:color="000000"/>
            </w:tcBorders>
            <w:shd w:fill="auto" w:val="clear"/>
            <w:tcMar>
              <w:bottom w:w="28" w:type="dxa"/>
            </w:tcMar>
            <w:vAlign w:val="bottom"/>
          </w:tcPr>
          <w:p>
            <w:pPr>
              <w:pStyle w:val="TableContents"/>
              <w:spacing w:before="0" w:after="1"/>
              <w:ind w:left="0" w:right="0" w:hanging="0"/>
              <w:jc w:val="both"/>
              <w:rPr/>
            </w:pPr>
            <w:r>
              <w:rPr/>
              <w:t> </w:t>
            </w:r>
          </w:p>
        </w:tc>
        <w:tc>
          <w:tcPr>
            <w:tcW w:w="935" w:type="dxa"/>
            <w:tcBorders>
              <w:bottom w:val="single" w:sz="8" w:space="0" w:color="000000"/>
            </w:tcBorders>
            <w:shd w:fill="auto" w:val="clear"/>
            <w:tcMar>
              <w:bottom w:w="28" w:type="dxa"/>
            </w:tcMar>
            <w:vAlign w:val="bottom"/>
          </w:tcPr>
          <w:p>
            <w:pPr>
              <w:pStyle w:val="TableContents"/>
              <w:spacing w:before="0" w:after="283"/>
              <w:rPr/>
            </w:pPr>
            <w:r>
              <w:rPr/>
              <w:t xml:space="preserve">45,679  </w:t>
            </w:r>
          </w:p>
        </w:tc>
      </w:tr>
      <w:tr>
        <w:trPr/>
        <w:tc>
          <w:tcPr>
            <w:tcW w:w="21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162,961 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128,377  </w:t>
            </w:r>
          </w:p>
        </w:tc>
      </w:tr>
      <w:tr>
        <w:trPr/>
        <w:tc>
          <w:tcPr>
            <w:tcW w:w="218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2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935"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r>
      <w:tr>
        <w:trPr/>
        <w:tc>
          <w:tcPr>
            <w:tcW w:w="2180" w:type="dxa"/>
            <w:tcBorders/>
            <w:shd w:fill="auto" w:val="clear"/>
            <w:vAlign w:val="bottom"/>
          </w:tcPr>
          <w:p>
            <w:pPr>
              <w:pStyle w:val="TableContents"/>
              <w:spacing w:before="0" w:after="1"/>
              <w:ind w:left="0" w:right="0" w:hanging="0"/>
              <w:jc w:val="both"/>
              <w:rPr>
                <w:sz w:val="17"/>
                <w:u w:val="single"/>
              </w:rPr>
            </w:pPr>
            <w:r>
              <w:rPr>
                <w:sz w:val="17"/>
                <w:u w:val="single"/>
              </w:rPr>
              <w:t>Non-current</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35" w:type="dxa"/>
            <w:tcBorders/>
            <w:shd w:fill="auto" w:val="clear"/>
            <w:vAlign w:val="bottom"/>
          </w:tcPr>
          <w:p>
            <w:pPr>
              <w:pStyle w:val="TableContents"/>
              <w:spacing w:before="0" w:after="1"/>
              <w:ind w:left="0" w:right="0" w:hanging="0"/>
              <w:jc w:val="both"/>
              <w:rPr/>
            </w:pPr>
            <w:r>
              <w:rPr/>
              <w:t> </w:t>
            </w:r>
          </w:p>
        </w:tc>
      </w:tr>
      <w:tr>
        <w:trPr/>
        <w:tc>
          <w:tcPr>
            <w:tcW w:w="218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93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21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Liability for long-service leave</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41,105 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93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58,224  </w:t>
            </w:r>
          </w:p>
        </w:tc>
      </w:tr>
      <w:tr>
        <w:trPr/>
        <w:tc>
          <w:tcPr>
            <w:tcW w:w="218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41,105 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93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58,224 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14.</w:t>
      </w:r>
      <w:r>
        <w:rPr>
          <w:sz w:val="17"/>
        </w:rPr>
        <w:t xml:space="preserve"> </w:t>
      </w:r>
      <w:r>
        <w:rPr>
          <w:b/>
          <w:sz w:val="17"/>
        </w:rPr>
        <w:t>Deferred revenue</w:t>
      </w:r>
      <w:r>
        <w:rPr>
          <w:sz w:val="17"/>
        </w:rPr>
        <w:t xml:space="preserve"> </w:t>
      </w:r>
    </w:p>
    <w:p>
      <w:pPr>
        <w:pStyle w:val="TextBody"/>
        <w:spacing w:before="0" w:after="0"/>
        <w:ind w:left="1440" w:right="0" w:hanging="0"/>
        <w:jc w:val="both"/>
        <w:rPr/>
      </w:pPr>
      <w:r>
        <w:rPr/>
        <w:t xml:space="preserve">  </w:t>
      </w:r>
    </w:p>
    <w:tbl>
      <w:tblPr>
        <w:tblW w:w="3265" w:type="dxa"/>
        <w:jc w:val="left"/>
        <w:tblInd w:w="1440" w:type="dxa"/>
        <w:tblCellMar>
          <w:top w:w="0" w:type="dxa"/>
          <w:left w:w="0" w:type="dxa"/>
          <w:bottom w:w="0" w:type="dxa"/>
          <w:right w:w="0" w:type="dxa"/>
        </w:tblCellMar>
      </w:tblPr>
      <w:tblGrid>
        <w:gridCol w:w="1250"/>
        <w:gridCol w:w="60"/>
        <w:gridCol w:w="60"/>
        <w:gridCol w:w="60"/>
        <w:gridCol w:w="110"/>
        <w:gridCol w:w="800"/>
        <w:gridCol w:w="110"/>
        <w:gridCol w:w="815"/>
      </w:tblGrid>
      <w:tr>
        <w:trPr/>
        <w:tc>
          <w:tcPr>
            <w:tcW w:w="12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125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0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15" w:type="dxa"/>
            <w:tcBorders/>
            <w:shd w:fill="auto" w:val="clear"/>
            <w:vAlign w:val="bottom"/>
          </w:tcPr>
          <w:p>
            <w:pPr>
              <w:pStyle w:val="TableContents"/>
              <w:spacing w:before="0" w:after="1"/>
              <w:ind w:left="0" w:right="0" w:hanging="0"/>
              <w:jc w:val="both"/>
              <w:rPr/>
            </w:pPr>
            <w:r>
              <w:rPr/>
              <w:t> </w:t>
            </w:r>
          </w:p>
        </w:tc>
      </w:tr>
      <w:tr>
        <w:trPr/>
        <w:tc>
          <w:tcPr>
            <w:tcW w:w="125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0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2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both"/>
              <w:rPr>
                <w:sz w:val="17"/>
              </w:rPr>
            </w:pPr>
            <w:r>
              <w:rPr>
                <w:sz w:val="17"/>
              </w:rPr>
              <w:t>Deferred revenue</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8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27,683 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81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283"/>
              <w:rPr/>
            </w:pPr>
            <w:r>
              <w:rPr/>
              <w:t xml:space="preserve">39,068  </w:t>
            </w:r>
          </w:p>
        </w:tc>
      </w:tr>
      <w:tr>
        <w:trPr/>
        <w:tc>
          <w:tcPr>
            <w:tcW w:w="125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6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80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27,683  </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right"/>
              <w:rPr>
                <w:sz w:val="17"/>
              </w:rPr>
            </w:pPr>
            <w:r>
              <w:rPr>
                <w:sz w:val="17"/>
              </w:rPr>
              <w:t>$</w:t>
            </w:r>
          </w:p>
        </w:tc>
        <w:tc>
          <w:tcPr>
            <w:tcW w:w="81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283"/>
              <w:rPr/>
            </w:pPr>
            <w:r>
              <w:rPr/>
              <w:t xml:space="preserve">39,068 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Deferred revenue mainly consists of advance funds received from vendors for the exclusive rights to supply certain concession items.  Revenue is recognised over the term of the related contract on a straight-line basis and is classified as service revenue. </w:t>
      </w:r>
    </w:p>
    <w:p>
      <w:pPr>
        <w:pStyle w:val="TextBody"/>
        <w:spacing w:before="0" w:after="200"/>
        <w:ind w:left="1440" w:right="0" w:hanging="0"/>
        <w:jc w:val="both"/>
        <w:rPr>
          <w:sz w:val="17"/>
        </w:rPr>
      </w:pPr>
      <w:r>
        <w:rPr>
          <w:b/>
          <w:sz w:val="17"/>
        </w:rPr>
        <w:t>15.</w:t>
      </w:r>
      <w:r>
        <w:rPr>
          <w:sz w:val="17"/>
        </w:rPr>
        <w:t xml:space="preserve"> </w:t>
      </w:r>
      <w:r>
        <w:rPr>
          <w:b/>
          <w:sz w:val="17"/>
        </w:rPr>
        <w:t>Financial instruments</w:t>
      </w:r>
      <w:r>
        <w:rPr>
          <w:sz w:val="17"/>
        </w:rPr>
        <w:t xml:space="preserve"> </w:t>
      </w:r>
    </w:p>
    <w:p>
      <w:pPr>
        <w:pStyle w:val="TextBody"/>
        <w:spacing w:before="0" w:after="200"/>
        <w:ind w:left="1440" w:right="0" w:firstLine="720"/>
        <w:jc w:val="both"/>
        <w:rPr>
          <w:sz w:val="17"/>
        </w:rPr>
      </w:pPr>
      <w:r>
        <w:rPr>
          <w:b/>
          <w:sz w:val="17"/>
        </w:rPr>
        <w:t>(a) Overview</w:t>
      </w:r>
      <w:r>
        <w:rPr>
          <w:sz w:val="17"/>
        </w:rPr>
        <w:t xml:space="preserve"> </w:t>
      </w:r>
    </w:p>
    <w:p>
      <w:pPr>
        <w:pStyle w:val="TextBody"/>
        <w:spacing w:before="0" w:after="200"/>
        <w:ind w:left="1440" w:right="0" w:hanging="0"/>
        <w:jc w:val="both"/>
        <w:rPr/>
      </w:pPr>
      <w:r>
        <w:rPr/>
        <w:t>            </w:t>
      </w:r>
      <w:r>
        <w:rPr>
          <w:sz w:val="17"/>
        </w:rPr>
        <w:t xml:space="preserve">This note presents information about the Joint Venture’s exposure to financial risks, its objectives, policies, and processes for measuring and managing risk, and the management of capital. </w:t>
      </w:r>
    </w:p>
    <w:p>
      <w:pPr>
        <w:pStyle w:val="TextBody"/>
        <w:spacing w:before="0" w:after="200"/>
        <w:ind w:left="1440" w:right="0" w:hanging="0"/>
        <w:jc w:val="both"/>
        <w:rPr/>
      </w:pPr>
      <w:r>
        <w:rPr/>
        <w:t>            </w:t>
      </w:r>
      <w:r>
        <w:rPr>
          <w:sz w:val="17"/>
        </w:rPr>
        <w:t xml:space="preserve">The Joint Venture’s activities expose it to the following financial risks; </w:t>
      </w:r>
    </w:p>
    <w:tbl>
      <w:tblPr>
        <w:tblW w:w="925" w:type="dxa"/>
        <w:jc w:val="left"/>
        <w:tblInd w:w="1440" w:type="dxa"/>
        <w:tblCellMar>
          <w:top w:w="0" w:type="dxa"/>
          <w:left w:w="0" w:type="dxa"/>
          <w:bottom w:w="0" w:type="dxa"/>
          <w:right w:w="0" w:type="dxa"/>
        </w:tblCellMar>
      </w:tblPr>
      <w:tblGrid>
        <w:gridCol w:w="155"/>
        <w:gridCol w:w="77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770" w:type="dxa"/>
            <w:tcBorders/>
            <w:shd w:fill="auto" w:val="clear"/>
          </w:tcPr>
          <w:p>
            <w:pPr>
              <w:pStyle w:val="TableContents"/>
              <w:pBdr/>
              <w:spacing w:before="0" w:after="283"/>
              <w:jc w:val="both"/>
              <w:rPr>
                <w:sz w:val="17"/>
              </w:rPr>
            </w:pPr>
            <w:r>
              <w:rPr>
                <w:sz w:val="17"/>
              </w:rPr>
              <w:t>credit risk;</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119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tbl>
      <w:tblPr>
        <w:tblW w:w="1420" w:type="dxa"/>
        <w:jc w:val="left"/>
        <w:tblInd w:w="1440" w:type="dxa"/>
        <w:tblCellMar>
          <w:top w:w="0" w:type="dxa"/>
          <w:left w:w="0" w:type="dxa"/>
          <w:bottom w:w="0" w:type="dxa"/>
          <w:right w:w="0" w:type="dxa"/>
        </w:tblCellMar>
      </w:tblPr>
      <w:tblGrid>
        <w:gridCol w:w="155"/>
        <w:gridCol w:w="1265"/>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1265" w:type="dxa"/>
            <w:tcBorders/>
            <w:shd w:fill="auto" w:val="clear"/>
          </w:tcPr>
          <w:p>
            <w:pPr>
              <w:pStyle w:val="TableContents"/>
              <w:pBdr/>
              <w:spacing w:before="0" w:after="283"/>
              <w:jc w:val="both"/>
              <w:rPr>
                <w:sz w:val="17"/>
              </w:rPr>
            </w:pPr>
            <w:r>
              <w:rPr>
                <w:sz w:val="17"/>
              </w:rPr>
              <w:t>liquidity risk; and</w:t>
            </w:r>
          </w:p>
        </w:tc>
      </w:tr>
    </w:tbl>
    <w:tbl>
      <w:tblPr>
        <w:tblW w:w="1015" w:type="dxa"/>
        <w:jc w:val="left"/>
        <w:tblInd w:w="1440" w:type="dxa"/>
        <w:tblCellMar>
          <w:top w:w="0" w:type="dxa"/>
          <w:left w:w="0" w:type="dxa"/>
          <w:bottom w:w="0" w:type="dxa"/>
          <w:right w:w="0" w:type="dxa"/>
        </w:tblCellMar>
      </w:tblPr>
      <w:tblGrid>
        <w:gridCol w:w="155"/>
        <w:gridCol w:w="860"/>
      </w:tblGrid>
      <w:tr>
        <w:trPr/>
        <w:tc>
          <w:tcPr>
            <w:tcW w:w="155" w:type="dxa"/>
            <w:tcBorders/>
            <w:shd w:fill="auto" w:val="clear"/>
          </w:tcPr>
          <w:p>
            <w:pPr>
              <w:pStyle w:val="TableContents"/>
              <w:pBdr/>
              <w:spacing w:before="0" w:after="0"/>
              <w:ind w:left="360" w:right="0" w:hanging="0"/>
              <w:jc w:val="both"/>
              <w:rPr>
                <w:sz w:val="17"/>
              </w:rPr>
            </w:pPr>
            <w:r>
              <w:rPr>
                <w:rFonts w:ascii="Symbol" w:hAnsi="Symbol"/>
                <w:sz w:val="17"/>
              </w:rPr>
              <w:t>·</w:t>
            </w:r>
            <w:r>
              <w:rPr>
                <w:sz w:val="17"/>
              </w:rPr>
              <w:t xml:space="preserve"> </w:t>
            </w:r>
          </w:p>
        </w:tc>
        <w:tc>
          <w:tcPr>
            <w:tcW w:w="860" w:type="dxa"/>
            <w:tcBorders/>
            <w:shd w:fill="auto" w:val="clear"/>
          </w:tcPr>
          <w:p>
            <w:pPr>
              <w:pStyle w:val="TableContents"/>
              <w:pBdr/>
              <w:spacing w:before="0" w:after="283"/>
              <w:jc w:val="both"/>
              <w:rPr>
                <w:sz w:val="17"/>
              </w:rPr>
            </w:pPr>
            <w:r>
              <w:rPr>
                <w:sz w:val="17"/>
              </w:rPr>
              <w:t>market risk.</w:t>
            </w:r>
          </w:p>
        </w:tc>
      </w:tr>
    </w:tbl>
    <w:p>
      <w:pPr>
        <w:pStyle w:val="TextBody"/>
        <w:spacing w:before="200" w:after="200"/>
        <w:ind w:left="1440" w:right="0" w:firstLine="720"/>
        <w:jc w:val="both"/>
        <w:rPr>
          <w:sz w:val="17"/>
        </w:rPr>
      </w:pPr>
      <w:r>
        <w:rPr>
          <w:b/>
          <w:sz w:val="17"/>
        </w:rPr>
        <w:t>(b) Risk management framework</w:t>
      </w:r>
      <w:r>
        <w:rPr>
          <w:sz w:val="17"/>
        </w:rPr>
        <w:t xml:space="preserve"> </w:t>
      </w:r>
    </w:p>
    <w:p>
      <w:pPr>
        <w:pStyle w:val="TextBody"/>
        <w:spacing w:before="0" w:after="200"/>
        <w:ind w:left="1440" w:right="0" w:hanging="0"/>
        <w:jc w:val="both"/>
        <w:rPr/>
      </w:pPr>
      <w:r>
        <w:rPr/>
        <w:t>            </w:t>
      </w:r>
      <w:r>
        <w:rPr>
          <w:sz w:val="17"/>
        </w:rPr>
        <w:t xml:space="preserve">The Joint Venturers’ have overall responsibility for the establishment and oversight of the risk management framework and are also responsible for developing and monitoring risk management policies. </w:t>
      </w:r>
    </w:p>
    <w:p>
      <w:pPr>
        <w:pStyle w:val="TextBody"/>
        <w:spacing w:before="0" w:after="200"/>
        <w:ind w:left="1440" w:right="0" w:hanging="0"/>
        <w:jc w:val="both"/>
        <w:rPr/>
      </w:pPr>
      <w:r>
        <w:rPr/>
        <w:t>            </w:t>
      </w:r>
      <w:r>
        <w:rPr>
          <w:sz w:val="17"/>
        </w:rPr>
        <w:t xml:space="preserve">Risk management policies are established to identify and analyse the risks faced by the Joint Venture to set appropriate risk limits and controls, and to monitor risks and adherence to limits.  Risk management policies and systems are reviewed regularly to reflect changes in market conditions and the Joint Venture’s activities.  The Joint Venture, through its training and management standards and procedures, aims to develop a disciplined and constructive control environment in which all employees understand their roles and obligations. </w:t>
      </w:r>
    </w:p>
    <w:p>
      <w:pPr>
        <w:pStyle w:val="TextBody"/>
        <w:spacing w:before="0" w:after="200"/>
        <w:ind w:left="1440" w:right="0" w:hanging="0"/>
        <w:jc w:val="both"/>
        <w:rPr/>
      </w:pPr>
      <w:r>
        <w:rPr/>
        <w:t>            </w:t>
      </w:r>
      <w:r>
        <w:rPr>
          <w:sz w:val="17"/>
        </w:rPr>
        <w:t xml:space="preserve">The Joint Venturers’ oversee how management monitors compliance with the Joint Venture’s risk management policies and procedures and reviews the adequacy of the risk management framework in relation to the risks faced by the Joint Venture. </w:t>
      </w:r>
    </w:p>
    <w:p>
      <w:pPr>
        <w:pStyle w:val="TextBody"/>
        <w:spacing w:before="0" w:after="200"/>
        <w:ind w:left="1440" w:right="0" w:hanging="0"/>
        <w:jc w:val="both"/>
        <w:rPr/>
      </w:pPr>
      <w:r>
        <w:rPr/>
        <w:t>            </w:t>
      </w:r>
      <w:r>
        <w:rPr>
          <w:sz w:val="17"/>
        </w:rPr>
        <w:t xml:space="preserve">There were no changes in the Joint Venture’s approach to capital management during the year. </w:t>
      </w:r>
    </w:p>
    <w:p>
      <w:pPr>
        <w:pStyle w:val="TextBody"/>
        <w:spacing w:before="0" w:after="200"/>
        <w:ind w:left="1440" w:right="0" w:firstLine="720"/>
        <w:jc w:val="both"/>
        <w:rPr>
          <w:sz w:val="17"/>
        </w:rPr>
      </w:pPr>
      <w:r>
        <w:rPr>
          <w:b/>
          <w:sz w:val="17"/>
        </w:rPr>
        <w:t>(c)  Credit risk</w:t>
      </w:r>
      <w:r>
        <w:rPr>
          <w:sz w:val="17"/>
        </w:rPr>
        <w:t xml:space="preserve"> </w:t>
      </w:r>
    </w:p>
    <w:p>
      <w:pPr>
        <w:pStyle w:val="TextBody"/>
        <w:spacing w:before="0" w:after="200"/>
        <w:ind w:left="1440" w:right="0" w:hanging="0"/>
        <w:jc w:val="both"/>
        <w:rPr/>
      </w:pPr>
      <w:r>
        <w:rPr/>
        <w:t>            </w:t>
      </w:r>
      <w:r>
        <w:rPr>
          <w:sz w:val="17"/>
        </w:rPr>
        <w:t xml:space="preserve">Credit risk is the risk of financial loss to the Joint Venture if a customer or counterparty to a financial instrument fails to meet its contractual obligations, and arises principally from the Joint Venture’s receivables from customers.  </w:t>
      </w:r>
    </w:p>
    <w:p>
      <w:pPr>
        <w:pStyle w:val="TextBody"/>
        <w:spacing w:before="0" w:after="200"/>
        <w:ind w:left="1440" w:right="0" w:hanging="0"/>
        <w:jc w:val="both"/>
        <w:rPr/>
      </w:pPr>
      <w:r>
        <w:rPr/>
        <w:t>            </w:t>
      </w:r>
      <w:r>
        <w:rPr>
          <w:sz w:val="17"/>
        </w:rPr>
        <w:t xml:space="preserve">The Joint Venture’s exposure to credit risk is influenced mainly by the individual characteristics of each customer.  The demographics of the Joint Venture’s customer base, including the default risk of the industry and country, in which customers operate, has less of an influence on credit risk. </w:t>
      </w:r>
    </w:p>
    <w:p>
      <w:pPr>
        <w:pStyle w:val="TextBody"/>
        <w:spacing w:before="0" w:after="200"/>
        <w:ind w:left="1440" w:right="0" w:hanging="0"/>
        <w:jc w:val="both"/>
        <w:rPr/>
      </w:pPr>
      <w:r>
        <w:rPr/>
        <w:t>            </w:t>
      </w:r>
      <w:r>
        <w:rPr>
          <w:sz w:val="17"/>
        </w:rPr>
        <w:t xml:space="preserve">Customers that are graded as “high risk” are placed on a restricted customer list, and monitored by the Joint Venturers.  </w:t>
      </w:r>
    </w:p>
    <w:p>
      <w:pPr>
        <w:pStyle w:val="TextBody"/>
        <w:spacing w:before="0" w:after="200"/>
        <w:ind w:left="1440" w:right="0" w:hanging="0"/>
        <w:jc w:val="both"/>
        <w:rPr/>
      </w:pPr>
      <w:r>
        <w:rPr/>
        <w:t>            </w:t>
      </w:r>
      <w:r>
        <w:rPr>
          <w:sz w:val="17"/>
        </w:rPr>
        <w:t xml:space="preserve">The Joint Venture operates under the managing Joint Venturer’s credit policy under which each new customer is analysed individually for creditworthiness before the Joint Venture’s standard payment and delivery terms and conditions are offered.  The Joint Venture’s review includes external ratings, when available, and in some cases bank references.  Purchase limits are established for each customer.  These limits are reviewed periodically.  Customers that fail to meet the Joint Venture’s benchmark creditworthiness may transact with the Joint Venture only on a prepayment basis. </w:t>
      </w:r>
    </w:p>
    <w:p>
      <w:pPr>
        <w:pStyle w:val="TextBody"/>
        <w:spacing w:before="0" w:after="200"/>
        <w:ind w:left="2160" w:right="0" w:firstLine="720"/>
        <w:jc w:val="both"/>
        <w:rPr>
          <w:sz w:val="17"/>
        </w:rPr>
      </w:pPr>
      <w:r>
        <w:rPr>
          <w:b/>
          <w:sz w:val="17"/>
        </w:rPr>
        <w:t>Exposure to credit risk</w:t>
      </w:r>
      <w:r>
        <w:rPr>
          <w:sz w:val="17"/>
        </w:rPr>
        <w:t xml:space="preserve"> </w:t>
      </w:r>
    </w:p>
    <w:p>
      <w:pPr>
        <w:pStyle w:val="TextBody"/>
        <w:spacing w:before="0" w:after="200"/>
        <w:ind w:left="1440" w:right="0" w:hanging="0"/>
        <w:jc w:val="both"/>
        <w:rPr/>
      </w:pPr>
      <w:r>
        <w:rPr/>
        <w:t>            </w:t>
      </w:r>
      <w:r>
        <w:rPr>
          <w:sz w:val="17"/>
        </w:rPr>
        <w:t xml:space="preserve">The carrying amount of the Joint Venture’s financial assets represents the maximum credit exposure.  The Joint Venture’s maximum exposure to credit risk at the reporting date was: </w:t>
      </w:r>
    </w:p>
    <w:p>
      <w:pPr>
        <w:pStyle w:val="TextBody"/>
        <w:spacing w:before="0" w:after="0"/>
        <w:ind w:left="1440" w:right="0" w:hanging="0"/>
        <w:jc w:val="both"/>
        <w:rPr/>
      </w:pPr>
      <w:r>
        <w:rPr/>
        <w:t xml:space="preserve">  </w:t>
      </w:r>
    </w:p>
    <w:tbl>
      <w:tblPr>
        <w:tblW w:w="4575" w:type="dxa"/>
        <w:jc w:val="left"/>
        <w:tblInd w:w="1440" w:type="dxa"/>
        <w:tblCellMar>
          <w:top w:w="0" w:type="dxa"/>
          <w:left w:w="0" w:type="dxa"/>
          <w:bottom w:w="0" w:type="dxa"/>
          <w:right w:w="0" w:type="dxa"/>
        </w:tblCellMar>
      </w:tblPr>
      <w:tblGrid>
        <w:gridCol w:w="1835"/>
        <w:gridCol w:w="365"/>
        <w:gridCol w:w="60"/>
        <w:gridCol w:w="60"/>
        <w:gridCol w:w="110"/>
        <w:gridCol w:w="920"/>
        <w:gridCol w:w="110"/>
        <w:gridCol w:w="1115"/>
      </w:tblGrid>
      <w:tr>
        <w:trPr/>
        <w:tc>
          <w:tcPr>
            <w:tcW w:w="183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r>
      <w:tr>
        <w:trPr/>
        <w:tc>
          <w:tcPr>
            <w:tcW w:w="183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r>
      <w:tr>
        <w:trPr/>
        <w:tc>
          <w:tcPr>
            <w:tcW w:w="183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center"/>
              <w:rPr/>
            </w:pPr>
            <w:r>
              <w:rPr/>
              <w:t> </w:t>
            </w:r>
          </w:p>
        </w:tc>
        <w:tc>
          <w:tcPr>
            <w:tcW w:w="60" w:type="dxa"/>
            <w:tcBorders/>
            <w:shd w:fill="auto" w:val="clear"/>
            <w:vAlign w:val="bottom"/>
          </w:tcPr>
          <w:p>
            <w:pPr>
              <w:pStyle w:val="TableContents"/>
              <w:spacing w:before="0" w:after="1"/>
              <w:ind w:left="0" w:right="0" w:hanging="0"/>
              <w:jc w:val="center"/>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145" w:type="dxa"/>
            <w:gridSpan w:val="3"/>
            <w:tcBorders/>
            <w:shd w:fill="auto" w:val="clear"/>
            <w:vAlign w:val="bottom"/>
          </w:tcPr>
          <w:p>
            <w:pPr>
              <w:pStyle w:val="TableContents"/>
              <w:spacing w:before="0" w:after="1"/>
              <w:ind w:left="0" w:right="0" w:hanging="0"/>
              <w:jc w:val="center"/>
              <w:rPr>
                <w:b/>
                <w:sz w:val="17"/>
              </w:rPr>
            </w:pPr>
            <w:r>
              <w:rPr>
                <w:b/>
                <w:sz w:val="17"/>
              </w:rPr>
              <w:t>Carrying Amount</w:t>
            </w:r>
          </w:p>
        </w:tc>
      </w:tr>
      <w:tr>
        <w:trPr/>
        <w:tc>
          <w:tcPr>
            <w:tcW w:w="183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Note</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835"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Trade receivables</w:t>
            </w:r>
          </w:p>
        </w:tc>
        <w:tc>
          <w:tcPr>
            <w:tcW w:w="365" w:type="dxa"/>
            <w:tcBorders>
              <w:top w:val="single" w:sz="8" w:space="0" w:color="000000"/>
            </w:tcBorders>
            <w:shd w:fill="auto" w:val="clear"/>
            <w:tcMar>
              <w:top w:w="28" w:type="dxa"/>
            </w:tcMar>
            <w:vAlign w:val="bottom"/>
          </w:tcPr>
          <w:p>
            <w:pPr>
              <w:pStyle w:val="TableContents"/>
              <w:spacing w:before="0" w:after="1"/>
              <w:ind w:left="0" w:right="0" w:hanging="0"/>
              <w:jc w:val="center"/>
              <w:rPr>
                <w:sz w:val="17"/>
              </w:rPr>
            </w:pPr>
            <w:r>
              <w:rPr>
                <w:sz w:val="17"/>
              </w:rPr>
              <w:t>9</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tcBorders>
            <w:shd w:fill="auto" w:val="clear"/>
            <w:tcMar>
              <w:top w:w="28" w:type="dxa"/>
            </w:tcMar>
            <w:vAlign w:val="bottom"/>
          </w:tcPr>
          <w:p>
            <w:pPr>
              <w:pStyle w:val="TableContents"/>
              <w:spacing w:before="0" w:after="283"/>
              <w:rPr/>
            </w:pPr>
            <w:r>
              <w:rPr/>
              <w:t xml:space="preserve">196,598 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1115" w:type="dxa"/>
            <w:tcBorders>
              <w:top w:val="single" w:sz="8" w:space="0" w:color="000000"/>
            </w:tcBorders>
            <w:shd w:fill="auto" w:val="clear"/>
            <w:tcMar>
              <w:top w:w="28" w:type="dxa"/>
            </w:tcMar>
            <w:vAlign w:val="bottom"/>
          </w:tcPr>
          <w:p>
            <w:pPr>
              <w:pStyle w:val="TableContents"/>
              <w:spacing w:before="0" w:after="283"/>
              <w:rPr/>
            </w:pPr>
            <w:r>
              <w:rPr/>
              <w:t xml:space="preserve">143,488  </w:t>
            </w:r>
          </w:p>
        </w:tc>
      </w:tr>
      <w:tr>
        <w:trPr/>
        <w:tc>
          <w:tcPr>
            <w:tcW w:w="1835" w:type="dxa"/>
            <w:tcBorders/>
            <w:shd w:fill="auto" w:val="clear"/>
            <w:vAlign w:val="bottom"/>
          </w:tcPr>
          <w:p>
            <w:pPr>
              <w:pStyle w:val="TableContents"/>
              <w:spacing w:before="0" w:after="1"/>
              <w:ind w:left="0" w:right="0" w:hanging="0"/>
              <w:jc w:val="both"/>
              <w:rPr>
                <w:sz w:val="17"/>
              </w:rPr>
            </w:pPr>
            <w:r>
              <w:rPr>
                <w:sz w:val="17"/>
              </w:rPr>
              <w:t>Cash and cash equivalents</w:t>
            </w:r>
          </w:p>
        </w:tc>
        <w:tc>
          <w:tcPr>
            <w:tcW w:w="365" w:type="dxa"/>
            <w:tcBorders/>
            <w:shd w:fill="auto" w:val="clear"/>
            <w:vAlign w:val="bottom"/>
          </w:tcPr>
          <w:p>
            <w:pPr>
              <w:pStyle w:val="TableContents"/>
              <w:spacing w:before="0" w:after="1"/>
              <w:ind w:left="0" w:right="0" w:hanging="0"/>
              <w:jc w:val="center"/>
              <w:rPr>
                <w:sz w:val="17"/>
              </w:rPr>
            </w:pPr>
            <w:r>
              <w:rPr>
                <w:sz w:val="17"/>
              </w:rPr>
              <w:t>8</w:t>
            </w:r>
          </w:p>
        </w:tc>
        <w:tc>
          <w:tcPr>
            <w:tcW w:w="60" w:type="dxa"/>
            <w:tcBorders/>
            <w:shd w:fill="auto" w:val="clear"/>
            <w:vAlign w:val="bottom"/>
          </w:tcPr>
          <w:p>
            <w:pPr>
              <w:pStyle w:val="TableContents"/>
              <w:spacing w:before="0" w:after="1"/>
              <w:ind w:left="0" w:right="0" w:hanging="0"/>
              <w:jc w:val="center"/>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283"/>
              <w:rPr/>
            </w:pPr>
            <w:r>
              <w:rPr/>
              <w:t xml:space="preserve">898,217 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283"/>
              <w:rPr/>
            </w:pPr>
            <w:r>
              <w:rPr/>
              <w:t xml:space="preserve">1,590,333 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The Joint Venture’s maximum exposure to credit risk for trade receivables at the reporting date by type of customer was: </w:t>
      </w:r>
    </w:p>
    <w:p>
      <w:pPr>
        <w:pStyle w:val="TextBody"/>
        <w:spacing w:before="0" w:after="0"/>
        <w:ind w:left="1440" w:right="0" w:hanging="0"/>
        <w:jc w:val="both"/>
        <w:rPr/>
      </w:pPr>
      <w:r>
        <w:rPr/>
        <w:t xml:space="preserve">  </w:t>
      </w:r>
    </w:p>
    <w:tbl>
      <w:tblPr>
        <w:tblW w:w="5125" w:type="dxa"/>
        <w:jc w:val="left"/>
        <w:tblInd w:w="1440" w:type="dxa"/>
        <w:tblCellMar>
          <w:top w:w="0" w:type="dxa"/>
          <w:left w:w="0" w:type="dxa"/>
          <w:bottom w:w="0" w:type="dxa"/>
          <w:right w:w="0" w:type="dxa"/>
        </w:tblCellMar>
      </w:tblPr>
      <w:tblGrid>
        <w:gridCol w:w="3320"/>
        <w:gridCol w:w="60"/>
        <w:gridCol w:w="60"/>
        <w:gridCol w:w="60"/>
        <w:gridCol w:w="110"/>
        <w:gridCol w:w="695"/>
        <w:gridCol w:w="110"/>
        <w:gridCol w:w="710"/>
      </w:tblGrid>
      <w:tr>
        <w:trPr/>
        <w:tc>
          <w:tcPr>
            <w:tcW w:w="332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332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6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10" w:type="dxa"/>
            <w:tcBorders/>
            <w:shd w:fill="auto" w:val="clear"/>
            <w:vAlign w:val="bottom"/>
          </w:tcPr>
          <w:p>
            <w:pPr>
              <w:pStyle w:val="TableContents"/>
              <w:spacing w:before="0" w:after="1"/>
              <w:ind w:left="0" w:right="0" w:hanging="0"/>
              <w:jc w:val="both"/>
              <w:rPr/>
            </w:pPr>
            <w:r>
              <w:rPr/>
              <w:t> </w:t>
            </w:r>
          </w:p>
        </w:tc>
      </w:tr>
      <w:tr>
        <w:trPr/>
        <w:tc>
          <w:tcPr>
            <w:tcW w:w="332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515" w:type="dxa"/>
            <w:gridSpan w:val="3"/>
            <w:tcBorders/>
            <w:shd w:fill="auto" w:val="clear"/>
            <w:vAlign w:val="bottom"/>
          </w:tcPr>
          <w:p>
            <w:pPr>
              <w:pStyle w:val="TableContents"/>
              <w:spacing w:before="0" w:after="1"/>
              <w:ind w:left="0" w:right="0" w:hanging="0"/>
              <w:jc w:val="center"/>
              <w:rPr>
                <w:b/>
                <w:sz w:val="17"/>
              </w:rPr>
            </w:pPr>
            <w:r>
              <w:rPr>
                <w:b/>
                <w:sz w:val="17"/>
              </w:rPr>
              <w:t>Carrying Amount</w:t>
            </w:r>
          </w:p>
        </w:tc>
      </w:tr>
      <w:tr>
        <w:trPr/>
        <w:tc>
          <w:tcPr>
            <w:tcW w:w="332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69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71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332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Screen advertisers</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6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72,181 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71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63,696  </w:t>
            </w:r>
          </w:p>
        </w:tc>
      </w:tr>
      <w:tr>
        <w:trPr/>
        <w:tc>
          <w:tcPr>
            <w:tcW w:w="3320" w:type="dxa"/>
            <w:tcBorders/>
            <w:shd w:fill="FFFFFF" w:val="clear"/>
            <w:vAlign w:val="bottom"/>
          </w:tcPr>
          <w:p>
            <w:pPr>
              <w:pStyle w:val="TableContents"/>
              <w:spacing w:before="0" w:after="1"/>
              <w:ind w:left="0" w:right="0" w:hanging="0"/>
              <w:jc w:val="both"/>
              <w:rPr>
                <w:sz w:val="17"/>
              </w:rPr>
            </w:pPr>
            <w:r>
              <w:rPr>
                <w:sz w:val="17"/>
              </w:rPr>
              <w:t>Credit card companies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right"/>
              <w:rPr/>
            </w:pPr>
            <w:r>
              <w:rPr/>
              <w:t> </w:t>
            </w:r>
          </w:p>
        </w:tc>
        <w:tc>
          <w:tcPr>
            <w:tcW w:w="6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right"/>
              <w:rPr/>
            </w:pPr>
            <w:r>
              <w:rPr/>
              <w:t> </w:t>
            </w:r>
          </w:p>
        </w:tc>
        <w:tc>
          <w:tcPr>
            <w:tcW w:w="695" w:type="dxa"/>
            <w:tcBorders/>
            <w:shd w:fill="FFFFFF" w:val="clear"/>
            <w:vAlign w:val="bottom"/>
          </w:tcPr>
          <w:p>
            <w:pPr>
              <w:pStyle w:val="TableContents"/>
              <w:spacing w:before="0" w:after="283"/>
              <w:jc w:val="right"/>
              <w:rPr>
                <w:sz w:val="17"/>
              </w:rPr>
            </w:pPr>
            <w:r>
              <w:rPr>
                <w:sz w:val="17"/>
              </w:rPr>
              <w:t xml:space="preserve">114,418  </w:t>
            </w:r>
          </w:p>
        </w:tc>
        <w:tc>
          <w:tcPr>
            <w:tcW w:w="110" w:type="dxa"/>
            <w:tcBorders/>
            <w:shd w:fill="FFFFFF" w:val="clear"/>
            <w:vAlign w:val="bottom"/>
          </w:tcPr>
          <w:p>
            <w:pPr>
              <w:pStyle w:val="TableContents"/>
              <w:spacing w:before="0" w:after="1"/>
              <w:ind w:left="0" w:right="0" w:hanging="0"/>
              <w:jc w:val="right"/>
              <w:rPr/>
            </w:pPr>
            <w:r>
              <w:rPr/>
              <w:t> </w:t>
            </w:r>
          </w:p>
        </w:tc>
        <w:tc>
          <w:tcPr>
            <w:tcW w:w="710" w:type="dxa"/>
            <w:tcBorders/>
            <w:shd w:fill="FFFFFF" w:val="clear"/>
            <w:vAlign w:val="bottom"/>
          </w:tcPr>
          <w:p>
            <w:pPr>
              <w:pStyle w:val="TableContents"/>
              <w:spacing w:before="0" w:after="283"/>
              <w:jc w:val="right"/>
              <w:rPr>
                <w:sz w:val="17"/>
              </w:rPr>
            </w:pPr>
            <w:r>
              <w:rPr>
                <w:sz w:val="17"/>
              </w:rPr>
              <w:t xml:space="preserve">71,242  </w:t>
            </w:r>
          </w:p>
        </w:tc>
      </w:tr>
      <w:tr>
        <w:trPr/>
        <w:tc>
          <w:tcPr>
            <w:tcW w:w="332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Games, machine and merchandising companies</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69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9,999 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71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8,550  </w:t>
            </w:r>
          </w:p>
        </w:tc>
      </w:tr>
      <w:tr>
        <w:trPr/>
        <w:tc>
          <w:tcPr>
            <w:tcW w:w="332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pPr>
            <w:r>
              <w:rPr/>
              <w:t>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69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196,598 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7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143,488 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120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0" w:after="200"/>
        <w:ind w:left="2160" w:right="0" w:firstLine="720"/>
        <w:jc w:val="both"/>
        <w:rPr>
          <w:sz w:val="17"/>
        </w:rPr>
      </w:pPr>
      <w:r>
        <w:rPr>
          <w:b/>
          <w:sz w:val="17"/>
        </w:rPr>
        <w:t>Impairment losses</w:t>
      </w:r>
      <w:r>
        <w:rPr>
          <w:sz w:val="17"/>
        </w:rPr>
        <w:t xml:space="preserve"> </w:t>
      </w:r>
    </w:p>
    <w:p>
      <w:pPr>
        <w:pStyle w:val="TextBody"/>
        <w:spacing w:before="0" w:after="200"/>
        <w:ind w:left="1440" w:right="0" w:firstLine="709"/>
        <w:jc w:val="both"/>
        <w:rPr>
          <w:sz w:val="17"/>
        </w:rPr>
      </w:pPr>
      <w:r>
        <w:rPr>
          <w:sz w:val="17"/>
        </w:rPr>
        <w:t xml:space="preserve">None of the Company’s trade receivables are past due (2011: $nil).  There were no allowances for impairment at 31 December 2012 or 2011. </w:t>
      </w:r>
    </w:p>
    <w:p>
      <w:pPr>
        <w:pStyle w:val="TextBody"/>
        <w:spacing w:before="0" w:after="200"/>
        <w:ind w:left="1440" w:right="0" w:firstLine="709"/>
        <w:jc w:val="both"/>
        <w:rPr>
          <w:sz w:val="17"/>
        </w:rPr>
      </w:pPr>
      <w:r>
        <w:rPr>
          <w:b/>
          <w:sz w:val="17"/>
        </w:rPr>
        <w:t>(d) Liquidity risk</w:t>
      </w:r>
      <w:r>
        <w:rPr>
          <w:sz w:val="17"/>
        </w:rPr>
        <w:t xml:space="preserve"> </w:t>
      </w:r>
    </w:p>
    <w:p>
      <w:pPr>
        <w:pStyle w:val="TextBody"/>
        <w:spacing w:before="0" w:after="200"/>
        <w:ind w:left="1440" w:right="0" w:firstLine="720"/>
        <w:jc w:val="both"/>
        <w:rPr>
          <w:sz w:val="17"/>
        </w:rPr>
      </w:pPr>
      <w:r>
        <w:rPr>
          <w:sz w:val="17"/>
        </w:rPr>
        <w:t xml:space="preserve">Liquidity risk is the risk that the Joint Venture will encounter difficulties in meeting its financial obligations as they fall due. The Joint Venture’s approach to managing liquidity is to ensure, as far as possible, that it will have sufficient liquidity to meet its liabilities when due, under both normal and stressed conditions, without incurring unacceptable losses or risking damage to the Joint Venture’s reputation. </w:t>
      </w:r>
    </w:p>
    <w:p>
      <w:pPr>
        <w:pStyle w:val="TextBody"/>
        <w:spacing w:before="0" w:after="200"/>
        <w:ind w:left="1440" w:right="0" w:firstLine="660"/>
        <w:jc w:val="both"/>
        <w:rPr>
          <w:sz w:val="17"/>
        </w:rPr>
      </w:pPr>
      <w:r>
        <w:rPr>
          <w:sz w:val="17"/>
        </w:rPr>
        <w:t xml:space="preserve">The only financial liabilities are trade and other payables all of which are contractually due within 12 months.  The carrying value of such liabilities at 31 December 2012 is $878,026 (2011: $657,891). </w:t>
      </w:r>
    </w:p>
    <w:p>
      <w:pPr>
        <w:pStyle w:val="TextBody"/>
        <w:spacing w:before="0" w:after="200"/>
        <w:ind w:left="1440" w:right="0" w:firstLine="660"/>
        <w:jc w:val="both"/>
        <w:rPr>
          <w:sz w:val="17"/>
        </w:rPr>
      </w:pPr>
      <w:r>
        <w:rPr>
          <w:b/>
          <w:sz w:val="17"/>
        </w:rPr>
        <w:t>(e) Market risk</w:t>
      </w:r>
      <w:r>
        <w:rPr>
          <w:sz w:val="17"/>
        </w:rPr>
        <w:t xml:space="preserve"> </w:t>
      </w:r>
    </w:p>
    <w:p>
      <w:pPr>
        <w:pStyle w:val="TextBody"/>
        <w:spacing w:before="100" w:after="100"/>
        <w:ind w:left="1440" w:right="0" w:hanging="0"/>
        <w:jc w:val="both"/>
        <w:rPr/>
      </w:pPr>
      <w:r>
        <w:rPr/>
        <w:t>            </w:t>
      </w:r>
      <w:r>
        <w:rPr>
          <w:sz w:val="17"/>
        </w:rPr>
        <w:t xml:space="preserve">Market risk is the risk that changes in market prices, such as interest rates, will affect the Joint Venture’s income.  The objective of market risk management is to manage and control market risk exposures within acceptable parameters, while optimising the return.  The Joint Venture is not subject to market risks relating to foreign exchange rates or equity prices.  Furthermore, the Joint Venture does not use derivative, financial instruments to hedge fluctuations in interest rates. </w:t>
      </w:r>
    </w:p>
    <w:p>
      <w:pPr>
        <w:pStyle w:val="TextBody"/>
        <w:spacing w:before="0" w:after="200"/>
        <w:ind w:left="2160" w:right="0" w:firstLine="720"/>
        <w:jc w:val="both"/>
        <w:rPr>
          <w:sz w:val="17"/>
        </w:rPr>
      </w:pPr>
      <w:r>
        <w:rPr>
          <w:b/>
          <w:sz w:val="17"/>
        </w:rPr>
        <w:t>Interest rate risk</w:t>
      </w:r>
      <w:r>
        <w:rPr>
          <w:sz w:val="17"/>
        </w:rPr>
        <w:t xml:space="preserve"> </w:t>
      </w:r>
    </w:p>
    <w:p>
      <w:pPr>
        <w:pStyle w:val="TextBody"/>
        <w:spacing w:before="0" w:after="200"/>
        <w:ind w:left="1440" w:right="0" w:firstLine="720"/>
        <w:jc w:val="both"/>
        <w:rPr>
          <w:sz w:val="17"/>
        </w:rPr>
      </w:pPr>
      <w:r>
        <w:rPr>
          <w:sz w:val="17"/>
        </w:rPr>
        <w:t xml:space="preserve">At the reporting date the interest rate profile of the Joint Venture’s interest-bearing financial instruments was: </w:t>
      </w:r>
    </w:p>
    <w:p>
      <w:pPr>
        <w:pStyle w:val="TextBody"/>
        <w:spacing w:before="0" w:after="0"/>
        <w:ind w:left="1440" w:right="0" w:hanging="0"/>
        <w:jc w:val="both"/>
        <w:rPr/>
      </w:pPr>
      <w:r>
        <w:rPr/>
        <w:t xml:space="preserve">  </w:t>
      </w:r>
    </w:p>
    <w:tbl>
      <w:tblPr>
        <w:tblW w:w="4330" w:type="dxa"/>
        <w:jc w:val="left"/>
        <w:tblInd w:w="1440" w:type="dxa"/>
        <w:tblCellMar>
          <w:top w:w="0" w:type="dxa"/>
          <w:left w:w="0" w:type="dxa"/>
          <w:bottom w:w="0" w:type="dxa"/>
          <w:right w:w="0" w:type="dxa"/>
        </w:tblCellMar>
      </w:tblPr>
      <w:tblGrid>
        <w:gridCol w:w="1895"/>
        <w:gridCol w:w="60"/>
        <w:gridCol w:w="60"/>
        <w:gridCol w:w="60"/>
        <w:gridCol w:w="110"/>
        <w:gridCol w:w="920"/>
        <w:gridCol w:w="110"/>
        <w:gridCol w:w="1115"/>
      </w:tblGrid>
      <w:tr>
        <w:trPr/>
        <w:tc>
          <w:tcPr>
            <w:tcW w:w="189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r>
      <w:tr>
        <w:trPr/>
        <w:tc>
          <w:tcPr>
            <w:tcW w:w="1895"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92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115" w:type="dxa"/>
            <w:tcBorders/>
            <w:shd w:fill="auto" w:val="clear"/>
            <w:vAlign w:val="bottom"/>
          </w:tcPr>
          <w:p>
            <w:pPr>
              <w:pStyle w:val="TableContents"/>
              <w:spacing w:before="0" w:after="1"/>
              <w:ind w:left="0" w:right="0" w:hanging="0"/>
              <w:jc w:val="both"/>
              <w:rPr/>
            </w:pPr>
            <w:r>
              <w:rPr/>
              <w:t> </w:t>
            </w:r>
          </w:p>
        </w:tc>
      </w:tr>
      <w:tr>
        <w:trPr/>
        <w:tc>
          <w:tcPr>
            <w:tcW w:w="1895" w:type="dxa"/>
            <w:tcBorders/>
            <w:shd w:fill="auto" w:val="clear"/>
            <w:vAlign w:val="bottom"/>
          </w:tcPr>
          <w:p>
            <w:pPr>
              <w:pStyle w:val="TableContents"/>
              <w:spacing w:before="0" w:after="1"/>
              <w:ind w:left="0" w:right="0" w:hanging="0"/>
              <w:jc w:val="both"/>
              <w:rPr>
                <w:b/>
                <w:sz w:val="17"/>
              </w:rPr>
            </w:pPr>
            <w:r>
              <w:rPr>
                <w:b/>
                <w:sz w:val="17"/>
              </w:rPr>
              <w:t>Variable rate instruments</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2145" w:type="dxa"/>
            <w:gridSpan w:val="3"/>
            <w:tcBorders/>
            <w:shd w:fill="auto" w:val="clear"/>
            <w:vAlign w:val="bottom"/>
          </w:tcPr>
          <w:p>
            <w:pPr>
              <w:pStyle w:val="TableContents"/>
              <w:spacing w:before="0" w:after="1"/>
              <w:ind w:left="0" w:right="0" w:hanging="0"/>
              <w:jc w:val="center"/>
              <w:rPr>
                <w:b/>
                <w:sz w:val="17"/>
              </w:rPr>
            </w:pPr>
            <w:r>
              <w:rPr>
                <w:b/>
                <w:sz w:val="17"/>
              </w:rPr>
              <w:t>Carrying amount</w:t>
            </w:r>
          </w:p>
        </w:tc>
      </w:tr>
      <w:tr>
        <w:trPr/>
        <w:tc>
          <w:tcPr>
            <w:tcW w:w="189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92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111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895" w:type="dxa"/>
            <w:tcBorders>
              <w:top w:val="single" w:sz="8" w:space="0" w:color="000000"/>
            </w:tcBorders>
            <w:shd w:fill="auto" w:val="clear"/>
            <w:tcMar>
              <w:top w:w="28" w:type="dxa"/>
            </w:tcMar>
            <w:vAlign w:val="bottom"/>
          </w:tcPr>
          <w:p>
            <w:pPr>
              <w:pStyle w:val="TableContents"/>
              <w:spacing w:before="0" w:after="1"/>
              <w:ind w:left="0" w:right="0" w:hanging="0"/>
              <w:jc w:val="both"/>
              <w:rPr>
                <w:sz w:val="17"/>
              </w:rPr>
            </w:pPr>
            <w:r>
              <w:rPr>
                <w:sz w:val="17"/>
              </w:rPr>
              <w:t>Cash at bank</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60" w:type="dxa"/>
            <w:tcBorders>
              <w:top w:val="single" w:sz="8" w:space="0" w:color="000000"/>
            </w:tcBorders>
            <w:shd w:fill="auto" w:val="clear"/>
            <w:tcMar>
              <w:top w:w="28" w:type="dxa"/>
            </w:tcMar>
            <w:vAlign w:val="bottom"/>
          </w:tcPr>
          <w:p>
            <w:pPr>
              <w:pStyle w:val="TableContents"/>
              <w:spacing w:before="0" w:after="1"/>
              <w:ind w:left="0" w:right="0" w:hanging="0"/>
              <w:jc w:val="both"/>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920" w:type="dxa"/>
            <w:tcBorders>
              <w:top w:val="single" w:sz="8" w:space="0" w:color="000000"/>
            </w:tcBorders>
            <w:shd w:fill="auto" w:val="clear"/>
            <w:tcMar>
              <w:top w:w="28" w:type="dxa"/>
            </w:tcMar>
            <w:vAlign w:val="bottom"/>
          </w:tcPr>
          <w:p>
            <w:pPr>
              <w:pStyle w:val="TableContents"/>
              <w:spacing w:before="0" w:after="283"/>
              <w:rPr/>
            </w:pPr>
            <w:r>
              <w:rPr/>
              <w:t xml:space="preserve">855,715 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sz w:val="17"/>
              </w:rPr>
            </w:pPr>
            <w:r>
              <w:rPr>
                <w:sz w:val="17"/>
              </w:rPr>
              <w:t>$</w:t>
            </w:r>
          </w:p>
        </w:tc>
        <w:tc>
          <w:tcPr>
            <w:tcW w:w="1115" w:type="dxa"/>
            <w:tcBorders>
              <w:top w:val="single" w:sz="8" w:space="0" w:color="000000"/>
            </w:tcBorders>
            <w:shd w:fill="auto" w:val="clear"/>
            <w:tcMar>
              <w:top w:w="28" w:type="dxa"/>
            </w:tcMar>
            <w:vAlign w:val="bottom"/>
          </w:tcPr>
          <w:p>
            <w:pPr>
              <w:pStyle w:val="TableContents"/>
              <w:spacing w:before="0" w:after="283"/>
              <w:rPr/>
            </w:pPr>
            <w:r>
              <w:rPr/>
              <w:t xml:space="preserve">1,461,138  </w:t>
            </w:r>
          </w:p>
        </w:tc>
      </w:tr>
    </w:tbl>
    <w:p>
      <w:pPr>
        <w:pStyle w:val="TextBody"/>
        <w:spacing w:before="0" w:after="0"/>
        <w:ind w:left="1440" w:right="0" w:hanging="0"/>
        <w:jc w:val="both"/>
        <w:rPr/>
      </w:pPr>
      <w:r>
        <w:rPr/>
        <w:t xml:space="preserve">  </w:t>
      </w:r>
    </w:p>
    <w:p>
      <w:pPr>
        <w:pStyle w:val="TextBody"/>
        <w:spacing w:before="0" w:after="200"/>
        <w:ind w:left="1440" w:right="0" w:firstLine="709"/>
        <w:jc w:val="both"/>
        <w:rPr>
          <w:sz w:val="17"/>
        </w:rPr>
      </w:pPr>
      <w:r>
        <w:rPr>
          <w:sz w:val="17"/>
        </w:rPr>
        <w:t xml:space="preserve">The Joint Venture held no fixed rate instruments during financial years 2012 or 2011.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121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firstLine="709"/>
        <w:jc w:val="both"/>
        <w:rPr>
          <w:sz w:val="17"/>
        </w:rPr>
      </w:pPr>
      <w:r>
        <w:rPr>
          <w:b/>
          <w:sz w:val="17"/>
        </w:rPr>
        <w:t>(f) Fair values</w:t>
      </w:r>
      <w:r>
        <w:rPr>
          <w:sz w:val="17"/>
        </w:rPr>
        <w:t xml:space="preserve"> </w:t>
      </w:r>
    </w:p>
    <w:p>
      <w:pPr>
        <w:pStyle w:val="TextBody"/>
        <w:spacing w:before="0" w:after="200"/>
        <w:ind w:left="2160" w:right="0" w:firstLine="720"/>
        <w:jc w:val="both"/>
        <w:rPr>
          <w:sz w:val="17"/>
        </w:rPr>
      </w:pPr>
      <w:r>
        <w:rPr>
          <w:b/>
          <w:sz w:val="17"/>
        </w:rPr>
        <w:t>Fair values versus carrying amounts</w:t>
      </w:r>
      <w:r>
        <w:rPr>
          <w:sz w:val="17"/>
        </w:rPr>
        <w:t xml:space="preserve"> </w:t>
      </w:r>
    </w:p>
    <w:p>
      <w:pPr>
        <w:pStyle w:val="TextBody"/>
        <w:spacing w:before="0" w:after="200"/>
        <w:ind w:left="1440" w:right="0" w:firstLine="720"/>
        <w:jc w:val="both"/>
        <w:rPr>
          <w:sz w:val="17"/>
        </w:rPr>
      </w:pPr>
      <w:r>
        <w:rPr>
          <w:sz w:val="17"/>
        </w:rPr>
        <w:t xml:space="preserve">The fair values of financial assets and liabilities, together with the carrying amounts shown in the statement of financial position, are as follows: </w:t>
      </w:r>
    </w:p>
    <w:p>
      <w:pPr>
        <w:pStyle w:val="TextBody"/>
        <w:spacing w:before="0" w:after="0"/>
        <w:ind w:left="1440" w:right="0" w:hanging="0"/>
        <w:jc w:val="both"/>
        <w:rPr/>
      </w:pPr>
      <w:r>
        <w:rPr/>
        <w:t xml:space="preserve">  </w:t>
      </w:r>
    </w:p>
    <w:tbl>
      <w:tblPr>
        <w:tblW w:w="6480" w:type="dxa"/>
        <w:jc w:val="left"/>
        <w:tblInd w:w="1440" w:type="dxa"/>
        <w:tblCellMar>
          <w:top w:w="0" w:type="dxa"/>
          <w:left w:w="0" w:type="dxa"/>
          <w:bottom w:w="0" w:type="dxa"/>
          <w:right w:w="0" w:type="dxa"/>
        </w:tblCellMar>
      </w:tblPr>
      <w:tblGrid>
        <w:gridCol w:w="1835"/>
        <w:gridCol w:w="110"/>
        <w:gridCol w:w="1295"/>
        <w:gridCol w:w="110"/>
        <w:gridCol w:w="770"/>
        <w:gridCol w:w="110"/>
        <w:gridCol w:w="1295"/>
        <w:gridCol w:w="110"/>
        <w:gridCol w:w="845"/>
      </w:tblGrid>
      <w:tr>
        <w:trPr/>
        <w:tc>
          <w:tcPr>
            <w:tcW w:w="183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both"/>
              <w:rPr/>
            </w:pPr>
            <w:r>
              <w:rPr/>
              <w:t> </w:t>
            </w:r>
          </w:p>
        </w:tc>
        <w:tc>
          <w:tcPr>
            <w:tcW w:w="12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2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183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right"/>
              <w:rPr/>
            </w:pPr>
            <w:r>
              <w:rPr/>
              <w:t> </w:t>
            </w:r>
          </w:p>
        </w:tc>
        <w:tc>
          <w:tcPr>
            <w:tcW w:w="12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77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129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1835" w:type="dxa"/>
            <w:tcBorders/>
            <w:shd w:fill="auto" w:val="clear"/>
          </w:tcPr>
          <w:p>
            <w:pPr>
              <w:pStyle w:val="TableContents"/>
              <w:spacing w:before="0" w:after="1"/>
              <w:ind w:left="0" w:right="0" w:hanging="0"/>
              <w:jc w:val="both"/>
              <w:rPr/>
            </w:pPr>
            <w:r>
              <w:rPr/>
              <w:t> </w:t>
            </w:r>
          </w:p>
        </w:tc>
        <w:tc>
          <w:tcPr>
            <w:tcW w:w="110" w:type="dxa"/>
            <w:tcBorders/>
            <w:shd w:fill="auto" w:val="clear"/>
          </w:tcPr>
          <w:p>
            <w:pPr>
              <w:pStyle w:val="TableContents"/>
              <w:spacing w:before="0" w:after="1"/>
              <w:ind w:left="0" w:right="0" w:hanging="0"/>
              <w:jc w:val="right"/>
              <w:rPr/>
            </w:pPr>
            <w:r>
              <w:rPr/>
              <w:t> </w:t>
            </w:r>
          </w:p>
        </w:tc>
        <w:tc>
          <w:tcPr>
            <w:tcW w:w="2175"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8" w:space="0" w:color="000000"/>
            </w:tcBorders>
            <w:shd w:fill="auto" w:val="clear"/>
            <w:tcMar>
              <w:bottom w:w="28" w:type="dxa"/>
            </w:tcMar>
            <w:vAlign w:val="bottom"/>
          </w:tcPr>
          <w:p>
            <w:pPr>
              <w:pStyle w:val="TableContents"/>
              <w:spacing w:before="0" w:after="1"/>
              <w:ind w:left="0" w:right="0" w:hanging="0"/>
              <w:jc w:val="center"/>
              <w:rPr/>
            </w:pPr>
            <w:r>
              <w:rPr/>
              <w:t> </w:t>
            </w:r>
          </w:p>
        </w:tc>
        <w:tc>
          <w:tcPr>
            <w:tcW w:w="2250" w:type="dxa"/>
            <w:gridSpan w:val="3"/>
            <w:tcBorders>
              <w:bottom w:val="single" w:sz="8"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835" w:type="dxa"/>
            <w:tcBorders>
              <w:bottom w:val="single" w:sz="12" w:space="0" w:color="000000"/>
            </w:tcBorders>
            <w:shd w:fill="auto" w:val="clear"/>
            <w:tcMar>
              <w:bottom w:w="28" w:type="dxa"/>
            </w:tcMar>
            <w:vAlign w:val="bottom"/>
          </w:tcPr>
          <w:p>
            <w:pPr>
              <w:pStyle w:val="TableContents"/>
              <w:spacing w:before="0" w:after="1"/>
              <w:ind w:left="0" w:right="0" w:hanging="0"/>
              <w:jc w:val="center"/>
              <w:rPr>
                <w:i/>
                <w:sz w:val="17"/>
              </w:rPr>
            </w:pPr>
            <w:r>
              <w:rPr>
                <w:i/>
                <w:sz w:val="17"/>
              </w:rPr>
              <w:t>In AUS$</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right"/>
              <w:rPr/>
            </w:pPr>
            <w:r>
              <w:rPr/>
              <w:t> </w:t>
            </w:r>
          </w:p>
        </w:tc>
        <w:tc>
          <w:tcPr>
            <w:tcW w:w="12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Carrying amount</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77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Fair value</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129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Carrying amount</w:t>
            </w:r>
          </w:p>
        </w:tc>
        <w:tc>
          <w:tcPr>
            <w:tcW w:w="110"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pPr>
            <w:r>
              <w:rPr/>
              <w:t> </w:t>
            </w:r>
          </w:p>
        </w:tc>
        <w:tc>
          <w:tcPr>
            <w:tcW w:w="845" w:type="dxa"/>
            <w:tcBorders>
              <w:top w:val="single" w:sz="8" w:space="0" w:color="000000"/>
              <w:bottom w:val="single" w:sz="12" w:space="0" w:color="000000"/>
            </w:tcBorders>
            <w:shd w:fill="auto" w:val="clear"/>
            <w:tcMar>
              <w:top w:w="28" w:type="dxa"/>
              <w:bottom w:w="28" w:type="dxa"/>
            </w:tcMar>
            <w:vAlign w:val="bottom"/>
          </w:tcPr>
          <w:p>
            <w:pPr>
              <w:pStyle w:val="TableContents"/>
              <w:spacing w:before="0" w:after="1"/>
              <w:ind w:left="0" w:right="0" w:hanging="0"/>
              <w:jc w:val="center"/>
              <w:rPr>
                <w:b/>
                <w:sz w:val="17"/>
              </w:rPr>
            </w:pPr>
            <w:r>
              <w:rPr>
                <w:b/>
                <w:sz w:val="17"/>
              </w:rPr>
              <w:t>Fair value</w:t>
            </w:r>
          </w:p>
        </w:tc>
      </w:tr>
      <w:tr>
        <w:trPr/>
        <w:tc>
          <w:tcPr>
            <w:tcW w:w="1835"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Trade receivables</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2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196,598 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77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196,598 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129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143,488 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sz w:val="17"/>
              </w:rPr>
            </w:pPr>
            <w:r>
              <w:rPr>
                <w:sz w:val="17"/>
              </w:rPr>
              <w:t>$</w:t>
            </w:r>
          </w:p>
        </w:tc>
        <w:tc>
          <w:tcPr>
            <w:tcW w:w="84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143,488  </w:t>
            </w:r>
          </w:p>
        </w:tc>
      </w:tr>
      <w:tr>
        <w:trPr/>
        <w:tc>
          <w:tcPr>
            <w:tcW w:w="1835" w:type="dxa"/>
            <w:tcBorders/>
            <w:shd w:fill="FFFFFF" w:val="clear"/>
            <w:vAlign w:val="bottom"/>
          </w:tcPr>
          <w:p>
            <w:pPr>
              <w:pStyle w:val="TableContents"/>
              <w:spacing w:before="0" w:after="1"/>
              <w:ind w:left="0" w:right="0" w:hanging="0"/>
              <w:jc w:val="both"/>
              <w:rPr>
                <w:sz w:val="17"/>
              </w:rPr>
            </w:pPr>
            <w:r>
              <w:rPr>
                <w:sz w:val="17"/>
              </w:rPr>
              <w:t>Cash and cash equivalents</w:t>
            </w:r>
          </w:p>
        </w:tc>
        <w:tc>
          <w:tcPr>
            <w:tcW w:w="110" w:type="dxa"/>
            <w:tcBorders/>
            <w:shd w:fill="FFFFFF" w:val="clear"/>
            <w:vAlign w:val="bottom"/>
          </w:tcPr>
          <w:p>
            <w:pPr>
              <w:pStyle w:val="TableContents"/>
              <w:spacing w:before="0" w:after="1"/>
              <w:ind w:left="0" w:right="0" w:hanging="0"/>
              <w:jc w:val="right"/>
              <w:rPr/>
            </w:pPr>
            <w:r>
              <w:rPr/>
              <w:t> </w:t>
            </w:r>
          </w:p>
        </w:tc>
        <w:tc>
          <w:tcPr>
            <w:tcW w:w="1295" w:type="dxa"/>
            <w:tcBorders/>
            <w:shd w:fill="FFFFFF" w:val="clear"/>
            <w:vAlign w:val="bottom"/>
          </w:tcPr>
          <w:p>
            <w:pPr>
              <w:pStyle w:val="TableContents"/>
              <w:spacing w:before="0" w:after="283"/>
              <w:jc w:val="right"/>
              <w:rPr>
                <w:sz w:val="17"/>
              </w:rPr>
            </w:pPr>
            <w:r>
              <w:rPr>
                <w:sz w:val="17"/>
              </w:rPr>
              <w:t xml:space="preserve">898,217  </w:t>
            </w:r>
          </w:p>
        </w:tc>
        <w:tc>
          <w:tcPr>
            <w:tcW w:w="110" w:type="dxa"/>
            <w:tcBorders/>
            <w:shd w:fill="FFFFFF" w:val="clear"/>
            <w:vAlign w:val="bottom"/>
          </w:tcPr>
          <w:p>
            <w:pPr>
              <w:pStyle w:val="TableContents"/>
              <w:spacing w:before="0" w:after="1"/>
              <w:ind w:left="0" w:right="0" w:hanging="0"/>
              <w:jc w:val="both"/>
              <w:rPr/>
            </w:pPr>
            <w:r>
              <w:rPr/>
              <w:t> </w:t>
            </w:r>
          </w:p>
        </w:tc>
        <w:tc>
          <w:tcPr>
            <w:tcW w:w="770" w:type="dxa"/>
            <w:tcBorders/>
            <w:shd w:fill="FFFFFF" w:val="clear"/>
            <w:vAlign w:val="bottom"/>
          </w:tcPr>
          <w:p>
            <w:pPr>
              <w:pStyle w:val="TableContents"/>
              <w:spacing w:before="0" w:after="283"/>
              <w:jc w:val="right"/>
              <w:rPr>
                <w:sz w:val="17"/>
              </w:rPr>
            </w:pPr>
            <w:r>
              <w:rPr>
                <w:sz w:val="17"/>
              </w:rPr>
              <w:t xml:space="preserve">898,217  </w:t>
            </w:r>
          </w:p>
        </w:tc>
        <w:tc>
          <w:tcPr>
            <w:tcW w:w="110" w:type="dxa"/>
            <w:tcBorders/>
            <w:shd w:fill="FFFFFF" w:val="clear"/>
            <w:vAlign w:val="bottom"/>
          </w:tcPr>
          <w:p>
            <w:pPr>
              <w:pStyle w:val="TableContents"/>
              <w:spacing w:before="0" w:after="1"/>
              <w:ind w:left="0" w:right="0" w:hanging="0"/>
              <w:jc w:val="both"/>
              <w:rPr/>
            </w:pPr>
            <w:r>
              <w:rPr/>
              <w:t> </w:t>
            </w:r>
          </w:p>
        </w:tc>
        <w:tc>
          <w:tcPr>
            <w:tcW w:w="1295" w:type="dxa"/>
            <w:tcBorders/>
            <w:shd w:fill="FFFFFF" w:val="clear"/>
            <w:vAlign w:val="bottom"/>
          </w:tcPr>
          <w:p>
            <w:pPr>
              <w:pStyle w:val="TableContents"/>
              <w:spacing w:before="0" w:after="283"/>
              <w:jc w:val="right"/>
              <w:rPr>
                <w:sz w:val="17"/>
              </w:rPr>
            </w:pPr>
            <w:r>
              <w:rPr>
                <w:sz w:val="17"/>
              </w:rPr>
              <w:t xml:space="preserve">1,590,333  </w:t>
            </w:r>
          </w:p>
        </w:tc>
        <w:tc>
          <w:tcPr>
            <w:tcW w:w="110" w:type="dxa"/>
            <w:tcBorders/>
            <w:shd w:fill="FFFFFF" w:val="clear"/>
            <w:vAlign w:val="bottom"/>
          </w:tcPr>
          <w:p>
            <w:pPr>
              <w:pStyle w:val="TableContents"/>
              <w:spacing w:before="0" w:after="1"/>
              <w:ind w:left="0" w:right="0" w:hanging="0"/>
              <w:jc w:val="both"/>
              <w:rPr/>
            </w:pPr>
            <w:r>
              <w:rPr/>
              <w:t> </w:t>
            </w:r>
          </w:p>
        </w:tc>
        <w:tc>
          <w:tcPr>
            <w:tcW w:w="845" w:type="dxa"/>
            <w:tcBorders/>
            <w:shd w:fill="FFFFFF" w:val="clear"/>
            <w:vAlign w:val="bottom"/>
          </w:tcPr>
          <w:p>
            <w:pPr>
              <w:pStyle w:val="TableContents"/>
              <w:spacing w:before="0" w:after="283"/>
              <w:jc w:val="right"/>
              <w:rPr>
                <w:sz w:val="17"/>
              </w:rPr>
            </w:pPr>
            <w:r>
              <w:rPr>
                <w:sz w:val="17"/>
              </w:rPr>
              <w:t xml:space="preserve">1,590,333  </w:t>
            </w:r>
          </w:p>
        </w:tc>
      </w:tr>
      <w:tr>
        <w:trPr/>
        <w:tc>
          <w:tcPr>
            <w:tcW w:w="1835" w:type="dxa"/>
            <w:tcBorders/>
            <w:shd w:fill="CCEEFF" w:val="clear"/>
            <w:vAlign w:val="bottom"/>
          </w:tcPr>
          <w:p>
            <w:pPr>
              <w:pStyle w:val="TableContents"/>
              <w:spacing w:before="0" w:after="1"/>
              <w:ind w:left="0" w:right="0" w:hanging="0"/>
              <w:jc w:val="both"/>
              <w:rPr>
                <w:sz w:val="17"/>
              </w:rPr>
            </w:pPr>
            <w:r>
              <w:rPr>
                <w:sz w:val="17"/>
              </w:rPr>
              <w:t>Trade and other payables</w:t>
            </w:r>
          </w:p>
        </w:tc>
        <w:tc>
          <w:tcPr>
            <w:tcW w:w="110" w:type="dxa"/>
            <w:tcBorders/>
            <w:shd w:fill="CCEEFF" w:val="clear"/>
            <w:vAlign w:val="bottom"/>
          </w:tcPr>
          <w:p>
            <w:pPr>
              <w:pStyle w:val="TableContents"/>
              <w:spacing w:before="0" w:after="1"/>
              <w:ind w:left="0" w:right="0" w:hanging="0"/>
              <w:jc w:val="right"/>
              <w:rPr/>
            </w:pPr>
            <w:r>
              <w:rPr/>
              <w:t> </w:t>
            </w:r>
          </w:p>
        </w:tc>
        <w:tc>
          <w:tcPr>
            <w:tcW w:w="1295" w:type="dxa"/>
            <w:tcBorders/>
            <w:shd w:fill="CCEEFF" w:val="clear"/>
            <w:vAlign w:val="bottom"/>
          </w:tcPr>
          <w:p>
            <w:pPr>
              <w:pStyle w:val="TableContents"/>
              <w:spacing w:before="0" w:after="283"/>
              <w:jc w:val="right"/>
              <w:rPr>
                <w:sz w:val="17"/>
              </w:rPr>
            </w:pPr>
            <w:r>
              <w:rPr>
                <w:sz w:val="17"/>
              </w:rPr>
              <w:t xml:space="preserve">878,026  </w:t>
            </w:r>
          </w:p>
        </w:tc>
        <w:tc>
          <w:tcPr>
            <w:tcW w:w="110" w:type="dxa"/>
            <w:tcBorders/>
            <w:shd w:fill="CCEEFF" w:val="clear"/>
            <w:vAlign w:val="bottom"/>
          </w:tcPr>
          <w:p>
            <w:pPr>
              <w:pStyle w:val="TableContents"/>
              <w:spacing w:before="0" w:after="1"/>
              <w:ind w:left="0" w:right="0" w:hanging="0"/>
              <w:jc w:val="both"/>
              <w:rPr/>
            </w:pPr>
            <w:r>
              <w:rPr/>
              <w:t> </w:t>
            </w:r>
          </w:p>
        </w:tc>
        <w:tc>
          <w:tcPr>
            <w:tcW w:w="770" w:type="dxa"/>
            <w:tcBorders/>
            <w:shd w:fill="CCEEFF" w:val="clear"/>
            <w:vAlign w:val="bottom"/>
          </w:tcPr>
          <w:p>
            <w:pPr>
              <w:pStyle w:val="TableContents"/>
              <w:spacing w:before="0" w:after="283"/>
              <w:jc w:val="right"/>
              <w:rPr>
                <w:sz w:val="17"/>
              </w:rPr>
            </w:pPr>
            <w:r>
              <w:rPr>
                <w:sz w:val="17"/>
              </w:rPr>
              <w:t xml:space="preserve">878,026  </w:t>
            </w:r>
          </w:p>
        </w:tc>
        <w:tc>
          <w:tcPr>
            <w:tcW w:w="110" w:type="dxa"/>
            <w:tcBorders/>
            <w:shd w:fill="CCEEFF" w:val="clear"/>
            <w:vAlign w:val="bottom"/>
          </w:tcPr>
          <w:p>
            <w:pPr>
              <w:pStyle w:val="TableContents"/>
              <w:spacing w:before="0" w:after="1"/>
              <w:ind w:left="0" w:right="0" w:hanging="0"/>
              <w:jc w:val="both"/>
              <w:rPr/>
            </w:pPr>
            <w:r>
              <w:rPr/>
              <w:t> </w:t>
            </w:r>
          </w:p>
        </w:tc>
        <w:tc>
          <w:tcPr>
            <w:tcW w:w="1295" w:type="dxa"/>
            <w:tcBorders/>
            <w:shd w:fill="CCEEFF" w:val="clear"/>
            <w:vAlign w:val="bottom"/>
          </w:tcPr>
          <w:p>
            <w:pPr>
              <w:pStyle w:val="TableContents"/>
              <w:spacing w:before="0" w:after="283"/>
              <w:jc w:val="right"/>
              <w:rPr>
                <w:sz w:val="17"/>
              </w:rPr>
            </w:pPr>
            <w:r>
              <w:rPr>
                <w:sz w:val="17"/>
              </w:rPr>
              <w:t xml:space="preserve">657,891  </w:t>
            </w:r>
          </w:p>
        </w:tc>
        <w:tc>
          <w:tcPr>
            <w:tcW w:w="110" w:type="dxa"/>
            <w:tcBorders/>
            <w:shd w:fill="CCEEFF" w:val="clear"/>
            <w:vAlign w:val="bottom"/>
          </w:tcPr>
          <w:p>
            <w:pPr>
              <w:pStyle w:val="TableContents"/>
              <w:spacing w:before="0" w:after="1"/>
              <w:ind w:left="0" w:right="0" w:hanging="0"/>
              <w:jc w:val="both"/>
              <w:rPr/>
            </w:pPr>
            <w:r>
              <w:rPr/>
              <w:t> </w:t>
            </w:r>
          </w:p>
        </w:tc>
        <w:tc>
          <w:tcPr>
            <w:tcW w:w="845" w:type="dxa"/>
            <w:tcBorders/>
            <w:shd w:fill="CCEEFF" w:val="clear"/>
            <w:vAlign w:val="bottom"/>
          </w:tcPr>
          <w:p>
            <w:pPr>
              <w:pStyle w:val="TableContents"/>
              <w:spacing w:before="0" w:after="283"/>
              <w:jc w:val="right"/>
              <w:rPr>
                <w:sz w:val="17"/>
              </w:rPr>
            </w:pPr>
            <w:r>
              <w:rPr>
                <w:sz w:val="17"/>
              </w:rPr>
              <w:t xml:space="preserve">657,891  </w:t>
            </w:r>
          </w:p>
        </w:tc>
      </w:tr>
    </w:tbl>
    <w:p>
      <w:pPr>
        <w:pStyle w:val="TextBody"/>
        <w:spacing w:before="0" w:after="0"/>
        <w:ind w:left="1440" w:right="0" w:hanging="0"/>
        <w:jc w:val="both"/>
        <w:rPr/>
      </w:pPr>
      <w:r>
        <w:rPr/>
        <w:t xml:space="preserve">  </w:t>
      </w:r>
    </w:p>
    <w:p>
      <w:pPr>
        <w:pStyle w:val="TextBody"/>
        <w:spacing w:before="0" w:after="200"/>
        <w:ind w:left="1440" w:right="0" w:firstLine="709"/>
        <w:jc w:val="both"/>
        <w:rPr>
          <w:sz w:val="17"/>
        </w:rPr>
      </w:pPr>
      <w:r>
        <w:rPr>
          <w:sz w:val="17"/>
        </w:rPr>
        <w:t xml:space="preserve">The basis for determining fair values is disclosed in Note 4, </w:t>
      </w:r>
      <w:r>
        <w:rPr>
          <w:i/>
          <w:sz w:val="17"/>
        </w:rPr>
        <w:t>Determination of fair values</w:t>
      </w:r>
      <w:r>
        <w:rPr>
          <w:sz w:val="17"/>
        </w:rPr>
        <w:t xml:space="preserve">.  </w:t>
      </w:r>
    </w:p>
    <w:p>
      <w:pPr>
        <w:pStyle w:val="TextBody"/>
        <w:spacing w:before="0" w:after="200"/>
        <w:ind w:left="1440" w:right="0" w:firstLine="709"/>
        <w:jc w:val="both"/>
        <w:rPr>
          <w:sz w:val="17"/>
        </w:rPr>
      </w:pPr>
      <w:r>
        <w:rPr>
          <w:b/>
          <w:sz w:val="17"/>
        </w:rPr>
        <w:t>(g) Capital</w:t>
      </w:r>
      <w:r>
        <w:rPr>
          <w:sz w:val="17"/>
        </w:rPr>
        <w:t xml:space="preserve"> </w:t>
      </w:r>
    </w:p>
    <w:p>
      <w:pPr>
        <w:pStyle w:val="TextBody"/>
        <w:spacing w:before="0" w:after="200"/>
        <w:ind w:left="1440" w:right="0" w:firstLine="720"/>
        <w:jc w:val="both"/>
        <w:rPr>
          <w:sz w:val="17"/>
        </w:rPr>
      </w:pPr>
      <w:r>
        <w:rPr>
          <w:sz w:val="17"/>
        </w:rPr>
        <w:t xml:space="preserve">Capital consists of contributed equity and retained earnings. The contributed equity amount represents the initial investment in the partnership. The Managing Committee’s policy is to maintain a strong capital base so as to maintain creditor confidence and to sustain future development of the business. There were no externally imposed capital requirements during the financial years 2012 or 2011. </w:t>
      </w:r>
    </w:p>
    <w:p>
      <w:pPr>
        <w:pStyle w:val="TextBody"/>
        <w:spacing w:before="0" w:after="200"/>
        <w:ind w:left="1440" w:right="0" w:hanging="0"/>
        <w:jc w:val="both"/>
        <w:rPr>
          <w:sz w:val="17"/>
        </w:rPr>
      </w:pPr>
      <w:r>
        <w:rPr>
          <w:b/>
          <w:sz w:val="17"/>
        </w:rPr>
        <w:t>16.</w:t>
      </w:r>
      <w:r>
        <w:rPr>
          <w:sz w:val="17"/>
        </w:rPr>
        <w:t xml:space="preserve"> </w:t>
      </w:r>
      <w:r>
        <w:rPr>
          <w:b/>
          <w:sz w:val="17"/>
        </w:rPr>
        <w:t>Operating leases</w:t>
      </w:r>
      <w:r>
        <w:rPr>
          <w:sz w:val="17"/>
        </w:rPr>
        <w:t xml:space="preserve"> </w:t>
      </w:r>
    </w:p>
    <w:p>
      <w:pPr>
        <w:pStyle w:val="TextBody"/>
        <w:spacing w:before="0" w:after="200"/>
        <w:ind w:left="1440" w:right="0" w:firstLine="720"/>
        <w:jc w:val="both"/>
        <w:rPr>
          <w:sz w:val="17"/>
        </w:rPr>
      </w:pPr>
      <w:r>
        <w:rPr>
          <w:b/>
          <w:sz w:val="17"/>
        </w:rPr>
        <w:t>Leases as lessee</w:t>
      </w:r>
      <w:r>
        <w:rPr>
          <w:sz w:val="17"/>
        </w:rPr>
        <w:t xml:space="preserve"> </w:t>
      </w:r>
    </w:p>
    <w:p>
      <w:pPr>
        <w:pStyle w:val="TextBody"/>
        <w:spacing w:before="0" w:after="200"/>
        <w:ind w:left="1440" w:right="0" w:hanging="0"/>
        <w:jc w:val="both"/>
        <w:rPr/>
      </w:pPr>
      <w:r>
        <w:rPr/>
        <w:t>            </w:t>
      </w:r>
      <w:r>
        <w:rPr>
          <w:sz w:val="17"/>
        </w:rPr>
        <w:t xml:space="preserve">Non-cancellable operating lease rentals are payable as follows: </w:t>
      </w:r>
    </w:p>
    <w:p>
      <w:pPr>
        <w:pStyle w:val="TextBody"/>
        <w:spacing w:before="0" w:after="0"/>
        <w:ind w:left="1440" w:right="0" w:hanging="0"/>
        <w:jc w:val="both"/>
        <w:rPr/>
      </w:pPr>
      <w:r>
        <w:rPr/>
        <w:t xml:space="preserve">  </w:t>
      </w:r>
    </w:p>
    <w:tbl>
      <w:tblPr>
        <w:tblW w:w="4015" w:type="dxa"/>
        <w:jc w:val="left"/>
        <w:tblInd w:w="1440" w:type="dxa"/>
        <w:tblCellMar>
          <w:top w:w="0" w:type="dxa"/>
          <w:left w:w="0" w:type="dxa"/>
          <w:bottom w:w="0" w:type="dxa"/>
          <w:right w:w="0" w:type="dxa"/>
        </w:tblCellMar>
      </w:tblPr>
      <w:tblGrid>
        <w:gridCol w:w="1940"/>
        <w:gridCol w:w="60"/>
        <w:gridCol w:w="60"/>
        <w:gridCol w:w="60"/>
        <w:gridCol w:w="110"/>
        <w:gridCol w:w="830"/>
        <w:gridCol w:w="110"/>
        <w:gridCol w:w="845"/>
      </w:tblGrid>
      <w:tr>
        <w:trPr/>
        <w:tc>
          <w:tcPr>
            <w:tcW w:w="194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194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6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1940"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6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both"/>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4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r>
      <w:tr>
        <w:trPr/>
        <w:tc>
          <w:tcPr>
            <w:tcW w:w="1940" w:type="dxa"/>
            <w:tcBorders>
              <w:top w:val="single" w:sz="12" w:space="0" w:color="000000"/>
            </w:tcBorders>
            <w:shd w:fill="CCEEFF" w:val="clear"/>
            <w:tcMar>
              <w:top w:w="28" w:type="dxa"/>
            </w:tcMar>
            <w:vAlign w:val="bottom"/>
          </w:tcPr>
          <w:p>
            <w:pPr>
              <w:pStyle w:val="TableContents"/>
              <w:spacing w:before="0" w:after="1"/>
              <w:ind w:left="0" w:right="0" w:hanging="0"/>
              <w:jc w:val="both"/>
              <w:rPr>
                <w:sz w:val="17"/>
              </w:rPr>
            </w:pPr>
            <w:r>
              <w:rPr>
                <w:sz w:val="17"/>
              </w:rPr>
              <w:t>Less than one year</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6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both"/>
              <w:rPr/>
            </w:pPr>
            <w:r>
              <w:rPr/>
              <w:t> </w:t>
            </w:r>
          </w:p>
        </w:tc>
        <w:tc>
          <w:tcPr>
            <w:tcW w:w="830"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1,277,754  </w:t>
            </w:r>
          </w:p>
        </w:tc>
        <w:tc>
          <w:tcPr>
            <w:tcW w:w="110" w:type="dxa"/>
            <w:tcBorders>
              <w:top w:val="single" w:sz="12" w:space="0" w:color="000000"/>
            </w:tcBorders>
            <w:shd w:fill="CCEEFF" w:val="clear"/>
            <w:tcMar>
              <w:top w:w="28" w:type="dxa"/>
            </w:tcMar>
            <w:vAlign w:val="bottom"/>
          </w:tcPr>
          <w:p>
            <w:pPr>
              <w:pStyle w:val="TableContents"/>
              <w:spacing w:before="0" w:after="1"/>
              <w:ind w:left="0" w:right="0" w:hanging="0"/>
              <w:jc w:val="right"/>
              <w:rPr/>
            </w:pPr>
            <w:r>
              <w:rPr/>
              <w:t> </w:t>
            </w:r>
          </w:p>
        </w:tc>
        <w:tc>
          <w:tcPr>
            <w:tcW w:w="845" w:type="dxa"/>
            <w:tcBorders>
              <w:top w:val="single" w:sz="12" w:space="0" w:color="000000"/>
            </w:tcBorders>
            <w:shd w:fill="CCEEFF" w:val="clear"/>
            <w:tcMar>
              <w:top w:w="28" w:type="dxa"/>
            </w:tcMar>
            <w:vAlign w:val="bottom"/>
          </w:tcPr>
          <w:p>
            <w:pPr>
              <w:pStyle w:val="TableContents"/>
              <w:spacing w:before="0" w:after="283"/>
              <w:jc w:val="right"/>
              <w:rPr>
                <w:sz w:val="17"/>
              </w:rPr>
            </w:pPr>
            <w:r>
              <w:rPr>
                <w:sz w:val="17"/>
              </w:rPr>
              <w:t xml:space="preserve">1,277,754  </w:t>
            </w:r>
          </w:p>
        </w:tc>
      </w:tr>
      <w:tr>
        <w:trPr/>
        <w:tc>
          <w:tcPr>
            <w:tcW w:w="1940" w:type="dxa"/>
            <w:tcBorders/>
            <w:shd w:fill="FFFFFF" w:val="clear"/>
            <w:vAlign w:val="bottom"/>
          </w:tcPr>
          <w:p>
            <w:pPr>
              <w:pStyle w:val="TableContents"/>
              <w:spacing w:before="0" w:after="1"/>
              <w:ind w:left="0" w:right="0" w:hanging="0"/>
              <w:jc w:val="both"/>
              <w:rPr>
                <w:sz w:val="17"/>
              </w:rPr>
            </w:pPr>
            <w:r>
              <w:rPr>
                <w:sz w:val="17"/>
              </w:rPr>
              <w:t>Between one and five years</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60"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both"/>
              <w:rPr/>
            </w:pPr>
            <w:r>
              <w:rPr/>
              <w:t> </w:t>
            </w:r>
          </w:p>
        </w:tc>
        <w:tc>
          <w:tcPr>
            <w:tcW w:w="830" w:type="dxa"/>
            <w:tcBorders/>
            <w:shd w:fill="FFFFFF" w:val="clear"/>
            <w:vAlign w:val="bottom"/>
          </w:tcPr>
          <w:p>
            <w:pPr>
              <w:pStyle w:val="TableContents"/>
              <w:spacing w:before="0" w:after="283"/>
              <w:jc w:val="right"/>
              <w:rPr>
                <w:sz w:val="17"/>
              </w:rPr>
            </w:pPr>
            <w:r>
              <w:rPr>
                <w:sz w:val="17"/>
              </w:rPr>
              <w:t xml:space="preserve">5,111,016  </w:t>
            </w:r>
          </w:p>
        </w:tc>
        <w:tc>
          <w:tcPr>
            <w:tcW w:w="110" w:type="dxa"/>
            <w:tcBorders/>
            <w:shd w:fill="FFFFFF" w:val="clear"/>
            <w:vAlign w:val="bottom"/>
          </w:tcPr>
          <w:p>
            <w:pPr>
              <w:pStyle w:val="TableContents"/>
              <w:spacing w:before="0" w:after="1"/>
              <w:ind w:left="0" w:right="0" w:hanging="0"/>
              <w:jc w:val="right"/>
              <w:rPr/>
            </w:pPr>
            <w:r>
              <w:rPr/>
              <w:t> </w:t>
            </w:r>
          </w:p>
        </w:tc>
        <w:tc>
          <w:tcPr>
            <w:tcW w:w="845" w:type="dxa"/>
            <w:tcBorders/>
            <w:shd w:fill="FFFFFF" w:val="clear"/>
            <w:vAlign w:val="bottom"/>
          </w:tcPr>
          <w:p>
            <w:pPr>
              <w:pStyle w:val="TableContents"/>
              <w:spacing w:before="0" w:after="283"/>
              <w:jc w:val="right"/>
              <w:rPr>
                <w:sz w:val="17"/>
              </w:rPr>
            </w:pPr>
            <w:r>
              <w:rPr>
                <w:sz w:val="17"/>
              </w:rPr>
              <w:t xml:space="preserve">5,111,016  </w:t>
            </w:r>
          </w:p>
        </w:tc>
      </w:tr>
      <w:tr>
        <w:trPr/>
        <w:tc>
          <w:tcPr>
            <w:tcW w:w="1940"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More than five years</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6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830"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1,225,244 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right"/>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2,506,498  </w:t>
            </w:r>
          </w:p>
        </w:tc>
      </w:tr>
      <w:tr>
        <w:trPr/>
        <w:tc>
          <w:tcPr>
            <w:tcW w:w="194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sz w:val="17"/>
              </w:rPr>
            </w:pPr>
            <w:r>
              <w:rPr>
                <w:sz w:val="17"/>
              </w:rPr>
              <w:t>Total</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6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7,614,014  </w:t>
            </w:r>
          </w:p>
        </w:tc>
        <w:tc>
          <w:tcPr>
            <w:tcW w:w="110"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45" w:type="dxa"/>
            <w:tcBorders>
              <w:top w:val="single" w:sz="8" w:space="0" w:color="000000"/>
              <w:bottom w:val="single" w:sz="12"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8,895,268  </w:t>
            </w:r>
          </w:p>
        </w:tc>
      </w:tr>
    </w:tbl>
    <w:p>
      <w:pPr>
        <w:pStyle w:val="TextBody"/>
        <w:spacing w:before="0" w:after="0"/>
        <w:ind w:left="1440" w:right="0" w:hanging="0"/>
        <w:jc w:val="both"/>
        <w:rPr/>
      </w:pPr>
      <w:r>
        <w:rPr/>
        <w:t xml:space="preserve">  </w:t>
      </w:r>
    </w:p>
    <w:p>
      <w:pPr>
        <w:pStyle w:val="TextBody"/>
        <w:spacing w:before="0" w:after="200"/>
        <w:ind w:left="1440" w:right="0" w:firstLine="720"/>
        <w:jc w:val="both"/>
        <w:rPr>
          <w:sz w:val="17"/>
        </w:rPr>
      </w:pPr>
      <w:r>
        <w:rPr>
          <w:sz w:val="17"/>
        </w:rPr>
        <w:t xml:space="preserve">The Joint Venture leases the cinema property under a long term operating lease. </w:t>
      </w:r>
    </w:p>
    <w:p>
      <w:pPr>
        <w:pStyle w:val="TextBody"/>
        <w:spacing w:before="0" w:after="200"/>
        <w:ind w:left="1440" w:right="0" w:firstLine="720"/>
        <w:jc w:val="both"/>
        <w:rPr>
          <w:sz w:val="17"/>
        </w:rPr>
      </w:pPr>
      <w:r>
        <w:rPr>
          <w:sz w:val="17"/>
        </w:rPr>
        <w:t xml:space="preserve">The prior year operating lease commitments have been amended to exclude property outgoings which is consistent in the current year. </w:t>
      </w:r>
    </w:p>
    <w:p>
      <w:pPr>
        <w:pStyle w:val="TextBody"/>
        <w:spacing w:before="0" w:after="200"/>
        <w:ind w:left="1440" w:right="0" w:hanging="0"/>
        <w:jc w:val="both"/>
        <w:rPr>
          <w:sz w:val="17"/>
        </w:rPr>
      </w:pPr>
      <w:r>
        <w:rPr>
          <w:b/>
          <w:sz w:val="17"/>
        </w:rPr>
        <w:t>17.</w:t>
      </w:r>
      <w:r>
        <w:rPr>
          <w:sz w:val="17"/>
        </w:rPr>
        <w:t xml:space="preserve"> </w:t>
      </w:r>
      <w:r>
        <w:rPr>
          <w:b/>
          <w:sz w:val="17"/>
        </w:rPr>
        <w:t>Contingencies and capital commitments</w:t>
      </w:r>
      <w:r>
        <w:rPr>
          <w:sz w:val="17"/>
        </w:rPr>
        <w:t xml:space="preserve"> </w:t>
      </w:r>
    </w:p>
    <w:p>
      <w:pPr>
        <w:pStyle w:val="TextBody"/>
        <w:spacing w:before="0" w:after="200"/>
        <w:ind w:left="1440" w:right="0" w:firstLine="720"/>
        <w:jc w:val="both"/>
        <w:rPr>
          <w:sz w:val="17"/>
        </w:rPr>
      </w:pPr>
      <w:r>
        <w:rPr>
          <w:sz w:val="17"/>
        </w:rPr>
        <w:t xml:space="preserve">The nature of the Joint Venture’s operations results in claims for personal injuries (including public liability and workers compensation) being received from time to time.  As at period end there were no material current or ongoing outstanding claims. </w:t>
      </w:r>
    </w:p>
    <w:p>
      <w:pPr>
        <w:pStyle w:val="TextBody"/>
        <w:spacing w:before="0" w:after="200"/>
        <w:ind w:left="1440" w:right="0" w:firstLine="720"/>
        <w:jc w:val="both"/>
        <w:rPr>
          <w:sz w:val="17"/>
        </w:rPr>
      </w:pPr>
      <w:r>
        <w:rPr>
          <w:sz w:val="17"/>
        </w:rPr>
        <w:t xml:space="preserve">The Joint Venture has no capital commitments at 31 December 2012 (2011: $nil).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122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sz w:val="17"/>
        </w:rPr>
      </w:pPr>
      <w:r>
        <w:rPr>
          <w:b/>
          <w:sz w:val="17"/>
        </w:rPr>
        <w:t>18.</w:t>
      </w:r>
      <w:r>
        <w:rPr>
          <w:sz w:val="17"/>
        </w:rPr>
        <w:t xml:space="preserve"> </w:t>
      </w:r>
      <w:r>
        <w:rPr>
          <w:b/>
          <w:sz w:val="17"/>
        </w:rPr>
        <w:t>Reconciliation of cash flows from operating activities</w:t>
      </w:r>
      <w:r>
        <w:rPr>
          <w:sz w:val="17"/>
        </w:rPr>
        <w:t xml:space="preserve"> </w:t>
      </w:r>
    </w:p>
    <w:p>
      <w:pPr>
        <w:pStyle w:val="TextBody"/>
        <w:spacing w:before="0" w:after="0"/>
        <w:ind w:left="1440" w:right="0" w:hanging="0"/>
        <w:jc w:val="both"/>
        <w:rPr/>
      </w:pPr>
      <w:r>
        <w:rPr/>
        <w:t xml:space="preserve">  </w:t>
      </w:r>
    </w:p>
    <w:tbl>
      <w:tblPr>
        <w:tblW w:w="6985" w:type="dxa"/>
        <w:jc w:val="left"/>
        <w:tblInd w:w="1440" w:type="dxa"/>
        <w:tblCellMar>
          <w:top w:w="0" w:type="dxa"/>
          <w:left w:w="0" w:type="dxa"/>
          <w:bottom w:w="0" w:type="dxa"/>
          <w:right w:w="0" w:type="dxa"/>
        </w:tblCellMar>
      </w:tblPr>
      <w:tblGrid>
        <w:gridCol w:w="3785"/>
        <w:gridCol w:w="365"/>
        <w:gridCol w:w="110"/>
        <w:gridCol w:w="830"/>
        <w:gridCol w:w="110"/>
        <w:gridCol w:w="830"/>
        <w:gridCol w:w="110"/>
        <w:gridCol w:w="845"/>
      </w:tblGrid>
      <w:tr>
        <w:trPr/>
        <w:tc>
          <w:tcPr>
            <w:tcW w:w="378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3785" w:type="dxa"/>
            <w:tcBorders/>
            <w:shd w:fill="auto" w:val="clear"/>
            <w:vAlign w:val="bottom"/>
          </w:tcPr>
          <w:p>
            <w:pPr>
              <w:pStyle w:val="TableContents"/>
              <w:spacing w:before="0" w:after="1"/>
              <w:ind w:left="0" w:right="0" w:hanging="0"/>
              <w:jc w:val="both"/>
              <w:rPr/>
            </w:pPr>
            <w:r>
              <w:rPr/>
              <w:t> </w:t>
            </w:r>
          </w:p>
        </w:tc>
        <w:tc>
          <w:tcPr>
            <w:tcW w:w="365"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30" w:type="dxa"/>
            <w:tcBorders/>
            <w:shd w:fill="auto" w:val="clear"/>
            <w:vAlign w:val="bottom"/>
          </w:tcPr>
          <w:p>
            <w:pPr>
              <w:pStyle w:val="TableContents"/>
              <w:spacing w:before="0" w:after="1"/>
              <w:ind w:left="0" w:right="0" w:hanging="0"/>
              <w:jc w:val="both"/>
              <w:rPr/>
            </w:pPr>
            <w:r>
              <w:rPr/>
              <w:t> </w:t>
            </w:r>
          </w:p>
        </w:tc>
        <w:tc>
          <w:tcPr>
            <w:tcW w:w="110" w:type="dxa"/>
            <w:tcBorders/>
            <w:shd w:fill="auto" w:val="clear"/>
            <w:vAlign w:val="bottom"/>
          </w:tcPr>
          <w:p>
            <w:pPr>
              <w:pStyle w:val="TableContents"/>
              <w:spacing w:before="0" w:after="1"/>
              <w:ind w:left="0" w:right="0" w:hanging="0"/>
              <w:jc w:val="both"/>
              <w:rPr/>
            </w:pPr>
            <w:r>
              <w:rPr/>
              <w:t> </w:t>
            </w:r>
          </w:p>
        </w:tc>
        <w:tc>
          <w:tcPr>
            <w:tcW w:w="845" w:type="dxa"/>
            <w:tcBorders/>
            <w:shd w:fill="auto" w:val="clear"/>
            <w:vAlign w:val="bottom"/>
          </w:tcPr>
          <w:p>
            <w:pPr>
              <w:pStyle w:val="TableContents"/>
              <w:spacing w:before="0" w:after="1"/>
              <w:ind w:left="0" w:right="0" w:hanging="0"/>
              <w:jc w:val="both"/>
              <w:rPr/>
            </w:pPr>
            <w:r>
              <w:rPr/>
              <w:t> </w:t>
            </w:r>
          </w:p>
        </w:tc>
      </w:tr>
      <w:tr>
        <w:trPr/>
        <w:tc>
          <w:tcPr>
            <w:tcW w:w="3785" w:type="dxa"/>
            <w:tcBorders>
              <w:bottom w:val="single" w:sz="12" w:space="0" w:color="000000"/>
            </w:tcBorders>
            <w:shd w:fill="auto" w:val="clear"/>
            <w:tcMar>
              <w:bottom w:w="28" w:type="dxa"/>
            </w:tcMar>
            <w:vAlign w:val="bottom"/>
          </w:tcPr>
          <w:p>
            <w:pPr>
              <w:pStyle w:val="TableContents"/>
              <w:spacing w:before="0" w:after="1"/>
              <w:ind w:left="0" w:right="0" w:hanging="0"/>
              <w:jc w:val="both"/>
              <w:rPr>
                <w:i/>
                <w:sz w:val="17"/>
              </w:rPr>
            </w:pPr>
            <w:r>
              <w:rPr>
                <w:i/>
                <w:sz w:val="17"/>
              </w:rPr>
              <w:t>In AUS$</w:t>
            </w:r>
          </w:p>
        </w:tc>
        <w:tc>
          <w:tcPr>
            <w:tcW w:w="36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Note</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2012</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30"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2011</w:t>
            </w:r>
          </w:p>
        </w:tc>
        <w:tc>
          <w:tcPr>
            <w:tcW w:w="110" w:type="dxa"/>
            <w:tcBorders>
              <w:bottom w:val="single" w:sz="12" w:space="0" w:color="000000"/>
            </w:tcBorders>
            <w:shd w:fill="auto" w:val="clear"/>
            <w:tcMar>
              <w:bottom w:w="28" w:type="dxa"/>
            </w:tcMar>
            <w:vAlign w:val="bottom"/>
          </w:tcPr>
          <w:p>
            <w:pPr>
              <w:pStyle w:val="TableContents"/>
              <w:spacing w:before="0" w:after="1"/>
              <w:ind w:left="0" w:right="0" w:hanging="0"/>
              <w:jc w:val="center"/>
              <w:rPr/>
            </w:pPr>
            <w:r>
              <w:rPr/>
              <w:t> </w:t>
            </w:r>
          </w:p>
        </w:tc>
        <w:tc>
          <w:tcPr>
            <w:tcW w:w="845" w:type="dxa"/>
            <w:tcBorders>
              <w:bottom w:val="single" w:sz="12" w:space="0" w:color="000000"/>
            </w:tcBorders>
            <w:shd w:fill="auto" w:val="clear"/>
            <w:tcMar>
              <w:bottom w:w="28" w:type="dxa"/>
            </w:tcMar>
            <w:vAlign w:val="bottom"/>
          </w:tcPr>
          <w:p>
            <w:pPr>
              <w:pStyle w:val="TableContents"/>
              <w:spacing w:before="0" w:after="1"/>
              <w:ind w:left="0" w:right="0" w:hanging="0"/>
              <w:jc w:val="center"/>
              <w:rPr>
                <w:b/>
                <w:sz w:val="17"/>
              </w:rPr>
            </w:pPr>
            <w:r>
              <w:rPr>
                <w:b/>
                <w:sz w:val="17"/>
              </w:rPr>
              <w:t>2010</w:t>
            </w:r>
          </w:p>
        </w:tc>
      </w:tr>
      <w:tr>
        <w:trPr/>
        <w:tc>
          <w:tcPr>
            <w:tcW w:w="3785" w:type="dxa"/>
            <w:tcBorders>
              <w:top w:val="single" w:sz="8" w:space="0" w:color="000000"/>
            </w:tcBorders>
            <w:shd w:fill="auto" w:val="clear"/>
            <w:tcMar>
              <w:top w:w="28" w:type="dxa"/>
            </w:tcMar>
            <w:vAlign w:val="bottom"/>
          </w:tcPr>
          <w:p>
            <w:pPr>
              <w:pStyle w:val="TableContents"/>
              <w:spacing w:before="0" w:after="1"/>
              <w:ind w:left="0" w:right="0" w:hanging="0"/>
              <w:jc w:val="both"/>
              <w:rPr>
                <w:b/>
                <w:sz w:val="17"/>
              </w:rPr>
            </w:pPr>
            <w:r>
              <w:rPr>
                <w:b/>
                <w:sz w:val="17"/>
              </w:rPr>
              <w:t>Cash flows from operating activities</w:t>
            </w:r>
          </w:p>
        </w:tc>
        <w:tc>
          <w:tcPr>
            <w:tcW w:w="365"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center"/>
              <w:rPr/>
            </w:pPr>
            <w:r>
              <w:rPr/>
              <w:t> </w:t>
            </w:r>
          </w:p>
        </w:tc>
        <w:tc>
          <w:tcPr>
            <w:tcW w:w="83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83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110"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c>
          <w:tcPr>
            <w:tcW w:w="845" w:type="dxa"/>
            <w:tcBorders>
              <w:top w:val="single" w:sz="8" w:space="0" w:color="000000"/>
            </w:tcBorders>
            <w:shd w:fill="auto" w:val="clear"/>
            <w:tcMar>
              <w:top w:w="28" w:type="dxa"/>
            </w:tcMar>
            <w:vAlign w:val="bottom"/>
          </w:tcPr>
          <w:p>
            <w:pPr>
              <w:pStyle w:val="TableContents"/>
              <w:spacing w:before="0" w:after="1"/>
              <w:ind w:left="0" w:right="0" w:hanging="0"/>
              <w:jc w:val="right"/>
              <w:rPr/>
            </w:pPr>
            <w:r>
              <w:rPr/>
              <w:t> </w:t>
            </w:r>
          </w:p>
        </w:tc>
      </w:tr>
      <w:tr>
        <w:trPr/>
        <w:tc>
          <w:tcPr>
            <w:tcW w:w="3785" w:type="dxa"/>
            <w:tcBorders/>
            <w:shd w:fill="CCEEFF" w:val="clear"/>
            <w:vAlign w:val="bottom"/>
          </w:tcPr>
          <w:p>
            <w:pPr>
              <w:pStyle w:val="TableContents"/>
              <w:spacing w:before="0" w:after="1"/>
              <w:ind w:left="0" w:right="0" w:hanging="0"/>
              <w:jc w:val="both"/>
              <w:rPr>
                <w:sz w:val="17"/>
              </w:rPr>
            </w:pPr>
            <w:r>
              <w:rPr>
                <w:sz w:val="17"/>
              </w:rPr>
              <w:t>Profit for the period</w:t>
            </w:r>
          </w:p>
        </w:tc>
        <w:tc>
          <w:tcPr>
            <w:tcW w:w="365" w:type="dxa"/>
            <w:tcBorders/>
            <w:shd w:fill="CCEEFF" w:val="clear"/>
            <w:vAlign w:val="bottom"/>
          </w:tcPr>
          <w:p>
            <w:pPr>
              <w:pStyle w:val="TableContents"/>
              <w:spacing w:before="0" w:after="1"/>
              <w:ind w:left="0" w:right="0" w:hanging="0"/>
              <w:jc w:val="both"/>
              <w:rPr/>
            </w:pPr>
            <w:r>
              <w:rPr/>
              <w:t> </w:t>
            </w:r>
          </w:p>
        </w:tc>
        <w:tc>
          <w:tcPr>
            <w:tcW w:w="110" w:type="dxa"/>
            <w:tcBorders/>
            <w:shd w:fill="CCEEFF" w:val="clear"/>
            <w:vAlign w:val="bottom"/>
          </w:tcPr>
          <w:p>
            <w:pPr>
              <w:pStyle w:val="TableContents"/>
              <w:spacing w:before="0" w:after="1"/>
              <w:ind w:left="0" w:right="0" w:hanging="0"/>
              <w:jc w:val="right"/>
              <w:rPr/>
            </w:pPr>
            <w:r>
              <w:rPr/>
              <w:t> </w:t>
            </w:r>
          </w:p>
        </w:tc>
        <w:tc>
          <w:tcPr>
            <w:tcW w:w="830" w:type="dxa"/>
            <w:tcBorders/>
            <w:shd w:fill="CCEEFF" w:val="clear"/>
            <w:vAlign w:val="bottom"/>
          </w:tcPr>
          <w:p>
            <w:pPr>
              <w:pStyle w:val="TableContents"/>
              <w:spacing w:before="0" w:after="283"/>
              <w:jc w:val="right"/>
              <w:rPr>
                <w:sz w:val="17"/>
              </w:rPr>
            </w:pPr>
            <w:r>
              <w:rPr>
                <w:sz w:val="17"/>
              </w:rPr>
              <w:t xml:space="preserve">3,390,207  </w:t>
            </w:r>
          </w:p>
        </w:tc>
        <w:tc>
          <w:tcPr>
            <w:tcW w:w="110" w:type="dxa"/>
            <w:tcBorders/>
            <w:shd w:fill="CCEEFF" w:val="clear"/>
            <w:vAlign w:val="bottom"/>
          </w:tcPr>
          <w:p>
            <w:pPr>
              <w:pStyle w:val="TableContents"/>
              <w:spacing w:before="0" w:after="1"/>
              <w:ind w:left="0" w:right="0" w:hanging="0"/>
              <w:jc w:val="right"/>
              <w:rPr/>
            </w:pPr>
            <w:r>
              <w:rPr/>
              <w:t> </w:t>
            </w:r>
          </w:p>
        </w:tc>
        <w:tc>
          <w:tcPr>
            <w:tcW w:w="830" w:type="dxa"/>
            <w:tcBorders/>
            <w:shd w:fill="CCEEFF" w:val="clear"/>
            <w:vAlign w:val="bottom"/>
          </w:tcPr>
          <w:p>
            <w:pPr>
              <w:pStyle w:val="TableContents"/>
              <w:spacing w:before="0" w:after="283"/>
              <w:jc w:val="right"/>
              <w:rPr>
                <w:sz w:val="17"/>
              </w:rPr>
            </w:pPr>
            <w:r>
              <w:rPr>
                <w:sz w:val="17"/>
              </w:rPr>
              <w:t xml:space="preserve">2,948,343  </w:t>
            </w:r>
          </w:p>
        </w:tc>
        <w:tc>
          <w:tcPr>
            <w:tcW w:w="110" w:type="dxa"/>
            <w:tcBorders/>
            <w:shd w:fill="CCEEFF" w:val="clear"/>
            <w:vAlign w:val="bottom"/>
          </w:tcPr>
          <w:p>
            <w:pPr>
              <w:pStyle w:val="TableContents"/>
              <w:spacing w:before="0" w:after="1"/>
              <w:ind w:left="0" w:right="0" w:hanging="0"/>
              <w:jc w:val="right"/>
              <w:rPr/>
            </w:pPr>
            <w:r>
              <w:rPr/>
              <w:t> </w:t>
            </w:r>
          </w:p>
        </w:tc>
        <w:tc>
          <w:tcPr>
            <w:tcW w:w="845" w:type="dxa"/>
            <w:tcBorders/>
            <w:shd w:fill="CCEEFF" w:val="clear"/>
            <w:vAlign w:val="bottom"/>
          </w:tcPr>
          <w:p>
            <w:pPr>
              <w:pStyle w:val="TableContents"/>
              <w:spacing w:before="0" w:after="283"/>
              <w:jc w:val="right"/>
              <w:rPr>
                <w:sz w:val="17"/>
              </w:rPr>
            </w:pPr>
            <w:r>
              <w:rPr>
                <w:sz w:val="17"/>
              </w:rPr>
              <w:t xml:space="preserve">2,944,992  </w:t>
            </w:r>
          </w:p>
        </w:tc>
      </w:tr>
      <w:tr>
        <w:trPr/>
        <w:tc>
          <w:tcPr>
            <w:tcW w:w="3785" w:type="dxa"/>
            <w:tcBorders/>
            <w:shd w:fill="FFFFFF" w:val="clear"/>
            <w:vAlign w:val="bottom"/>
          </w:tcPr>
          <w:p>
            <w:pPr>
              <w:pStyle w:val="TableContents"/>
              <w:spacing w:before="0" w:after="1"/>
              <w:ind w:left="0" w:right="0" w:hanging="0"/>
              <w:jc w:val="both"/>
              <w:rPr>
                <w:sz w:val="17"/>
              </w:rPr>
            </w:pPr>
            <w:r>
              <w:rPr>
                <w:sz w:val="17"/>
              </w:rPr>
              <w:t>Adjustments for:</w:t>
            </w:r>
          </w:p>
        </w:tc>
        <w:tc>
          <w:tcPr>
            <w:tcW w:w="365" w:type="dxa"/>
            <w:tcBorders/>
            <w:shd w:fill="FFFFFF" w:val="clear"/>
            <w:vAlign w:val="bottom"/>
          </w:tcPr>
          <w:p>
            <w:pPr>
              <w:pStyle w:val="TableContents"/>
              <w:spacing w:before="0" w:after="1"/>
              <w:ind w:left="0" w:right="0" w:hanging="0"/>
              <w:jc w:val="both"/>
              <w:rPr/>
            </w:pPr>
            <w:r>
              <w:rPr/>
              <w:t> </w:t>
            </w:r>
          </w:p>
        </w:tc>
        <w:tc>
          <w:tcPr>
            <w:tcW w:w="110" w:type="dxa"/>
            <w:tcBorders/>
            <w:shd w:fill="FFFFFF" w:val="clear"/>
            <w:vAlign w:val="bottom"/>
          </w:tcPr>
          <w:p>
            <w:pPr>
              <w:pStyle w:val="TableContents"/>
              <w:spacing w:before="0" w:after="1"/>
              <w:ind w:left="0" w:right="0" w:hanging="0"/>
              <w:jc w:val="both"/>
              <w:rPr/>
            </w:pPr>
            <w:r>
              <w:rPr/>
              <w:t> </w:t>
            </w:r>
          </w:p>
        </w:tc>
        <w:tc>
          <w:tcPr>
            <w:tcW w:w="83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both"/>
              <w:rPr/>
            </w:pPr>
            <w:r>
              <w:rPr/>
              <w:t> </w:t>
            </w:r>
          </w:p>
        </w:tc>
        <w:tc>
          <w:tcPr>
            <w:tcW w:w="830" w:type="dxa"/>
            <w:tcBorders/>
            <w:shd w:fill="FFFFFF" w:val="clear"/>
            <w:vAlign w:val="bottom"/>
          </w:tcPr>
          <w:p>
            <w:pPr>
              <w:pStyle w:val="TableContents"/>
              <w:spacing w:before="0" w:after="1"/>
              <w:ind w:left="0" w:right="0" w:hanging="0"/>
              <w:jc w:val="right"/>
              <w:rPr/>
            </w:pPr>
            <w:r>
              <w:rPr/>
              <w:t> </w:t>
            </w:r>
          </w:p>
        </w:tc>
        <w:tc>
          <w:tcPr>
            <w:tcW w:w="110" w:type="dxa"/>
            <w:tcBorders/>
            <w:shd w:fill="FFFFFF" w:val="clear"/>
            <w:vAlign w:val="bottom"/>
          </w:tcPr>
          <w:p>
            <w:pPr>
              <w:pStyle w:val="TableContents"/>
              <w:spacing w:before="0" w:after="1"/>
              <w:ind w:left="0" w:right="0" w:hanging="0"/>
              <w:jc w:val="both"/>
              <w:rPr/>
            </w:pPr>
            <w:r>
              <w:rPr/>
              <w:t> </w:t>
            </w:r>
          </w:p>
        </w:tc>
        <w:tc>
          <w:tcPr>
            <w:tcW w:w="845" w:type="dxa"/>
            <w:tcBorders/>
            <w:shd w:fill="FFFFFF" w:val="clear"/>
            <w:vAlign w:val="bottom"/>
          </w:tcPr>
          <w:p>
            <w:pPr>
              <w:pStyle w:val="TableContents"/>
              <w:spacing w:before="0" w:after="1"/>
              <w:ind w:left="0" w:right="0" w:hanging="0"/>
              <w:jc w:val="right"/>
              <w:rPr/>
            </w:pPr>
            <w:r>
              <w:rPr/>
              <w:t> </w:t>
            </w:r>
          </w:p>
        </w:tc>
      </w:tr>
      <w:tr>
        <w:trPr/>
        <w:tc>
          <w:tcPr>
            <w:tcW w:w="3785" w:type="dxa"/>
            <w:tcBorders/>
            <w:shd w:fill="CCEEFF" w:val="clear"/>
            <w:vAlign w:val="bottom"/>
          </w:tcPr>
          <w:p>
            <w:pPr>
              <w:pStyle w:val="TableContents"/>
              <w:spacing w:before="0" w:after="1"/>
              <w:ind w:left="0" w:right="0" w:hanging="0"/>
              <w:jc w:val="both"/>
              <w:rPr>
                <w:sz w:val="17"/>
              </w:rPr>
            </w:pPr>
            <w:r>
              <w:rPr>
                <w:sz w:val="17"/>
              </w:rPr>
              <w:t>Depreciation and amortisation</w:t>
            </w:r>
          </w:p>
        </w:tc>
        <w:tc>
          <w:tcPr>
            <w:tcW w:w="365" w:type="dxa"/>
            <w:tcBorders/>
            <w:shd w:fill="CCEEFF" w:val="clear"/>
            <w:vAlign w:val="bottom"/>
          </w:tcPr>
          <w:p>
            <w:pPr>
              <w:pStyle w:val="TableContents"/>
              <w:spacing w:before="0" w:after="1"/>
              <w:ind w:left="0" w:right="0" w:hanging="0"/>
              <w:jc w:val="center"/>
              <w:rPr>
                <w:sz w:val="17"/>
              </w:rPr>
            </w:pPr>
            <w:r>
              <w:rPr>
                <w:sz w:val="17"/>
              </w:rPr>
              <w:t>11</w:t>
            </w:r>
          </w:p>
        </w:tc>
        <w:tc>
          <w:tcPr>
            <w:tcW w:w="110" w:type="dxa"/>
            <w:tcBorders/>
            <w:shd w:fill="CCEEFF" w:val="clear"/>
            <w:vAlign w:val="bottom"/>
          </w:tcPr>
          <w:p>
            <w:pPr>
              <w:pStyle w:val="TableContents"/>
              <w:spacing w:before="0" w:after="1"/>
              <w:ind w:left="0" w:right="0" w:hanging="0"/>
              <w:jc w:val="center"/>
              <w:rPr/>
            </w:pPr>
            <w:r>
              <w:rPr/>
              <w:t> </w:t>
            </w:r>
          </w:p>
        </w:tc>
        <w:tc>
          <w:tcPr>
            <w:tcW w:w="830" w:type="dxa"/>
            <w:tcBorders/>
            <w:shd w:fill="CCEEFF" w:val="clear"/>
            <w:vAlign w:val="bottom"/>
          </w:tcPr>
          <w:p>
            <w:pPr>
              <w:pStyle w:val="TableContents"/>
              <w:spacing w:before="0" w:after="283"/>
              <w:jc w:val="right"/>
              <w:rPr>
                <w:sz w:val="17"/>
              </w:rPr>
            </w:pPr>
            <w:r>
              <w:rPr>
                <w:sz w:val="17"/>
              </w:rPr>
              <w:t xml:space="preserve">597,349  </w:t>
            </w:r>
          </w:p>
        </w:tc>
        <w:tc>
          <w:tcPr>
            <w:tcW w:w="110" w:type="dxa"/>
            <w:tcBorders/>
            <w:shd w:fill="CCEEFF" w:val="clear"/>
            <w:vAlign w:val="bottom"/>
          </w:tcPr>
          <w:p>
            <w:pPr>
              <w:pStyle w:val="TableContents"/>
              <w:spacing w:before="0" w:after="1"/>
              <w:ind w:left="0" w:right="0" w:hanging="0"/>
              <w:jc w:val="both"/>
              <w:rPr/>
            </w:pPr>
            <w:r>
              <w:rPr/>
              <w:t> </w:t>
            </w:r>
          </w:p>
        </w:tc>
        <w:tc>
          <w:tcPr>
            <w:tcW w:w="830" w:type="dxa"/>
            <w:tcBorders/>
            <w:shd w:fill="CCEEFF" w:val="clear"/>
            <w:vAlign w:val="bottom"/>
          </w:tcPr>
          <w:p>
            <w:pPr>
              <w:pStyle w:val="TableContents"/>
              <w:spacing w:before="0" w:after="283"/>
              <w:jc w:val="right"/>
              <w:rPr>
                <w:sz w:val="17"/>
              </w:rPr>
            </w:pPr>
            <w:r>
              <w:rPr>
                <w:sz w:val="17"/>
              </w:rPr>
              <w:t xml:space="preserve">555,594  </w:t>
            </w:r>
          </w:p>
        </w:tc>
        <w:tc>
          <w:tcPr>
            <w:tcW w:w="110" w:type="dxa"/>
            <w:tcBorders/>
            <w:shd w:fill="CCEEFF" w:val="clear"/>
            <w:vAlign w:val="bottom"/>
          </w:tcPr>
          <w:p>
            <w:pPr>
              <w:pStyle w:val="TableContents"/>
              <w:spacing w:before="0" w:after="1"/>
              <w:ind w:left="0" w:right="0" w:hanging="0"/>
              <w:jc w:val="both"/>
              <w:rPr/>
            </w:pPr>
            <w:r>
              <w:rPr/>
              <w:t> </w:t>
            </w:r>
          </w:p>
        </w:tc>
        <w:tc>
          <w:tcPr>
            <w:tcW w:w="845" w:type="dxa"/>
            <w:tcBorders/>
            <w:shd w:fill="CCEEFF" w:val="clear"/>
            <w:vAlign w:val="bottom"/>
          </w:tcPr>
          <w:p>
            <w:pPr>
              <w:pStyle w:val="TableContents"/>
              <w:spacing w:before="0" w:after="283"/>
              <w:jc w:val="right"/>
              <w:rPr>
                <w:sz w:val="17"/>
              </w:rPr>
            </w:pPr>
            <w:r>
              <w:rPr>
                <w:sz w:val="17"/>
              </w:rPr>
              <w:t xml:space="preserve">573,224  </w:t>
            </w:r>
          </w:p>
        </w:tc>
      </w:tr>
      <w:tr>
        <w:trPr/>
        <w:tc>
          <w:tcPr>
            <w:tcW w:w="3785" w:type="dxa"/>
            <w:tcBorders/>
            <w:shd w:fill="FFFFFF" w:val="clear"/>
            <w:vAlign w:val="bottom"/>
          </w:tcPr>
          <w:p>
            <w:pPr>
              <w:pStyle w:val="TableContents"/>
              <w:spacing w:before="0" w:after="1"/>
              <w:ind w:left="0" w:right="0" w:hanging="0"/>
              <w:jc w:val="both"/>
              <w:rPr>
                <w:sz w:val="17"/>
              </w:rPr>
            </w:pPr>
            <w:r>
              <w:rPr>
                <w:sz w:val="17"/>
              </w:rPr>
              <w:t>Interest received</w:t>
            </w:r>
          </w:p>
        </w:tc>
        <w:tc>
          <w:tcPr>
            <w:tcW w:w="365" w:type="dxa"/>
            <w:tcBorders/>
            <w:shd w:fill="FFFFFF" w:val="clear"/>
            <w:vAlign w:val="bottom"/>
          </w:tcPr>
          <w:p>
            <w:pPr>
              <w:pStyle w:val="TableContents"/>
              <w:spacing w:before="0" w:after="1"/>
              <w:ind w:left="0" w:right="0" w:hanging="0"/>
              <w:jc w:val="center"/>
              <w:rPr>
                <w:sz w:val="17"/>
              </w:rPr>
            </w:pPr>
            <w:r>
              <w:rPr>
                <w:sz w:val="17"/>
              </w:rPr>
              <w:t>7</w:t>
            </w:r>
          </w:p>
        </w:tc>
        <w:tc>
          <w:tcPr>
            <w:tcW w:w="110" w:type="dxa"/>
            <w:tcBorders/>
            <w:shd w:fill="FFFFFF" w:val="clear"/>
            <w:vAlign w:val="bottom"/>
          </w:tcPr>
          <w:p>
            <w:pPr>
              <w:pStyle w:val="TableContents"/>
              <w:spacing w:before="0" w:after="1"/>
              <w:ind w:left="0" w:right="0" w:hanging="0"/>
              <w:jc w:val="center"/>
              <w:rPr/>
            </w:pPr>
            <w:r>
              <w:rPr/>
              <w:t> </w:t>
            </w:r>
          </w:p>
        </w:tc>
        <w:tc>
          <w:tcPr>
            <w:tcW w:w="830" w:type="dxa"/>
            <w:tcBorders/>
            <w:shd w:fill="FFFFFF" w:val="clear"/>
            <w:vAlign w:val="bottom"/>
          </w:tcPr>
          <w:p>
            <w:pPr>
              <w:pStyle w:val="TableContents"/>
              <w:spacing w:before="0" w:after="283"/>
              <w:jc w:val="right"/>
              <w:rPr>
                <w:sz w:val="17"/>
              </w:rPr>
            </w:pPr>
            <w:r>
              <w:rPr>
                <w:sz w:val="17"/>
              </w:rPr>
              <w:t xml:space="preserve">(21,256) </w:t>
            </w:r>
          </w:p>
        </w:tc>
        <w:tc>
          <w:tcPr>
            <w:tcW w:w="110" w:type="dxa"/>
            <w:tcBorders/>
            <w:shd w:fill="FFFFFF" w:val="clear"/>
            <w:vAlign w:val="bottom"/>
          </w:tcPr>
          <w:p>
            <w:pPr>
              <w:pStyle w:val="TableContents"/>
              <w:spacing w:before="0" w:after="1"/>
              <w:ind w:left="0" w:right="0" w:hanging="0"/>
              <w:jc w:val="both"/>
              <w:rPr/>
            </w:pPr>
            <w:r>
              <w:rPr/>
              <w:t> </w:t>
            </w:r>
          </w:p>
        </w:tc>
        <w:tc>
          <w:tcPr>
            <w:tcW w:w="830" w:type="dxa"/>
            <w:tcBorders/>
            <w:shd w:fill="FFFFFF" w:val="clear"/>
            <w:vAlign w:val="bottom"/>
          </w:tcPr>
          <w:p>
            <w:pPr>
              <w:pStyle w:val="TableContents"/>
              <w:spacing w:before="0" w:after="283"/>
              <w:jc w:val="right"/>
              <w:rPr>
                <w:sz w:val="17"/>
              </w:rPr>
            </w:pPr>
            <w:r>
              <w:rPr>
                <w:sz w:val="17"/>
              </w:rPr>
              <w:t xml:space="preserve">(58,301) </w:t>
            </w:r>
          </w:p>
        </w:tc>
        <w:tc>
          <w:tcPr>
            <w:tcW w:w="110" w:type="dxa"/>
            <w:tcBorders/>
            <w:shd w:fill="FFFFFF" w:val="clear"/>
            <w:vAlign w:val="bottom"/>
          </w:tcPr>
          <w:p>
            <w:pPr>
              <w:pStyle w:val="TableContents"/>
              <w:spacing w:before="0" w:after="1"/>
              <w:ind w:left="0" w:right="0" w:hanging="0"/>
              <w:jc w:val="both"/>
              <w:rPr/>
            </w:pPr>
            <w:r>
              <w:rPr/>
              <w:t> </w:t>
            </w:r>
          </w:p>
        </w:tc>
        <w:tc>
          <w:tcPr>
            <w:tcW w:w="845" w:type="dxa"/>
            <w:tcBorders/>
            <w:shd w:fill="FFFFFF" w:val="clear"/>
            <w:vAlign w:val="bottom"/>
          </w:tcPr>
          <w:p>
            <w:pPr>
              <w:pStyle w:val="TableContents"/>
              <w:spacing w:before="0" w:after="283"/>
              <w:jc w:val="right"/>
              <w:rPr>
                <w:sz w:val="17"/>
              </w:rPr>
            </w:pPr>
            <w:r>
              <w:rPr>
                <w:sz w:val="17"/>
              </w:rPr>
              <w:t xml:space="preserve">(19,522) </w:t>
            </w:r>
          </w:p>
        </w:tc>
      </w:tr>
      <w:tr>
        <w:trPr/>
        <w:tc>
          <w:tcPr>
            <w:tcW w:w="3785" w:type="dxa"/>
            <w:tcBorders>
              <w:bottom w:val="single" w:sz="8" w:space="0" w:color="000000"/>
            </w:tcBorders>
            <w:shd w:fill="CCEEFF" w:val="clear"/>
            <w:tcMar>
              <w:bottom w:w="28" w:type="dxa"/>
            </w:tcMar>
            <w:vAlign w:val="bottom"/>
          </w:tcPr>
          <w:p>
            <w:pPr>
              <w:pStyle w:val="TableContents"/>
              <w:spacing w:before="0" w:after="1"/>
              <w:ind w:left="0" w:right="0" w:hanging="0"/>
              <w:jc w:val="both"/>
              <w:rPr>
                <w:sz w:val="17"/>
              </w:rPr>
            </w:pPr>
            <w:r>
              <w:rPr>
                <w:sz w:val="17"/>
              </w:rPr>
              <w:t>Loss on disposal of property, plant, and equipment</w:t>
            </w:r>
          </w:p>
        </w:tc>
        <w:tc>
          <w:tcPr>
            <w:tcW w:w="365"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center"/>
              <w:rPr/>
            </w:pPr>
            <w:r>
              <w:rPr/>
              <w:t> </w:t>
            </w:r>
          </w:p>
        </w:tc>
        <w:tc>
          <w:tcPr>
            <w:tcW w:w="83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830" w:type="dxa"/>
            <w:tcBorders>
              <w:bottom w:val="single" w:sz="8" w:space="0" w:color="000000"/>
            </w:tcBorders>
            <w:shd w:fill="CCEEFF" w:val="clear"/>
            <w:tcMar>
              <w:bottom w:w="28" w:type="dxa"/>
            </w:tcMar>
            <w:vAlign w:val="bottom"/>
          </w:tcPr>
          <w:p>
            <w:pPr>
              <w:pStyle w:val="TableContents"/>
              <w:spacing w:before="0" w:after="1"/>
              <w:ind w:left="0" w:right="65" w:hanging="0"/>
              <w:jc w:val="right"/>
              <w:rPr>
                <w:sz w:val="17"/>
              </w:rPr>
            </w:pPr>
            <w:r>
              <w:rPr>
                <w:sz w:val="17"/>
              </w:rPr>
              <w:t>--</w:t>
            </w:r>
          </w:p>
        </w:tc>
        <w:tc>
          <w:tcPr>
            <w:tcW w:w="110" w:type="dxa"/>
            <w:tcBorders>
              <w:bottom w:val="single" w:sz="8" w:space="0" w:color="000000"/>
            </w:tcBorders>
            <w:shd w:fill="CCEEFF" w:val="clear"/>
            <w:tcMar>
              <w:bottom w:w="28" w:type="dxa"/>
            </w:tcMar>
            <w:vAlign w:val="bottom"/>
          </w:tcPr>
          <w:p>
            <w:pPr>
              <w:pStyle w:val="TableContents"/>
              <w:spacing w:before="0" w:after="1"/>
              <w:ind w:left="0" w:right="0" w:hanging="0"/>
              <w:jc w:val="both"/>
              <w:rPr/>
            </w:pPr>
            <w:r>
              <w:rPr/>
              <w:t> </w:t>
            </w:r>
          </w:p>
        </w:tc>
        <w:tc>
          <w:tcPr>
            <w:tcW w:w="845" w:type="dxa"/>
            <w:tcBorders>
              <w:bottom w:val="single" w:sz="8" w:space="0" w:color="000000"/>
            </w:tcBorders>
            <w:shd w:fill="CCEEFF" w:val="clear"/>
            <w:tcMar>
              <w:bottom w:w="28" w:type="dxa"/>
            </w:tcMar>
            <w:vAlign w:val="bottom"/>
          </w:tcPr>
          <w:p>
            <w:pPr>
              <w:pStyle w:val="TableContents"/>
              <w:spacing w:before="0" w:after="283"/>
              <w:jc w:val="right"/>
              <w:rPr>
                <w:sz w:val="17"/>
              </w:rPr>
            </w:pPr>
            <w:r>
              <w:rPr>
                <w:sz w:val="17"/>
              </w:rPr>
              <w:t xml:space="preserve">10,771  </w:t>
            </w:r>
          </w:p>
        </w:tc>
      </w:tr>
      <w:tr>
        <w:trPr/>
        <w:tc>
          <w:tcPr>
            <w:tcW w:w="378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both"/>
              <w:rPr>
                <w:b/>
                <w:sz w:val="17"/>
              </w:rPr>
            </w:pPr>
            <w:r>
              <w:rPr>
                <w:b/>
                <w:sz w:val="17"/>
              </w:rPr>
              <w:t xml:space="preserve">Operating profit before changes in working capital </w:t>
            </w:r>
          </w:p>
        </w:tc>
        <w:tc>
          <w:tcPr>
            <w:tcW w:w="36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center"/>
              <w:rPr/>
            </w:pPr>
            <w:r>
              <w:rPr/>
              <w:t>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3,966,300 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3,445,636  </w:t>
            </w:r>
          </w:p>
        </w:tc>
        <w:tc>
          <w:tcPr>
            <w:tcW w:w="110"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45"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283"/>
              <w:jc w:val="right"/>
              <w:rPr>
                <w:sz w:val="17"/>
              </w:rPr>
            </w:pPr>
            <w:r>
              <w:rPr>
                <w:sz w:val="17"/>
              </w:rPr>
              <w:t xml:space="preserve">3,509,465  </w:t>
            </w:r>
          </w:p>
        </w:tc>
      </w:tr>
      <w:tr>
        <w:trPr/>
        <w:tc>
          <w:tcPr>
            <w:tcW w:w="3785" w:type="dxa"/>
            <w:tcBorders>
              <w:top w:val="single" w:sz="8" w:space="0" w:color="000000"/>
            </w:tcBorders>
            <w:shd w:fill="CCEEFF" w:val="clear"/>
            <w:tcMar>
              <w:top w:w="28" w:type="dxa"/>
            </w:tcMar>
            <w:vAlign w:val="bottom"/>
          </w:tcPr>
          <w:p>
            <w:pPr>
              <w:pStyle w:val="TableContents"/>
              <w:spacing w:before="0" w:after="1"/>
              <w:ind w:left="0" w:right="0" w:hanging="0"/>
              <w:jc w:val="both"/>
              <w:rPr>
                <w:sz w:val="17"/>
              </w:rPr>
            </w:pPr>
            <w:r>
              <w:rPr>
                <w:sz w:val="17"/>
              </w:rPr>
              <w:t>Change in trade receivables</w:t>
            </w:r>
          </w:p>
        </w:tc>
        <w:tc>
          <w:tcPr>
            <w:tcW w:w="365" w:type="dxa"/>
            <w:tcBorders>
              <w:top w:val="single" w:sz="8" w:space="0" w:color="000000"/>
            </w:tcBorders>
            <w:shd w:fill="CCEEFF" w:val="clear"/>
            <w:tcMar>
              <w:top w:w="28" w:type="dxa"/>
            </w:tcMar>
            <w:vAlign w:val="bottom"/>
          </w:tcPr>
          <w:p>
            <w:pPr>
              <w:pStyle w:val="TableContents"/>
              <w:spacing w:before="0" w:after="1"/>
              <w:ind w:left="0" w:right="0" w:hanging="0"/>
              <w:jc w:val="center"/>
              <w:rPr>
                <w:sz w:val="17"/>
              </w:rPr>
            </w:pPr>
            <w:r>
              <w:rPr>
                <w:sz w:val="17"/>
              </w:rPr>
              <w:t>9</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center"/>
              <w:rPr/>
            </w:pPr>
            <w:r>
              <w:rPr/>
              <w:t> </w:t>
            </w:r>
          </w:p>
        </w:tc>
        <w:tc>
          <w:tcPr>
            <w:tcW w:w="83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(53,110)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830"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(53,892) </w:t>
            </w:r>
          </w:p>
        </w:tc>
        <w:tc>
          <w:tcPr>
            <w:tcW w:w="110" w:type="dxa"/>
            <w:tcBorders>
              <w:top w:val="single" w:sz="8" w:space="0" w:color="000000"/>
            </w:tcBorders>
            <w:shd w:fill="CCEEFF" w:val="clear"/>
            <w:tcMar>
              <w:top w:w="28" w:type="dxa"/>
            </w:tcMar>
            <w:vAlign w:val="bottom"/>
          </w:tcPr>
          <w:p>
            <w:pPr>
              <w:pStyle w:val="TableContents"/>
              <w:spacing w:before="0" w:after="1"/>
              <w:ind w:left="0" w:right="0" w:hanging="0"/>
              <w:jc w:val="both"/>
              <w:rPr/>
            </w:pPr>
            <w:r>
              <w:rPr/>
              <w:t> </w:t>
            </w:r>
          </w:p>
        </w:tc>
        <w:tc>
          <w:tcPr>
            <w:tcW w:w="845" w:type="dxa"/>
            <w:tcBorders>
              <w:top w:val="single" w:sz="8" w:space="0" w:color="000000"/>
            </w:tcBorders>
            <w:shd w:fill="CCEEFF" w:val="clear"/>
            <w:tcMar>
              <w:top w:w="28" w:type="dxa"/>
            </w:tcMar>
            <w:vAlign w:val="bottom"/>
          </w:tcPr>
          <w:p>
            <w:pPr>
              <w:pStyle w:val="TableContents"/>
              <w:spacing w:before="0" w:after="283"/>
              <w:jc w:val="right"/>
              <w:rPr>
                <w:sz w:val="17"/>
              </w:rPr>
            </w:pPr>
            <w:r>
              <w:rPr>
                <w:sz w:val="17"/>
              </w:rPr>
              <w:t xml:space="preserve">7,763  </w:t>
            </w:r>
          </w:p>
        </w:tc>
      </w:tr>
      <w:tr>
        <w:trPr/>
        <w:tc>
          <w:tcPr>
            <w:tcW w:w="3785" w:type="dxa"/>
            <w:tcBorders/>
            <w:shd w:fill="FFFFFF" w:val="clear"/>
            <w:vAlign w:val="bottom"/>
          </w:tcPr>
          <w:p>
            <w:pPr>
              <w:pStyle w:val="TableContents"/>
              <w:spacing w:before="0" w:after="1"/>
              <w:ind w:left="0" w:right="0" w:hanging="0"/>
              <w:jc w:val="both"/>
              <w:rPr>
                <w:sz w:val="17"/>
              </w:rPr>
            </w:pPr>
            <w:r>
              <w:rPr>
                <w:sz w:val="17"/>
              </w:rPr>
              <w:t>Change in inventories</w:t>
            </w:r>
          </w:p>
        </w:tc>
        <w:tc>
          <w:tcPr>
            <w:tcW w:w="365" w:type="dxa"/>
            <w:tcBorders/>
            <w:shd w:fill="FFFFFF" w:val="clear"/>
            <w:vAlign w:val="bottom"/>
          </w:tcPr>
          <w:p>
            <w:pPr>
              <w:pStyle w:val="TableContents"/>
              <w:spacing w:before="0" w:after="1"/>
              <w:ind w:left="0" w:right="0" w:hanging="0"/>
              <w:jc w:val="center"/>
              <w:rPr>
                <w:sz w:val="17"/>
              </w:rPr>
            </w:pPr>
            <w:r>
              <w:rPr>
                <w:sz w:val="17"/>
              </w:rPr>
              <w:t>10</w:t>
            </w:r>
          </w:p>
        </w:tc>
        <w:tc>
          <w:tcPr>
            <w:tcW w:w="110" w:type="dxa"/>
            <w:tcBorders/>
            <w:shd w:fill="FFFFFF" w:val="clear"/>
            <w:vAlign w:val="bottom"/>
          </w:tcPr>
          <w:p>
            <w:pPr>
              <w:pStyle w:val="TableContents"/>
              <w:spacing w:before="0" w:after="1"/>
              <w:ind w:left="0" w:right="0" w:hanging="0"/>
              <w:jc w:val="center"/>
              <w:rPr/>
            </w:pPr>
            <w:r>
              <w:rPr/>
              <w:t> </w:t>
            </w:r>
          </w:p>
        </w:tc>
        <w:tc>
          <w:tcPr>
            <w:tcW w:w="830" w:type="dxa"/>
            <w:tcBorders/>
            <w:shd w:fill="FFFFFF" w:val="clear"/>
            <w:vAlign w:val="bottom"/>
          </w:tcPr>
          <w:p>
            <w:pPr>
              <w:pStyle w:val="TableContents"/>
              <w:spacing w:before="0" w:after="283"/>
              <w:jc w:val="right"/>
              <w:rPr>
                <w:sz w:val="17"/>
              </w:rPr>
            </w:pPr>
            <w:r>
              <w:rPr>
                <w:sz w:val="17"/>
              </w:rPr>
              <w:t xml:space="preserve">(19,512) </w:t>
            </w:r>
          </w:p>
        </w:tc>
        <w:tc>
          <w:tcPr>
            <w:tcW w:w="110" w:type="dxa"/>
            <w:tcBorders/>
            <w:shd w:fill="FFFFFF" w:val="clear"/>
            <w:vAlign w:val="bottom"/>
          </w:tcPr>
          <w:p>
            <w:pPr>
              <w:pStyle w:val="TableContents"/>
              <w:spacing w:before="0" w:after="1"/>
              <w:ind w:left="0" w:right="0" w:hanging="0"/>
              <w:jc w:val="both"/>
              <w:rPr/>
            </w:pPr>
            <w:r>
              <w:rPr/>
              <w:t> </w:t>
            </w:r>
          </w:p>
        </w:tc>
        <w:tc>
          <w:tcPr>
            <w:tcW w:w="830" w:type="dxa"/>
            <w:tcBorders/>
            <w:shd w:fill="FFFFFF" w:val="clear"/>
            <w:vAlign w:val="bottom"/>
          </w:tcPr>
          <w:p>
            <w:pPr>
              <w:pStyle w:val="TableContents"/>
              <w:spacing w:before="0" w:after="283"/>
              <w:jc w:val="right"/>
              <w:rPr>
                <w:sz w:val="17"/>
              </w:rPr>
            </w:pPr>
            <w:r>
              <w:rPr>
                <w:sz w:val="17"/>
              </w:rPr>
              <w:t xml:space="preserve">81,620  </w:t>
            </w:r>
          </w:p>
        </w:tc>
        <w:tc>
          <w:tcPr>
            <w:tcW w:w="110" w:type="dxa"/>
            <w:tcBorders/>
            <w:shd w:fill="FFFFFF" w:val="clear"/>
            <w:vAlign w:val="bottom"/>
          </w:tcPr>
          <w:p>
            <w:pPr>
              <w:pStyle w:val="TableContents"/>
              <w:spacing w:before="0" w:after="1"/>
              <w:ind w:left="0" w:right="0" w:hanging="0"/>
              <w:jc w:val="both"/>
              <w:rPr/>
            </w:pPr>
            <w:r>
              <w:rPr/>
              <w:t> </w:t>
            </w:r>
          </w:p>
        </w:tc>
        <w:tc>
          <w:tcPr>
            <w:tcW w:w="845" w:type="dxa"/>
            <w:tcBorders/>
            <w:shd w:fill="FFFFFF" w:val="clear"/>
            <w:vAlign w:val="bottom"/>
          </w:tcPr>
          <w:p>
            <w:pPr>
              <w:pStyle w:val="TableContents"/>
              <w:spacing w:before="0" w:after="283"/>
              <w:jc w:val="right"/>
              <w:rPr>
                <w:sz w:val="17"/>
              </w:rPr>
            </w:pPr>
            <w:r>
              <w:rPr>
                <w:sz w:val="17"/>
              </w:rPr>
              <w:t xml:space="preserve">(96,837) </w:t>
            </w:r>
          </w:p>
        </w:tc>
      </w:tr>
      <w:tr>
        <w:trPr/>
        <w:tc>
          <w:tcPr>
            <w:tcW w:w="3785" w:type="dxa"/>
            <w:tcBorders/>
            <w:shd w:fill="CCEEFF" w:val="clear"/>
            <w:vAlign w:val="bottom"/>
          </w:tcPr>
          <w:p>
            <w:pPr>
              <w:pStyle w:val="TableContents"/>
              <w:spacing w:before="0" w:after="1"/>
              <w:ind w:left="0" w:right="0" w:hanging="0"/>
              <w:jc w:val="both"/>
              <w:rPr>
                <w:sz w:val="17"/>
              </w:rPr>
            </w:pPr>
            <w:r>
              <w:rPr>
                <w:sz w:val="17"/>
              </w:rPr>
              <w:t>Change in prepayments and other receivables</w:t>
            </w:r>
          </w:p>
        </w:tc>
        <w:tc>
          <w:tcPr>
            <w:tcW w:w="365" w:type="dxa"/>
            <w:tcBorders/>
            <w:shd w:fill="CCEEFF" w:val="clear"/>
            <w:vAlign w:val="bottom"/>
          </w:tcPr>
          <w:p>
            <w:pPr>
              <w:pStyle w:val="TableContents"/>
              <w:spacing w:before="0" w:after="1"/>
              <w:ind w:left="0" w:right="0" w:hanging="0"/>
              <w:jc w:val="center"/>
              <w:rPr/>
            </w:pPr>
            <w:r>
              <w:rPr/>
              <w:t> </w:t>
            </w:r>
          </w:p>
        </w:tc>
        <w:tc>
          <w:tcPr>
            <w:tcW w:w="110" w:type="dxa"/>
            <w:tcBorders/>
            <w:shd w:fill="CCEEFF" w:val="clear"/>
            <w:vAlign w:val="bottom"/>
          </w:tcPr>
          <w:p>
            <w:pPr>
              <w:pStyle w:val="TableContents"/>
              <w:spacing w:before="0" w:after="1"/>
              <w:ind w:left="0" w:right="0" w:hanging="0"/>
              <w:jc w:val="center"/>
              <w:rPr/>
            </w:pPr>
            <w:r>
              <w:rPr/>
              <w:t> </w:t>
            </w:r>
          </w:p>
        </w:tc>
        <w:tc>
          <w:tcPr>
            <w:tcW w:w="83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both"/>
              <w:rPr/>
            </w:pPr>
            <w:r>
              <w:rPr/>
              <w:t> </w:t>
            </w:r>
          </w:p>
        </w:tc>
        <w:tc>
          <w:tcPr>
            <w:tcW w:w="830" w:type="dxa"/>
            <w:tcBorders/>
            <w:shd w:fill="CCEEFF" w:val="clear"/>
            <w:vAlign w:val="bottom"/>
          </w:tcPr>
          <w:p>
            <w:pPr>
              <w:pStyle w:val="TableContents"/>
              <w:spacing w:before="0" w:after="1"/>
              <w:ind w:left="0" w:right="65" w:hanging="0"/>
              <w:jc w:val="right"/>
              <w:rPr>
                <w:sz w:val="17"/>
              </w:rPr>
            </w:pPr>
            <w:r>
              <w:rPr>
                <w:sz w:val="17"/>
              </w:rPr>
              <w:t>--</w:t>
            </w:r>
          </w:p>
        </w:tc>
        <w:tc>
          <w:tcPr>
            <w:tcW w:w="110" w:type="dxa"/>
            <w:tcBorders/>
            <w:shd w:fill="CCEEFF" w:val="clear"/>
            <w:vAlign w:val="bottom"/>
          </w:tcPr>
          <w:p>
            <w:pPr>
              <w:pStyle w:val="TableContents"/>
              <w:spacing w:before="0" w:after="1"/>
              <w:ind w:left="0" w:right="0" w:hanging="0"/>
              <w:jc w:val="both"/>
              <w:rPr/>
            </w:pPr>
            <w:r>
              <w:rPr/>
              <w:t> </w:t>
            </w:r>
          </w:p>
        </w:tc>
        <w:tc>
          <w:tcPr>
            <w:tcW w:w="845" w:type="dxa"/>
            <w:tcBorders/>
            <w:shd w:fill="CCEEFF" w:val="clear"/>
            <w:vAlign w:val="bottom"/>
          </w:tcPr>
          <w:p>
            <w:pPr>
              <w:pStyle w:val="TableContents"/>
              <w:spacing w:before="0" w:after="283"/>
              <w:jc w:val="right"/>
              <w:rPr>
                <w:sz w:val="17"/>
              </w:rPr>
            </w:pPr>
            <w:r>
              <w:rPr>
                <w:sz w:val="17"/>
              </w:rPr>
              <w:t xml:space="preserve">109,099  </w:t>
            </w:r>
          </w:p>
        </w:tc>
      </w:tr>
      <w:tr>
        <w:trPr/>
        <w:tc>
          <w:tcPr>
            <w:tcW w:w="3785" w:type="dxa"/>
            <w:tcBorders/>
            <w:shd w:fill="FFFFFF" w:val="clear"/>
            <w:vAlign w:val="bottom"/>
          </w:tcPr>
          <w:p>
            <w:pPr>
              <w:pStyle w:val="TableContents"/>
              <w:spacing w:before="0" w:after="1"/>
              <w:ind w:left="0" w:right="0" w:hanging="0"/>
              <w:jc w:val="both"/>
              <w:rPr>
                <w:sz w:val="17"/>
              </w:rPr>
            </w:pPr>
            <w:r>
              <w:rPr>
                <w:sz w:val="17"/>
              </w:rPr>
              <w:t>Change in trade and other payables</w:t>
            </w:r>
          </w:p>
        </w:tc>
        <w:tc>
          <w:tcPr>
            <w:tcW w:w="365" w:type="dxa"/>
            <w:tcBorders/>
            <w:shd w:fill="FFFFFF" w:val="clear"/>
            <w:vAlign w:val="bottom"/>
          </w:tcPr>
          <w:p>
            <w:pPr>
              <w:pStyle w:val="TableContents"/>
              <w:spacing w:before="0" w:after="1"/>
              <w:ind w:left="0" w:right="0" w:hanging="0"/>
              <w:jc w:val="center"/>
              <w:rPr>
                <w:sz w:val="17"/>
              </w:rPr>
            </w:pPr>
            <w:r>
              <w:rPr>
                <w:sz w:val="17"/>
              </w:rPr>
              <w:t>12</w:t>
            </w:r>
          </w:p>
        </w:tc>
        <w:tc>
          <w:tcPr>
            <w:tcW w:w="110" w:type="dxa"/>
            <w:tcBorders/>
            <w:shd w:fill="FFFFFF" w:val="clear"/>
            <w:vAlign w:val="bottom"/>
          </w:tcPr>
          <w:p>
            <w:pPr>
              <w:pStyle w:val="TableContents"/>
              <w:spacing w:before="0" w:after="1"/>
              <w:ind w:left="0" w:right="0" w:hanging="0"/>
              <w:jc w:val="center"/>
              <w:rPr/>
            </w:pPr>
            <w:r>
              <w:rPr/>
              <w:t> </w:t>
            </w:r>
          </w:p>
        </w:tc>
        <w:tc>
          <w:tcPr>
            <w:tcW w:w="830" w:type="dxa"/>
            <w:tcBorders/>
            <w:shd w:fill="FFFFFF" w:val="clear"/>
            <w:vAlign w:val="bottom"/>
          </w:tcPr>
          <w:p>
            <w:pPr>
              <w:pStyle w:val="TableContents"/>
              <w:spacing w:before="0" w:after="283"/>
              <w:jc w:val="right"/>
              <w:rPr>
                <w:sz w:val="17"/>
              </w:rPr>
            </w:pPr>
            <w:r>
              <w:rPr>
                <w:sz w:val="17"/>
              </w:rPr>
              <w:t xml:space="preserve">220,135  </w:t>
            </w:r>
          </w:p>
        </w:tc>
        <w:tc>
          <w:tcPr>
            <w:tcW w:w="110" w:type="dxa"/>
            <w:tcBorders/>
            <w:shd w:fill="FFFFFF" w:val="clear"/>
            <w:vAlign w:val="bottom"/>
          </w:tcPr>
          <w:p>
            <w:pPr>
              <w:pStyle w:val="TableContents"/>
              <w:spacing w:before="0" w:after="1"/>
              <w:ind w:left="0" w:right="0" w:hanging="0"/>
              <w:jc w:val="both"/>
              <w:rPr/>
            </w:pPr>
            <w:r>
              <w:rPr/>
              <w:t> </w:t>
            </w:r>
          </w:p>
        </w:tc>
        <w:tc>
          <w:tcPr>
            <w:tcW w:w="830" w:type="dxa"/>
            <w:tcBorders/>
            <w:shd w:fill="FFFFFF" w:val="clear"/>
            <w:vAlign w:val="bottom"/>
          </w:tcPr>
          <w:p>
            <w:pPr>
              <w:pStyle w:val="TableContents"/>
              <w:spacing w:before="0" w:after="283"/>
              <w:jc w:val="right"/>
              <w:rPr>
                <w:sz w:val="17"/>
              </w:rPr>
            </w:pPr>
            <w:r>
              <w:rPr>
                <w:sz w:val="17"/>
              </w:rPr>
              <w:t xml:space="preserve">7,388  </w:t>
            </w:r>
          </w:p>
        </w:tc>
        <w:tc>
          <w:tcPr>
            <w:tcW w:w="110" w:type="dxa"/>
            <w:tcBorders/>
            <w:shd w:fill="FFFFFF" w:val="clear"/>
            <w:vAlign w:val="bottom"/>
          </w:tcPr>
          <w:p>
            <w:pPr>
              <w:pStyle w:val="TableContents"/>
              <w:spacing w:before="0" w:after="1"/>
              <w:ind w:left="0" w:right="0" w:hanging="0"/>
              <w:jc w:val="both"/>
              <w:rPr/>
            </w:pPr>
            <w:r>
              <w:rPr/>
              <w:t> </w:t>
            </w:r>
          </w:p>
        </w:tc>
        <w:tc>
          <w:tcPr>
            <w:tcW w:w="845" w:type="dxa"/>
            <w:tcBorders/>
            <w:shd w:fill="FFFFFF" w:val="clear"/>
            <w:vAlign w:val="bottom"/>
          </w:tcPr>
          <w:p>
            <w:pPr>
              <w:pStyle w:val="TableContents"/>
              <w:spacing w:before="0" w:after="283"/>
              <w:jc w:val="right"/>
              <w:rPr>
                <w:sz w:val="17"/>
              </w:rPr>
            </w:pPr>
            <w:r>
              <w:rPr>
                <w:sz w:val="17"/>
              </w:rPr>
              <w:t xml:space="preserve">(40,721) </w:t>
            </w:r>
          </w:p>
        </w:tc>
      </w:tr>
      <w:tr>
        <w:trPr/>
        <w:tc>
          <w:tcPr>
            <w:tcW w:w="3785" w:type="dxa"/>
            <w:tcBorders/>
            <w:shd w:fill="CCEEFF" w:val="clear"/>
            <w:vAlign w:val="bottom"/>
          </w:tcPr>
          <w:p>
            <w:pPr>
              <w:pStyle w:val="TableContents"/>
              <w:spacing w:before="0" w:after="1"/>
              <w:ind w:left="0" w:right="0" w:hanging="0"/>
              <w:jc w:val="both"/>
              <w:rPr>
                <w:sz w:val="17"/>
              </w:rPr>
            </w:pPr>
            <w:r>
              <w:rPr>
                <w:sz w:val="17"/>
              </w:rPr>
              <w:t>Change in employee benefits</w:t>
            </w:r>
          </w:p>
        </w:tc>
        <w:tc>
          <w:tcPr>
            <w:tcW w:w="365" w:type="dxa"/>
            <w:tcBorders/>
            <w:shd w:fill="CCEEFF" w:val="clear"/>
            <w:vAlign w:val="bottom"/>
          </w:tcPr>
          <w:p>
            <w:pPr>
              <w:pStyle w:val="TableContents"/>
              <w:spacing w:before="0" w:after="1"/>
              <w:ind w:left="0" w:right="0" w:hanging="0"/>
              <w:jc w:val="center"/>
              <w:rPr>
                <w:sz w:val="17"/>
              </w:rPr>
            </w:pPr>
            <w:r>
              <w:rPr>
                <w:sz w:val="17"/>
              </w:rPr>
              <w:t>13</w:t>
            </w:r>
          </w:p>
        </w:tc>
        <w:tc>
          <w:tcPr>
            <w:tcW w:w="110" w:type="dxa"/>
            <w:tcBorders/>
            <w:shd w:fill="CCEEFF" w:val="clear"/>
            <w:vAlign w:val="bottom"/>
          </w:tcPr>
          <w:p>
            <w:pPr>
              <w:pStyle w:val="TableContents"/>
              <w:spacing w:before="0" w:after="1"/>
              <w:ind w:left="0" w:right="0" w:hanging="0"/>
              <w:jc w:val="center"/>
              <w:rPr/>
            </w:pPr>
            <w:r>
              <w:rPr/>
              <w:t> </w:t>
            </w:r>
          </w:p>
        </w:tc>
        <w:tc>
          <w:tcPr>
            <w:tcW w:w="830" w:type="dxa"/>
            <w:tcBorders/>
            <w:shd w:fill="CCEEFF" w:val="clear"/>
            <w:vAlign w:val="bottom"/>
          </w:tcPr>
          <w:p>
            <w:pPr>
              <w:pStyle w:val="TableContents"/>
              <w:spacing w:before="0" w:after="283"/>
              <w:jc w:val="right"/>
              <w:rPr>
                <w:sz w:val="17"/>
              </w:rPr>
            </w:pPr>
            <w:r>
              <w:rPr>
                <w:sz w:val="17"/>
              </w:rPr>
              <w:t xml:space="preserve">17,466  </w:t>
            </w:r>
          </w:p>
        </w:tc>
        <w:tc>
          <w:tcPr>
            <w:tcW w:w="110" w:type="dxa"/>
            <w:tcBorders/>
            <w:shd w:fill="CCEEFF" w:val="clear"/>
            <w:vAlign w:val="bottom"/>
          </w:tcPr>
          <w:p>
            <w:pPr>
              <w:pStyle w:val="TableContents"/>
              <w:spacing w:before="0" w:after="1"/>
              <w:ind w:left="0" w:right="0" w:hanging="0"/>
              <w:jc w:val="both"/>
              <w:rPr/>
            </w:pPr>
            <w:r>
              <w:rPr/>
              <w:t> </w:t>
            </w:r>
          </w:p>
        </w:tc>
        <w:tc>
          <w:tcPr>
            <w:tcW w:w="830" w:type="dxa"/>
            <w:tcBorders/>
            <w:shd w:fill="CCEEFF" w:val="clear"/>
            <w:vAlign w:val="bottom"/>
          </w:tcPr>
          <w:p>
            <w:pPr>
              <w:pStyle w:val="TableContents"/>
              <w:spacing w:before="0" w:after="283"/>
              <w:jc w:val="right"/>
              <w:rPr>
                <w:sz w:val="17"/>
              </w:rPr>
            </w:pPr>
            <w:r>
              <w:rPr>
                <w:sz w:val="17"/>
              </w:rPr>
              <w:t xml:space="preserve">9,195  </w:t>
            </w:r>
          </w:p>
        </w:tc>
        <w:tc>
          <w:tcPr>
            <w:tcW w:w="110" w:type="dxa"/>
            <w:tcBorders/>
            <w:shd w:fill="CCEEFF" w:val="clear"/>
            <w:vAlign w:val="bottom"/>
          </w:tcPr>
          <w:p>
            <w:pPr>
              <w:pStyle w:val="TableContents"/>
              <w:spacing w:before="0" w:after="1"/>
              <w:ind w:left="0" w:right="0" w:hanging="0"/>
              <w:jc w:val="both"/>
              <w:rPr/>
            </w:pPr>
            <w:r>
              <w:rPr/>
              <w:t> </w:t>
            </w:r>
          </w:p>
        </w:tc>
        <w:tc>
          <w:tcPr>
            <w:tcW w:w="845" w:type="dxa"/>
            <w:tcBorders/>
            <w:shd w:fill="CCEEFF" w:val="clear"/>
            <w:vAlign w:val="bottom"/>
          </w:tcPr>
          <w:p>
            <w:pPr>
              <w:pStyle w:val="TableContents"/>
              <w:spacing w:before="0" w:after="283"/>
              <w:jc w:val="right"/>
              <w:rPr>
                <w:sz w:val="17"/>
              </w:rPr>
            </w:pPr>
            <w:r>
              <w:rPr>
                <w:sz w:val="17"/>
              </w:rPr>
              <w:t xml:space="preserve">47,027  </w:t>
            </w:r>
          </w:p>
        </w:tc>
      </w:tr>
      <w:tr>
        <w:trPr/>
        <w:tc>
          <w:tcPr>
            <w:tcW w:w="3785" w:type="dxa"/>
            <w:tcBorders>
              <w:bottom w:val="single" w:sz="8" w:space="0" w:color="000000"/>
            </w:tcBorders>
            <w:shd w:fill="FFFFFF" w:val="clear"/>
            <w:tcMar>
              <w:bottom w:w="28" w:type="dxa"/>
            </w:tcMar>
            <w:vAlign w:val="bottom"/>
          </w:tcPr>
          <w:p>
            <w:pPr>
              <w:pStyle w:val="TableContents"/>
              <w:spacing w:before="0" w:after="1"/>
              <w:ind w:left="0" w:right="0" w:hanging="0"/>
              <w:jc w:val="both"/>
              <w:rPr>
                <w:sz w:val="17"/>
              </w:rPr>
            </w:pPr>
            <w:r>
              <w:rPr>
                <w:sz w:val="17"/>
              </w:rPr>
              <w:t>Change in deferred revenue</w:t>
            </w:r>
          </w:p>
        </w:tc>
        <w:tc>
          <w:tcPr>
            <w:tcW w:w="365" w:type="dxa"/>
            <w:tcBorders>
              <w:bottom w:val="single" w:sz="8" w:space="0" w:color="000000"/>
            </w:tcBorders>
            <w:shd w:fill="FFFFFF" w:val="clear"/>
            <w:tcMar>
              <w:bottom w:w="28" w:type="dxa"/>
            </w:tcMar>
            <w:vAlign w:val="bottom"/>
          </w:tcPr>
          <w:p>
            <w:pPr>
              <w:pStyle w:val="TableContents"/>
              <w:spacing w:before="0" w:after="1"/>
              <w:ind w:left="0" w:right="0" w:hanging="0"/>
              <w:jc w:val="center"/>
              <w:rPr>
                <w:sz w:val="17"/>
              </w:rPr>
            </w:pPr>
            <w:r>
              <w:rPr>
                <w:sz w:val="17"/>
              </w:rPr>
              <w:t>14</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center"/>
              <w:rPr/>
            </w:pPr>
            <w:r>
              <w:rPr/>
              <w:t> </w:t>
            </w:r>
          </w:p>
        </w:tc>
        <w:tc>
          <w:tcPr>
            <w:tcW w:w="83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(11,385)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830"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(50,790) </w:t>
            </w:r>
          </w:p>
        </w:tc>
        <w:tc>
          <w:tcPr>
            <w:tcW w:w="110" w:type="dxa"/>
            <w:tcBorders>
              <w:bottom w:val="single" w:sz="8" w:space="0" w:color="000000"/>
            </w:tcBorders>
            <w:shd w:fill="FFFFFF" w:val="clear"/>
            <w:tcMar>
              <w:bottom w:w="28" w:type="dxa"/>
            </w:tcMar>
            <w:vAlign w:val="bottom"/>
          </w:tcPr>
          <w:p>
            <w:pPr>
              <w:pStyle w:val="TableContents"/>
              <w:spacing w:before="0" w:after="1"/>
              <w:ind w:left="0" w:right="0" w:hanging="0"/>
              <w:jc w:val="both"/>
              <w:rPr/>
            </w:pPr>
            <w:r>
              <w:rPr/>
              <w:t> </w:t>
            </w:r>
          </w:p>
        </w:tc>
        <w:tc>
          <w:tcPr>
            <w:tcW w:w="845" w:type="dxa"/>
            <w:tcBorders>
              <w:bottom w:val="single" w:sz="8" w:space="0" w:color="000000"/>
            </w:tcBorders>
            <w:shd w:fill="FFFFFF" w:val="clear"/>
            <w:tcMar>
              <w:bottom w:w="28" w:type="dxa"/>
            </w:tcMar>
            <w:vAlign w:val="bottom"/>
          </w:tcPr>
          <w:p>
            <w:pPr>
              <w:pStyle w:val="TableContents"/>
              <w:spacing w:before="0" w:after="283"/>
              <w:jc w:val="right"/>
              <w:rPr>
                <w:sz w:val="17"/>
              </w:rPr>
            </w:pPr>
            <w:r>
              <w:rPr>
                <w:sz w:val="17"/>
              </w:rPr>
              <w:t xml:space="preserve">(16,958) </w:t>
            </w:r>
          </w:p>
        </w:tc>
      </w:tr>
      <w:tr>
        <w:trPr/>
        <w:tc>
          <w:tcPr>
            <w:tcW w:w="378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b/>
                <w:sz w:val="17"/>
              </w:rPr>
            </w:pPr>
            <w:r>
              <w:rPr>
                <w:b/>
                <w:sz w:val="17"/>
              </w:rPr>
              <w:t>Net cash from operating activities</w:t>
            </w:r>
          </w:p>
        </w:tc>
        <w:tc>
          <w:tcPr>
            <w:tcW w:w="36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both"/>
              <w:rPr/>
            </w:pPr>
            <w:r>
              <w:rPr/>
              <w:t>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4,119,894 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3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3,439,157  </w:t>
            </w:r>
          </w:p>
        </w:tc>
        <w:tc>
          <w:tcPr>
            <w:tcW w:w="110"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1"/>
              <w:ind w:left="0" w:right="0" w:hanging="0"/>
              <w:jc w:val="right"/>
              <w:rPr>
                <w:sz w:val="17"/>
              </w:rPr>
            </w:pPr>
            <w:r>
              <w:rPr>
                <w:sz w:val="17"/>
              </w:rPr>
              <w:t>$</w:t>
            </w:r>
          </w:p>
        </w:tc>
        <w:tc>
          <w:tcPr>
            <w:tcW w:w="845" w:type="dxa"/>
            <w:tcBorders>
              <w:top w:val="single" w:sz="8" w:space="0" w:color="000000"/>
              <w:bottom w:val="single" w:sz="12" w:space="0" w:color="000000"/>
            </w:tcBorders>
            <w:shd w:fill="CCEEFF" w:val="clear"/>
            <w:tcMar>
              <w:top w:w="28" w:type="dxa"/>
              <w:bottom w:w="28" w:type="dxa"/>
            </w:tcMar>
            <w:vAlign w:val="bottom"/>
          </w:tcPr>
          <w:p>
            <w:pPr>
              <w:pStyle w:val="TableContents"/>
              <w:spacing w:before="0" w:after="283"/>
              <w:jc w:val="right"/>
              <w:rPr>
                <w:sz w:val="17"/>
              </w:rPr>
            </w:pPr>
            <w:r>
              <w:rPr>
                <w:sz w:val="17"/>
              </w:rPr>
              <w:t xml:space="preserve">3,518,838  </w:t>
            </w:r>
          </w:p>
        </w:tc>
      </w:tr>
    </w:tbl>
    <w:p>
      <w:pPr>
        <w:pStyle w:val="TextBody"/>
        <w:spacing w:before="0" w:after="0"/>
        <w:ind w:left="1440" w:right="0" w:hanging="0"/>
        <w:jc w:val="both"/>
        <w:rPr/>
      </w:pPr>
      <w:r>
        <w:rPr/>
        <w:t xml:space="preserve">  </w:t>
      </w:r>
    </w:p>
    <w:p>
      <w:pPr>
        <w:pStyle w:val="TextBody"/>
        <w:spacing w:before="0" w:after="200"/>
        <w:ind w:left="1440" w:right="0" w:hanging="0"/>
        <w:jc w:val="both"/>
        <w:rPr>
          <w:sz w:val="17"/>
        </w:rPr>
      </w:pPr>
      <w:r>
        <w:rPr>
          <w:b/>
          <w:sz w:val="17"/>
        </w:rPr>
        <w:t>19.</w:t>
      </w:r>
      <w:r>
        <w:rPr>
          <w:sz w:val="17"/>
        </w:rPr>
        <w:t xml:space="preserve"> </w:t>
      </w:r>
      <w:r>
        <w:rPr>
          <w:b/>
          <w:sz w:val="17"/>
        </w:rPr>
        <w:t>Related parties</w:t>
      </w:r>
      <w:r>
        <w:rPr>
          <w:sz w:val="17"/>
        </w:rPr>
        <w:t xml:space="preserve"> </w:t>
      </w:r>
    </w:p>
    <w:p>
      <w:pPr>
        <w:pStyle w:val="TextBody"/>
        <w:spacing w:before="0" w:after="200"/>
        <w:ind w:left="1440" w:right="0" w:firstLine="720"/>
        <w:jc w:val="both"/>
        <w:rPr>
          <w:sz w:val="17"/>
        </w:rPr>
      </w:pPr>
      <w:r>
        <w:rPr>
          <w:b/>
          <w:sz w:val="17"/>
        </w:rPr>
        <w:t>Entities with joint control or significant influence over the Joint Venture.</w:t>
      </w:r>
      <w:r>
        <w:rPr>
          <w:sz w:val="17"/>
        </w:rPr>
        <w:t xml:space="preserve"> </w:t>
      </w:r>
    </w:p>
    <w:p>
      <w:pPr>
        <w:pStyle w:val="TextBody"/>
        <w:spacing w:before="0" w:after="200"/>
        <w:ind w:left="1440" w:right="0" w:firstLine="720"/>
        <w:jc w:val="both"/>
        <w:rPr>
          <w:sz w:val="17"/>
        </w:rPr>
      </w:pPr>
      <w:r>
        <w:rPr>
          <w:sz w:val="17"/>
        </w:rPr>
        <w:t xml:space="preserve">The managing Joint Venturer is paid an annual management fee, which is presented separately in the statement of comprehensive income.  The management fee paid is as per the Joint Venture agreement and is to cover the costs of managing and operating the cinema complex and providing all relevant accounting and support services.  The management fee is based on a contracted base amount, increased by the Consumer Price Index for the City of Brisbane as published by the Australian Bureau of Statistics on an annual basis.  Such management fee agreement is binding over the life of the agreement which shall continue in existence until the Joint Venture is terminated under agreement by the Joint Venturers. </w:t>
      </w:r>
    </w:p>
    <w:p>
      <w:pPr>
        <w:pStyle w:val="TextBody"/>
        <w:spacing w:before="0" w:after="200"/>
        <w:ind w:left="1440" w:right="0" w:hanging="0"/>
        <w:jc w:val="both"/>
        <w:rPr/>
      </w:pPr>
      <w:r>
        <w:rPr/>
        <w:t>            </w:t>
      </w:r>
      <w:r>
        <w:rPr>
          <w:sz w:val="17"/>
        </w:rPr>
        <w:t xml:space="preserve">As of 31 December 2012 the management fee payable was $nil (2011: $24,116). </w:t>
      </w:r>
    </w:p>
    <w:p>
      <w:pPr>
        <w:pStyle w:val="TextBody"/>
        <w:spacing w:before="0" w:after="200"/>
        <w:ind w:left="1440" w:right="0" w:hanging="0"/>
        <w:jc w:val="both"/>
        <w:rPr>
          <w:sz w:val="17"/>
        </w:rPr>
      </w:pPr>
      <w:r>
        <w:rPr>
          <w:b/>
          <w:sz w:val="17"/>
        </w:rPr>
        <w:t>20.</w:t>
      </w:r>
      <w:r>
        <w:rPr>
          <w:sz w:val="17"/>
        </w:rPr>
        <w:t xml:space="preserve"> </w:t>
      </w:r>
      <w:r>
        <w:rPr>
          <w:b/>
          <w:sz w:val="17"/>
        </w:rPr>
        <w:t>Subsequent events</w:t>
      </w:r>
      <w:r>
        <w:rPr>
          <w:sz w:val="17"/>
        </w:rPr>
        <w:t xml:space="preserve"> </w:t>
      </w:r>
    </w:p>
    <w:p>
      <w:pPr>
        <w:pStyle w:val="TextBody"/>
        <w:spacing w:before="0" w:after="200"/>
        <w:ind w:left="1440" w:right="0" w:firstLine="720"/>
        <w:jc w:val="both"/>
        <w:rPr>
          <w:sz w:val="17"/>
        </w:rPr>
      </w:pPr>
      <w:r>
        <w:rPr>
          <w:sz w:val="17"/>
        </w:rPr>
        <w:t xml:space="preserve">Subsequent to 31 December 2012, there were no events which would have a material effect on these financial statements.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123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center"/>
        <w:rPr>
          <w:b/>
          <w:sz w:val="17"/>
        </w:rPr>
      </w:pPr>
      <w:r>
        <w:rPr>
          <w:b/>
          <w:sz w:val="17"/>
        </w:rPr>
        <w:t xml:space="preserve">Independent Auditors’ Report </w:t>
      </w:r>
    </w:p>
    <w:p>
      <w:pPr>
        <w:pStyle w:val="TextBody"/>
        <w:spacing w:before="100" w:after="100"/>
        <w:ind w:left="1440" w:right="0" w:hanging="0"/>
        <w:jc w:val="left"/>
        <w:rPr>
          <w:sz w:val="17"/>
        </w:rPr>
      </w:pPr>
      <w:r>
        <w:rPr>
          <w:sz w:val="17"/>
        </w:rPr>
        <w:t>The Management Committee and Joint Venturers</w:t>
        <w:br/>
        <w:t xml:space="preserve">Mt. Gravatt Cinemas Joint Venture: </w:t>
      </w:r>
    </w:p>
    <w:p>
      <w:pPr>
        <w:pStyle w:val="TextBody"/>
        <w:pBdr/>
        <w:spacing w:before="100" w:after="100"/>
        <w:ind w:left="1440" w:right="0" w:hanging="0"/>
        <w:jc w:val="both"/>
        <w:rPr>
          <w:sz w:val="17"/>
        </w:rPr>
      </w:pPr>
      <w:r>
        <w:rPr>
          <w:b/>
          <w:sz w:val="17"/>
        </w:rPr>
        <w:t>Report on the Financial Statements</w:t>
      </w:r>
      <w:r>
        <w:rPr>
          <w:sz w:val="17"/>
        </w:rPr>
        <w:t xml:space="preserve"> </w:t>
      </w:r>
    </w:p>
    <w:p>
      <w:pPr>
        <w:pStyle w:val="TextBody"/>
        <w:pBdr/>
        <w:spacing w:before="100" w:after="100"/>
        <w:ind w:left="1440" w:right="0" w:hanging="0"/>
        <w:jc w:val="both"/>
        <w:rPr>
          <w:sz w:val="17"/>
        </w:rPr>
      </w:pPr>
      <w:r>
        <w:rPr>
          <w:sz w:val="17"/>
        </w:rPr>
        <w:t xml:space="preserve">We have audited the accompanying financial statements of Mt. Gravatt Cinemas Joint Venture, which comprise the statements of financial position as of December 31, 2012 and 2011 and the related statements of comprehensive income, changes in equity, and cash flows for each of the years in the three-year period ended December 31, 2012, and the related notes to the financial statements. </w:t>
      </w:r>
    </w:p>
    <w:p>
      <w:pPr>
        <w:pStyle w:val="TextBody"/>
        <w:pBdr/>
        <w:spacing w:before="100" w:after="100"/>
        <w:ind w:left="1440" w:right="0" w:hanging="0"/>
        <w:jc w:val="both"/>
        <w:rPr>
          <w:sz w:val="17"/>
        </w:rPr>
      </w:pPr>
      <w:r>
        <w:rPr>
          <w:b/>
          <w:sz w:val="17"/>
        </w:rPr>
        <w:t>Management's Responsibility for the Financial Statements</w:t>
      </w:r>
      <w:r>
        <w:rPr>
          <w:sz w:val="17"/>
        </w:rPr>
        <w:t xml:space="preserve"> </w:t>
      </w:r>
    </w:p>
    <w:p>
      <w:pPr>
        <w:pStyle w:val="TextBody"/>
        <w:pBdr/>
        <w:spacing w:before="100" w:after="100"/>
        <w:ind w:left="1440" w:right="0" w:hanging="0"/>
        <w:jc w:val="both"/>
        <w:rPr>
          <w:sz w:val="17"/>
        </w:rPr>
      </w:pPr>
      <w:r>
        <w:rPr>
          <w:sz w:val="17"/>
        </w:rPr>
        <w:t xml:space="preserve">Management is responsible for the preparation and fair presentation of these financial statements in accordance with International Financial Reporting Standards as issued by the International Accounting Standards Board; this includes the design, implementation, and maintenance of internal control relevant to the preparation and fair presentation of  financial statements that are free from material misstatement, whether due to fraud or error. </w:t>
      </w:r>
    </w:p>
    <w:p>
      <w:pPr>
        <w:pStyle w:val="TextBody"/>
        <w:pBdr/>
        <w:spacing w:before="100" w:after="100"/>
        <w:ind w:left="1440" w:right="0" w:hanging="0"/>
        <w:jc w:val="both"/>
        <w:rPr>
          <w:sz w:val="17"/>
        </w:rPr>
      </w:pPr>
      <w:r>
        <w:rPr>
          <w:b/>
          <w:sz w:val="17"/>
        </w:rPr>
        <w:t>Auditors’ Responsibility</w:t>
      </w:r>
      <w:r>
        <w:rPr>
          <w:sz w:val="17"/>
        </w:rPr>
        <w:t xml:space="preserve"> </w:t>
      </w:r>
    </w:p>
    <w:p>
      <w:pPr>
        <w:pStyle w:val="TextBody"/>
        <w:pBdr/>
        <w:spacing w:before="100" w:after="100"/>
        <w:ind w:left="1440" w:right="0" w:hanging="0"/>
        <w:jc w:val="both"/>
        <w:rPr>
          <w:sz w:val="17"/>
        </w:rPr>
      </w:pPr>
      <w:r>
        <w:rPr>
          <w:sz w:val="17"/>
        </w:rPr>
        <w:t xml:space="preserve">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 </w:t>
      </w:r>
    </w:p>
    <w:p>
      <w:pPr>
        <w:pStyle w:val="TextBody"/>
        <w:pBdr/>
        <w:spacing w:before="100" w:after="100"/>
        <w:ind w:left="1440" w:right="0" w:hanging="0"/>
        <w:jc w:val="both"/>
        <w:rPr>
          <w:sz w:val="17"/>
        </w:rPr>
      </w:pPr>
      <w:r>
        <w:rPr>
          <w:sz w:val="17"/>
        </w:rPr>
        <w:t xml:space="preserve">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t>
      </w:r>
    </w:p>
    <w:p>
      <w:pPr>
        <w:pStyle w:val="TextBody"/>
        <w:pBdr/>
        <w:spacing w:before="100" w:after="100"/>
        <w:ind w:left="1440" w:right="0" w:hanging="0"/>
        <w:jc w:val="both"/>
        <w:rPr>
          <w:sz w:val="17"/>
        </w:rPr>
      </w:pPr>
      <w:r>
        <w:rPr>
          <w:sz w:val="17"/>
        </w:rPr>
        <w:t xml:space="preserve">We believe that the audit evidence we have obtained is sufficient and appropriate to provide a basis for our audit opinion. </w:t>
      </w:r>
    </w:p>
    <w:p>
      <w:pPr>
        <w:pStyle w:val="TextBody"/>
        <w:pBdr/>
        <w:spacing w:before="100" w:after="100"/>
        <w:ind w:left="1440" w:right="0" w:hanging="0"/>
        <w:jc w:val="both"/>
        <w:rPr>
          <w:sz w:val="17"/>
        </w:rPr>
      </w:pPr>
      <w:r>
        <w:rPr>
          <w:b/>
          <w:sz w:val="17"/>
        </w:rPr>
        <w:t>Opinion</w:t>
      </w:r>
      <w:r>
        <w:rPr>
          <w:sz w:val="17"/>
        </w:rPr>
        <w:t xml:space="preserve"> </w:t>
      </w:r>
    </w:p>
    <w:p>
      <w:pPr>
        <w:pStyle w:val="TextBody"/>
        <w:pBdr/>
        <w:spacing w:before="100" w:after="100"/>
        <w:ind w:left="1440" w:right="0" w:hanging="0"/>
        <w:jc w:val="both"/>
        <w:rPr>
          <w:sz w:val="17"/>
        </w:rPr>
      </w:pPr>
      <w:r>
        <w:rPr>
          <w:sz w:val="17"/>
        </w:rPr>
        <w:t xml:space="preserve">In our opinion, the financial statements referred to above present fairly, in all material respects, the financial position of Mt. Gravatt Cinemas Joint Venture as of December 31, 2012 and 2011, and the results of its operations and its cash flows each of the years in the three-year period ended December 31, 2012, in conformity with International Financial Reporting Standards as issued by the International Accounting Standards Board. </w:t>
      </w:r>
    </w:p>
    <w:p>
      <w:pPr>
        <w:pStyle w:val="TextBody"/>
        <w:pBdr/>
        <w:spacing w:before="0" w:after="0"/>
        <w:ind w:left="1440" w:right="0" w:hanging="0"/>
        <w:jc w:val="both"/>
        <w:rPr>
          <w:sz w:val="17"/>
        </w:rPr>
      </w:pPr>
      <w:r>
        <w:rPr>
          <w:sz w:val="17"/>
        </w:rPr>
        <w:t xml:space="preserve">/s/     KPMG </w:t>
      </w:r>
    </w:p>
    <w:p>
      <w:pPr>
        <w:pStyle w:val="TextBody"/>
        <w:pBdr/>
        <w:spacing w:before="0" w:after="0"/>
        <w:ind w:left="1440" w:right="0" w:hanging="0"/>
        <w:jc w:val="both"/>
        <w:rPr>
          <w:sz w:val="17"/>
        </w:rPr>
      </w:pPr>
      <w:r>
        <w:rPr>
          <w:sz w:val="17"/>
        </w:rPr>
        <w:t xml:space="preserve">Sydney, Australia </w:t>
      </w:r>
    </w:p>
    <w:p>
      <w:pPr>
        <w:pStyle w:val="TextBody"/>
        <w:spacing w:before="0" w:after="200"/>
        <w:ind w:left="1440" w:right="0" w:hanging="0"/>
        <w:jc w:val="both"/>
        <w:rPr>
          <w:sz w:val="17"/>
        </w:rPr>
      </w:pPr>
      <w:r>
        <w:rPr>
          <w:sz w:val="17"/>
        </w:rPr>
        <w:t xml:space="preserve">March 4, 2013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124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100" w:after="100"/>
        <w:ind w:left="1440" w:right="0" w:hanging="0"/>
        <w:jc w:val="both"/>
        <w:rPr>
          <w:sz w:val="17"/>
        </w:rPr>
      </w:pPr>
      <w:r>
        <w:rPr>
          <w:b/>
          <w:sz w:val="17"/>
          <w:u w:val="single"/>
        </w:rPr>
        <w:t>Exhibits</w:t>
      </w:r>
      <w:r>
        <w:rPr>
          <w:sz w:val="17"/>
        </w:rPr>
        <w:t xml:space="preserve"> </w:t>
      </w:r>
    </w:p>
    <w:tbl>
      <w:tblPr>
        <w:tblW w:w="8765" w:type="dxa"/>
        <w:jc w:val="left"/>
        <w:tblInd w:w="1440" w:type="dxa"/>
        <w:tblCellMar>
          <w:top w:w="0" w:type="dxa"/>
          <w:left w:w="0" w:type="dxa"/>
          <w:bottom w:w="0" w:type="dxa"/>
          <w:right w:w="0" w:type="dxa"/>
        </w:tblCellMar>
      </w:tblPr>
      <w:tblGrid>
        <w:gridCol w:w="493"/>
        <w:gridCol w:w="8272"/>
      </w:tblGrid>
      <w:tr>
        <w:trPr/>
        <w:tc>
          <w:tcPr>
            <w:tcW w:w="493" w:type="dxa"/>
            <w:tcBorders/>
            <w:shd w:fill="auto" w:val="clear"/>
          </w:tcPr>
          <w:p>
            <w:pPr>
              <w:pStyle w:val="TableContents"/>
              <w:spacing w:before="0" w:after="0"/>
              <w:ind w:left="0" w:right="0" w:hanging="0"/>
              <w:jc w:val="both"/>
              <w:rPr/>
            </w:pPr>
            <w:r>
              <w:rPr/>
              <w:t> </w:t>
            </w:r>
          </w:p>
        </w:tc>
        <w:tc>
          <w:tcPr>
            <w:tcW w:w="8272" w:type="dxa"/>
            <w:tcBorders/>
            <w:shd w:fill="auto" w:val="clear"/>
          </w:tcPr>
          <w:p>
            <w:pPr>
              <w:pStyle w:val="TableContents"/>
              <w:spacing w:before="0" w:after="200"/>
              <w:ind w:left="0" w:right="0" w:hanging="0"/>
              <w:jc w:val="both"/>
              <w:rPr/>
            </w:pPr>
            <w:r>
              <w:rPr/>
              <w:t> </w:t>
            </w:r>
          </w:p>
        </w:tc>
      </w:tr>
      <w:tr>
        <w:trPr/>
        <w:tc>
          <w:tcPr>
            <w:tcW w:w="493" w:type="dxa"/>
            <w:tcBorders/>
            <w:shd w:fill="auto" w:val="clear"/>
          </w:tcPr>
          <w:p>
            <w:pPr>
              <w:pStyle w:val="TableContents"/>
              <w:spacing w:before="100" w:after="100"/>
              <w:ind w:left="0" w:right="0" w:hanging="0"/>
              <w:jc w:val="both"/>
              <w:rPr>
                <w:sz w:val="17"/>
              </w:rPr>
            </w:pPr>
            <w:r>
              <w:rPr>
                <w:sz w:val="17"/>
              </w:rPr>
              <w:t>3.1</w:t>
            </w:r>
          </w:p>
        </w:tc>
        <w:tc>
          <w:tcPr>
            <w:tcW w:w="8272" w:type="dxa"/>
            <w:tcBorders/>
            <w:shd w:fill="auto" w:val="clear"/>
          </w:tcPr>
          <w:p>
            <w:pPr>
              <w:pStyle w:val="TableContents"/>
              <w:spacing w:before="100" w:after="100"/>
              <w:ind w:left="0" w:right="0" w:hanging="0"/>
              <w:jc w:val="both"/>
              <w:rPr>
                <w:sz w:val="17"/>
              </w:rPr>
            </w:pPr>
            <w:r>
              <w:rPr>
                <w:sz w:val="17"/>
              </w:rPr>
              <w:t>Certificate of Amendment and Restatement of Articles of Incorporation of Reading International, Inc., a Nevada corporation, as filed with the Nevada Secretary of State on May 22, 2003 (filed as Exhibit 3.8 to the Company’s report on Form 10-Q for the period ended June 30, 2009,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3.2.1</w:t>
            </w:r>
          </w:p>
        </w:tc>
        <w:tc>
          <w:tcPr>
            <w:tcW w:w="8272" w:type="dxa"/>
            <w:tcBorders/>
            <w:shd w:fill="auto" w:val="clear"/>
          </w:tcPr>
          <w:p>
            <w:pPr>
              <w:pStyle w:val="TableContents"/>
              <w:spacing w:before="100" w:after="100"/>
              <w:ind w:left="0" w:right="0" w:hanging="0"/>
              <w:jc w:val="both"/>
              <w:rPr>
                <w:sz w:val="17"/>
              </w:rPr>
            </w:pPr>
            <w:r>
              <w:rPr>
                <w:sz w:val="17"/>
              </w:rPr>
              <w:t>Amended and Restated Bylaws of Reading International, Inc., a Nevada corporation (filed as Exhibit 3.6 to the Company’s Annual Report on Form 10-K for the year ended December 31, 2004,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3.2.2</w:t>
            </w:r>
          </w:p>
        </w:tc>
        <w:tc>
          <w:tcPr>
            <w:tcW w:w="8272" w:type="dxa"/>
            <w:tcBorders/>
            <w:shd w:fill="auto" w:val="clear"/>
          </w:tcPr>
          <w:p>
            <w:pPr>
              <w:pStyle w:val="TableContents"/>
              <w:spacing w:before="100" w:after="100"/>
              <w:ind w:left="0" w:right="0" w:hanging="0"/>
              <w:jc w:val="both"/>
              <w:rPr>
                <w:sz w:val="17"/>
              </w:rPr>
            </w:pPr>
            <w:r>
              <w:rPr>
                <w:b w:val="false"/>
                <w:sz w:val="17"/>
              </w:rPr>
              <w:t>Amended Article V of the Amended and Restated Bylaws of Reading International, Inc.</w:t>
            </w:r>
            <w:r>
              <w:rPr>
                <w:sz w:val="17"/>
              </w:rPr>
              <w:t> (filed as exhibit 3.2 to the Company’s report on Form 8-K dated December 27,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3.3</w:t>
            </w:r>
          </w:p>
        </w:tc>
        <w:tc>
          <w:tcPr>
            <w:tcW w:w="8272" w:type="dxa"/>
            <w:tcBorders/>
            <w:shd w:fill="auto" w:val="clear"/>
          </w:tcPr>
          <w:p>
            <w:pPr>
              <w:pStyle w:val="TableContents"/>
              <w:spacing w:before="100" w:after="100"/>
              <w:ind w:left="0" w:right="0" w:hanging="0"/>
              <w:jc w:val="both"/>
              <w:rPr>
                <w:sz w:val="17"/>
              </w:rPr>
            </w:pPr>
            <w:r>
              <w:rPr>
                <w:sz w:val="17"/>
              </w:rPr>
              <w:t>Articles of Merger of Craig Merger Sub, Inc. with and into Craig Corporation (filed as Exhibit 3.4 to the Company’s Annual Report on Form 10-K for the year ended December 31, 2001).</w:t>
            </w:r>
          </w:p>
        </w:tc>
      </w:tr>
      <w:tr>
        <w:trPr/>
        <w:tc>
          <w:tcPr>
            <w:tcW w:w="493" w:type="dxa"/>
            <w:tcBorders/>
            <w:shd w:fill="auto" w:val="clear"/>
          </w:tcPr>
          <w:p>
            <w:pPr>
              <w:pStyle w:val="TableContents"/>
              <w:spacing w:before="100" w:after="100"/>
              <w:ind w:left="0" w:right="0" w:hanging="0"/>
              <w:jc w:val="both"/>
              <w:rPr>
                <w:sz w:val="17"/>
              </w:rPr>
            </w:pPr>
            <w:r>
              <w:rPr>
                <w:sz w:val="17"/>
              </w:rPr>
              <w:t>3.4</w:t>
            </w:r>
          </w:p>
        </w:tc>
        <w:tc>
          <w:tcPr>
            <w:tcW w:w="8272" w:type="dxa"/>
            <w:tcBorders/>
            <w:shd w:fill="auto" w:val="clear"/>
          </w:tcPr>
          <w:p>
            <w:pPr>
              <w:pStyle w:val="TableContents"/>
              <w:spacing w:before="100" w:after="100"/>
              <w:ind w:left="0" w:right="0" w:hanging="0"/>
              <w:jc w:val="both"/>
              <w:rPr>
                <w:sz w:val="17"/>
              </w:rPr>
            </w:pPr>
            <w:r>
              <w:rPr>
                <w:sz w:val="17"/>
              </w:rPr>
              <w:t>Articles of Merger of Reading Merger Sub, Inc. with and into Reading Entertainment, Inc. (filed as Exhibit 3.5 to the Company’s Annual Report on Form 10-K for the year ended December 31, 2001).</w:t>
            </w:r>
          </w:p>
        </w:tc>
      </w:tr>
      <w:tr>
        <w:trPr/>
        <w:tc>
          <w:tcPr>
            <w:tcW w:w="493" w:type="dxa"/>
            <w:tcBorders/>
            <w:shd w:fill="auto" w:val="clear"/>
          </w:tcPr>
          <w:p>
            <w:pPr>
              <w:pStyle w:val="TableContents"/>
              <w:spacing w:before="100" w:after="100"/>
              <w:ind w:left="0" w:right="0" w:hanging="0"/>
              <w:jc w:val="both"/>
              <w:rPr>
                <w:sz w:val="17"/>
              </w:rPr>
            </w:pPr>
            <w:r>
              <w:rPr>
                <w:sz w:val="17"/>
              </w:rPr>
              <w:t>4.1*</w:t>
            </w:r>
          </w:p>
        </w:tc>
        <w:tc>
          <w:tcPr>
            <w:tcW w:w="8272" w:type="dxa"/>
            <w:tcBorders/>
            <w:shd w:fill="auto" w:val="clear"/>
          </w:tcPr>
          <w:p>
            <w:pPr>
              <w:pStyle w:val="TableContents"/>
              <w:spacing w:before="100" w:after="100"/>
              <w:ind w:left="0" w:right="0" w:hanging="0"/>
              <w:jc w:val="both"/>
              <w:rPr>
                <w:sz w:val="17"/>
              </w:rPr>
            </w:pPr>
            <w:r>
              <w:rPr>
                <w:sz w:val="17"/>
              </w:rPr>
              <w:t>1999 Stock Option Plan of Reading International, Inc., as amended on December 31, 2001 (filed as Exhibit 4.1 to the Company’s Registration Statement on Form S-8 filed on January 21, 2004,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4.2</w:t>
            </w:r>
          </w:p>
        </w:tc>
        <w:tc>
          <w:tcPr>
            <w:tcW w:w="8272" w:type="dxa"/>
            <w:tcBorders/>
            <w:shd w:fill="auto" w:val="clear"/>
          </w:tcPr>
          <w:p>
            <w:pPr>
              <w:pStyle w:val="TableContents"/>
              <w:spacing w:before="100" w:after="100"/>
              <w:ind w:left="0" w:right="0" w:hanging="0"/>
              <w:jc w:val="both"/>
              <w:rPr>
                <w:sz w:val="17"/>
              </w:rPr>
            </w:pPr>
            <w:r>
              <w:rPr>
                <w:sz w:val="17"/>
              </w:rPr>
              <w:t>Form of Preferred Securities Certificate evidencing the preferred securities of Reading International Trust I (filed as Exhibit 4.1 to the Company’s report on Form 8-K filed on February 9,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4.3</w:t>
            </w:r>
          </w:p>
        </w:tc>
        <w:tc>
          <w:tcPr>
            <w:tcW w:w="8272" w:type="dxa"/>
            <w:tcBorders/>
            <w:shd w:fill="auto" w:val="clear"/>
          </w:tcPr>
          <w:p>
            <w:pPr>
              <w:pStyle w:val="TableContents"/>
              <w:spacing w:before="100" w:after="100"/>
              <w:ind w:left="0" w:right="0" w:hanging="0"/>
              <w:jc w:val="both"/>
              <w:rPr>
                <w:sz w:val="17"/>
              </w:rPr>
            </w:pPr>
            <w:r>
              <w:rPr>
                <w:sz w:val="17"/>
              </w:rPr>
              <w:t>Form of Common Securities Certificate evidencing common securities of Reading International Trust I (filed as Exhibit 4.2 to the Company’s report on Form 8-K filed on February 9,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4.4</w:t>
            </w:r>
          </w:p>
        </w:tc>
        <w:tc>
          <w:tcPr>
            <w:tcW w:w="8272" w:type="dxa"/>
            <w:tcBorders/>
            <w:shd w:fill="auto" w:val="clear"/>
          </w:tcPr>
          <w:p>
            <w:pPr>
              <w:pStyle w:val="TableContents"/>
              <w:spacing w:before="100" w:after="100"/>
              <w:ind w:left="0" w:right="0" w:hanging="0"/>
              <w:jc w:val="both"/>
              <w:rPr>
                <w:sz w:val="17"/>
              </w:rPr>
            </w:pPr>
            <w:r>
              <w:rPr>
                <w:sz w:val="17"/>
              </w:rPr>
              <w:t>Form of Reading International, Inc. and Reading New Zealand, Limited, Junior Subordinated Note due 2027 (filed as Exhibit 4.3 to the Company’s report on Form 8-K filed on February 9,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4.5</w:t>
            </w:r>
          </w:p>
        </w:tc>
        <w:tc>
          <w:tcPr>
            <w:tcW w:w="8272" w:type="dxa"/>
            <w:tcBorders/>
            <w:shd w:fill="auto" w:val="clear"/>
          </w:tcPr>
          <w:p>
            <w:pPr>
              <w:pStyle w:val="TableContents"/>
              <w:spacing w:before="100" w:after="100"/>
              <w:ind w:left="0" w:right="0" w:hanging="0"/>
              <w:jc w:val="both"/>
              <w:rPr>
                <w:sz w:val="17"/>
              </w:rPr>
            </w:pPr>
            <w:r>
              <w:rPr>
                <w:sz w:val="17"/>
              </w:rPr>
              <w:t>Form of Indenture (filed as Exhibit 4.4 to the Company’s report on Form S-3 on October 20, 2009,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4.6*</w:t>
            </w:r>
          </w:p>
        </w:tc>
        <w:tc>
          <w:tcPr>
            <w:tcW w:w="8272" w:type="dxa"/>
            <w:tcBorders/>
            <w:shd w:fill="auto" w:val="clear"/>
          </w:tcPr>
          <w:p>
            <w:pPr>
              <w:pStyle w:val="TableContents"/>
              <w:spacing w:before="100" w:after="100"/>
              <w:ind w:left="0" w:right="0" w:hanging="0"/>
              <w:jc w:val="both"/>
              <w:rPr>
                <w:sz w:val="17"/>
              </w:rPr>
            </w:pPr>
            <w:r>
              <w:rPr>
                <w:sz w:val="17"/>
              </w:rPr>
              <w:t>2010 Stock Incentive Plan (filed as Exhibit 4.1 to the Company’s report on Form S-8 on May 26,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4.7*</w:t>
            </w:r>
          </w:p>
        </w:tc>
        <w:tc>
          <w:tcPr>
            <w:tcW w:w="8272" w:type="dxa"/>
            <w:tcBorders/>
            <w:shd w:fill="auto" w:val="clear"/>
          </w:tcPr>
          <w:p>
            <w:pPr>
              <w:pStyle w:val="TableContents"/>
              <w:spacing w:before="100" w:after="100"/>
              <w:ind w:left="0" w:right="0" w:hanging="0"/>
              <w:jc w:val="both"/>
              <w:rPr>
                <w:sz w:val="17"/>
              </w:rPr>
            </w:pPr>
            <w:r>
              <w:rPr>
                <w:sz w:val="17"/>
              </w:rPr>
              <w:t>Form of Stock Option Agreement (filed as Exhibit 4.2 to the Company’s report on Form S-8 on May 26,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4.8*</w:t>
            </w:r>
          </w:p>
        </w:tc>
        <w:tc>
          <w:tcPr>
            <w:tcW w:w="8272" w:type="dxa"/>
            <w:tcBorders/>
            <w:shd w:fill="auto" w:val="clear"/>
          </w:tcPr>
          <w:p>
            <w:pPr>
              <w:pStyle w:val="TableContents"/>
              <w:spacing w:before="100" w:after="100"/>
              <w:ind w:left="0" w:right="0" w:hanging="0"/>
              <w:jc w:val="both"/>
              <w:rPr>
                <w:sz w:val="17"/>
              </w:rPr>
            </w:pPr>
            <w:r>
              <w:rPr>
                <w:sz w:val="17"/>
              </w:rPr>
              <w:t>Form of Stock Bonus Agreement (filed as Exhibit 4.3 to the Company’s report on Form S-8 on May 26,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4.9*</w:t>
            </w:r>
          </w:p>
        </w:tc>
        <w:tc>
          <w:tcPr>
            <w:tcW w:w="8272" w:type="dxa"/>
            <w:tcBorders/>
            <w:shd w:fill="auto" w:val="clear"/>
          </w:tcPr>
          <w:p>
            <w:pPr>
              <w:pStyle w:val="TableContents"/>
              <w:spacing w:before="100" w:after="100"/>
              <w:ind w:left="0" w:right="0" w:hanging="0"/>
              <w:jc w:val="both"/>
              <w:rPr>
                <w:sz w:val="17"/>
              </w:rPr>
            </w:pPr>
            <w:r>
              <w:rPr>
                <w:sz w:val="17"/>
              </w:rPr>
              <w:t>Form of Restricted Stock Agreement (filed as Exhibit 4.4 to the Company’s report on Form S-8 on May 26,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4.10*</w:t>
            </w:r>
          </w:p>
        </w:tc>
        <w:tc>
          <w:tcPr>
            <w:tcW w:w="8272" w:type="dxa"/>
            <w:tcBorders/>
            <w:shd w:fill="auto" w:val="clear"/>
          </w:tcPr>
          <w:p>
            <w:pPr>
              <w:pStyle w:val="TableContents"/>
              <w:spacing w:before="100" w:after="100"/>
              <w:ind w:left="0" w:right="0" w:hanging="0"/>
              <w:jc w:val="both"/>
              <w:rPr>
                <w:sz w:val="17"/>
              </w:rPr>
            </w:pPr>
            <w:r>
              <w:rPr>
                <w:sz w:val="17"/>
              </w:rPr>
              <w:t>Form of Stock Appreciation Right Agreement (filed as Exhibit 4.5 to the Company’s report on Form S-8 on May 26,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4.11*</w:t>
            </w:r>
          </w:p>
        </w:tc>
        <w:tc>
          <w:tcPr>
            <w:tcW w:w="8272" w:type="dxa"/>
            <w:tcBorders/>
            <w:shd w:fill="auto" w:val="clear"/>
          </w:tcPr>
          <w:p>
            <w:pPr>
              <w:pStyle w:val="TableContents"/>
              <w:spacing w:before="100" w:after="100"/>
              <w:ind w:left="0" w:right="0" w:hanging="0"/>
              <w:jc w:val="both"/>
              <w:rPr>
                <w:sz w:val="17"/>
              </w:rPr>
            </w:pPr>
            <w:r>
              <w:rPr>
                <w:sz w:val="17"/>
              </w:rPr>
              <w:t xml:space="preserve">Amendment to the 2010 Stock Incentive Plan (filed as Appendix A of the Company’s proxy statement on April 29, 2011, and incorporated here by reference). </w:t>
            </w:r>
          </w:p>
        </w:tc>
      </w:tr>
      <w:tr>
        <w:trPr/>
        <w:tc>
          <w:tcPr>
            <w:tcW w:w="493" w:type="dxa"/>
            <w:tcBorders/>
            <w:shd w:fill="auto" w:val="clear"/>
          </w:tcPr>
          <w:p>
            <w:pPr>
              <w:pStyle w:val="TableContents"/>
              <w:spacing w:before="100" w:after="100"/>
              <w:ind w:left="0" w:right="0" w:hanging="0"/>
              <w:jc w:val="both"/>
              <w:rPr>
                <w:sz w:val="17"/>
              </w:rPr>
            </w:pPr>
            <w:r>
              <w:rPr>
                <w:sz w:val="17"/>
              </w:rPr>
              <w:t>10.1*</w:t>
            </w:r>
          </w:p>
        </w:tc>
        <w:tc>
          <w:tcPr>
            <w:tcW w:w="8272" w:type="dxa"/>
            <w:tcBorders/>
            <w:shd w:fill="auto" w:val="clear"/>
          </w:tcPr>
          <w:p>
            <w:pPr>
              <w:pStyle w:val="TableContents"/>
              <w:spacing w:before="100" w:after="100"/>
              <w:ind w:left="0" w:right="0" w:hanging="0"/>
              <w:jc w:val="both"/>
              <w:rPr>
                <w:sz w:val="17"/>
              </w:rPr>
            </w:pPr>
            <w:r>
              <w:rPr>
                <w:sz w:val="17"/>
              </w:rPr>
              <w:t>Employment Agreement, dated October 28, 1999, among Craig Corporation, Citadel Holding Corporation, Reading Entertainment, Inc., and Andrzej Matyczynski (filed as Exhibit 10.37 to the Company’s Annual Report on Form 10-K for the year ended December 31, 1999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w:t>
            </w:r>
          </w:p>
        </w:tc>
        <w:tc>
          <w:tcPr>
            <w:tcW w:w="8272" w:type="dxa"/>
            <w:tcBorders/>
            <w:shd w:fill="auto" w:val="clear"/>
          </w:tcPr>
          <w:p>
            <w:pPr>
              <w:pStyle w:val="TableContents"/>
              <w:spacing w:before="100" w:after="100"/>
              <w:ind w:left="0" w:right="0" w:hanging="0"/>
              <w:jc w:val="both"/>
              <w:rPr>
                <w:sz w:val="17"/>
              </w:rPr>
            </w:pPr>
            <w:r>
              <w:rPr>
                <w:sz w:val="17"/>
              </w:rPr>
              <w:t>Amended and Restated Lease Agreement, dated as of July 28, 2000, as amended and restated as of January 29, 2002, between Sutton Hill Capital, L.L.C. and Citadel Cinemas, Inc. (filed as Exhibit 10.40 to the Company’s Annual Report on Form 10-K for the year ended December 31, 2002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10.3</w:t>
            </w:r>
          </w:p>
        </w:tc>
        <w:tc>
          <w:tcPr>
            <w:tcW w:w="8272" w:type="dxa"/>
            <w:tcBorders/>
            <w:shd w:fill="auto" w:val="clear"/>
          </w:tcPr>
          <w:p>
            <w:pPr>
              <w:pStyle w:val="TableContents"/>
              <w:spacing w:before="100" w:after="100"/>
              <w:ind w:left="0" w:right="0" w:hanging="0"/>
              <w:jc w:val="both"/>
              <w:rPr>
                <w:sz w:val="17"/>
              </w:rPr>
            </w:pPr>
            <w:r>
              <w:rPr>
                <w:sz w:val="17"/>
              </w:rPr>
              <w:t xml:space="preserve">Amended and Restated Citadel Standby Credit Facility, dated as of July 28, 2000, as amended and restated as of January 29, 2002, between Sutton Hill Capital, L.L.C. and Reading International, Inc. (filed as Exhibit 10.40 to the Company’s Annual Report on Form 10-K for the year ended December 31, 2002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10.4</w:t>
            </w:r>
          </w:p>
        </w:tc>
        <w:tc>
          <w:tcPr>
            <w:tcW w:w="8272" w:type="dxa"/>
            <w:tcBorders/>
            <w:shd w:fill="auto" w:val="clear"/>
          </w:tcPr>
          <w:p>
            <w:pPr>
              <w:pStyle w:val="TableContents"/>
              <w:spacing w:before="100" w:after="100"/>
              <w:ind w:left="0" w:right="0" w:hanging="0"/>
              <w:jc w:val="both"/>
              <w:rPr>
                <w:sz w:val="17"/>
              </w:rPr>
            </w:pPr>
            <w:r>
              <w:rPr>
                <w:sz w:val="17"/>
              </w:rPr>
              <w:t xml:space="preserve">Amended and Restated Security Agreement dated as of July 28, 2000 as amended and restated as of January 29, 2002 between Sutton Hill Capital, L.L.C. and Reading International, Inc. (filed as Exhibit 10.42 to the Company’s Annual Report on Form 10-K for the year ended December 31, 2002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10.5</w:t>
            </w:r>
          </w:p>
        </w:tc>
        <w:tc>
          <w:tcPr>
            <w:tcW w:w="8272" w:type="dxa"/>
            <w:tcBorders/>
            <w:shd w:fill="auto" w:val="clear"/>
          </w:tcPr>
          <w:p>
            <w:pPr>
              <w:pStyle w:val="TableContents"/>
              <w:spacing w:before="100" w:after="100"/>
              <w:ind w:left="0" w:right="0" w:hanging="0"/>
              <w:jc w:val="both"/>
              <w:rPr>
                <w:sz w:val="17"/>
              </w:rPr>
            </w:pPr>
            <w:r>
              <w:rPr>
                <w:sz w:val="17"/>
              </w:rPr>
              <w:t xml:space="preserve">Amended and Restated Pledge Agreement dated as of July 28, 2000 as amended and restated as of January 29, 2002 between Sutton Hill Capital, L.L.C. and Reading International, Inc. (filed as Exhibit 10.43 to the Company’s Annual Report on Form 10-K for the year ended December 31, 2002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10.6</w:t>
            </w:r>
          </w:p>
        </w:tc>
        <w:tc>
          <w:tcPr>
            <w:tcW w:w="8272" w:type="dxa"/>
            <w:tcBorders/>
            <w:shd w:fill="auto" w:val="clear"/>
          </w:tcPr>
          <w:p>
            <w:pPr>
              <w:pStyle w:val="TableContents"/>
              <w:spacing w:before="100" w:after="100"/>
              <w:ind w:left="0" w:right="0" w:hanging="0"/>
              <w:jc w:val="both"/>
              <w:rPr>
                <w:sz w:val="17"/>
              </w:rPr>
            </w:pPr>
            <w:r>
              <w:rPr>
                <w:sz w:val="17"/>
              </w:rPr>
              <w:t xml:space="preserve">Amended and Restated Intercreditor Agreement dated as of July 28, 2000 as amended and restated as of January 29, 2002 between Sutton Hill Capital, L.L.C. and Reading International, Inc. and Nationwide Theatres Corp. (filed as Exhibit 10.44 to the Company’s Annual Report on Form 10-K for the year ended December 31, 2002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10.7</w:t>
            </w:r>
          </w:p>
        </w:tc>
        <w:tc>
          <w:tcPr>
            <w:tcW w:w="8272" w:type="dxa"/>
            <w:tcBorders/>
            <w:shd w:fill="auto" w:val="clear"/>
          </w:tcPr>
          <w:p>
            <w:pPr>
              <w:pStyle w:val="TableContents"/>
              <w:spacing w:before="100" w:after="100"/>
              <w:ind w:left="0" w:right="0" w:hanging="0"/>
              <w:jc w:val="both"/>
              <w:rPr>
                <w:sz w:val="17"/>
              </w:rPr>
            </w:pPr>
            <w:r>
              <w:rPr>
                <w:sz w:val="17"/>
              </w:rPr>
              <w:t xml:space="preserve">Guaranty dated July 28, 2000 by Michael R. Forman and James J. Cotter in favor of Citadel Cinemas, Inc. and Citadel Realty, Inc. (filed as Exhibit 10.45 to the Company’s Annual Report on Form 10-K for the year ended December 31, 2002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10.8</w:t>
            </w:r>
          </w:p>
        </w:tc>
        <w:tc>
          <w:tcPr>
            <w:tcW w:w="8272" w:type="dxa"/>
            <w:tcBorders/>
            <w:shd w:fill="auto" w:val="clear"/>
          </w:tcPr>
          <w:p>
            <w:pPr>
              <w:pStyle w:val="TableContents"/>
              <w:spacing w:before="100" w:after="100"/>
              <w:ind w:left="0" w:right="0" w:hanging="0"/>
              <w:jc w:val="both"/>
              <w:rPr>
                <w:sz w:val="17"/>
              </w:rPr>
            </w:pPr>
            <w:r>
              <w:rPr>
                <w:sz w:val="17"/>
              </w:rPr>
              <w:t xml:space="preserve">Theater Management Agreement, effective as January 1, 2002, between Liberty Theaters, Inc. and OBI LLC (filed as Exhibit 10.47 to the Company’s Annual Report on Form 10-K for the year ended December 31, 2002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10.9</w:t>
            </w:r>
          </w:p>
        </w:tc>
        <w:tc>
          <w:tcPr>
            <w:tcW w:w="8272" w:type="dxa"/>
            <w:tcBorders/>
            <w:shd w:fill="auto" w:val="clear"/>
          </w:tcPr>
          <w:p>
            <w:pPr>
              <w:pStyle w:val="TableContents"/>
              <w:spacing w:before="100" w:after="100"/>
              <w:ind w:left="0" w:right="0" w:hanging="0"/>
              <w:jc w:val="both"/>
              <w:rPr>
                <w:sz w:val="17"/>
              </w:rPr>
            </w:pPr>
            <w:r>
              <w:rPr>
                <w:sz w:val="17"/>
              </w:rPr>
              <w:t>Omnibus Amendment Agreement, dated as of October 22, 2003, between Citadel Cinemas, Inc., Sutton Hill Capital, L.L.C., Nationwide Theatres Corp., Sutton Hill Associates, and Reading International, Inc. (filed as Exhibit 10.49 to the Company’s report on Form 10-Q for the period ended September 30, 2003,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10.10</w:t>
            </w:r>
          </w:p>
        </w:tc>
        <w:tc>
          <w:tcPr>
            <w:tcW w:w="8272" w:type="dxa"/>
            <w:tcBorders/>
            <w:shd w:fill="auto" w:val="clear"/>
          </w:tcPr>
          <w:p>
            <w:pPr>
              <w:pStyle w:val="TableContents"/>
              <w:spacing w:before="100" w:after="100"/>
              <w:ind w:left="0" w:right="0" w:hanging="0"/>
              <w:jc w:val="both"/>
              <w:rPr>
                <w:sz w:val="17"/>
              </w:rPr>
            </w:pPr>
            <w:r>
              <w:rPr>
                <w:sz w:val="17"/>
              </w:rPr>
              <w:t xml:space="preserve">Assignment and Assumption of Lease between Sutton Hill Capital L.L.C. and Sutton Hill Properties, LLC dated as of September 19, 2005 (filed as exhibit 10.56 to the Company’s report on Form 8-K filed on September 21, 2005,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10.11</w:t>
            </w:r>
          </w:p>
        </w:tc>
        <w:tc>
          <w:tcPr>
            <w:tcW w:w="8272" w:type="dxa"/>
            <w:tcBorders/>
            <w:shd w:fill="auto" w:val="clear"/>
          </w:tcPr>
          <w:p>
            <w:pPr>
              <w:pStyle w:val="TableContents"/>
              <w:spacing w:before="100" w:after="100"/>
              <w:ind w:left="0" w:right="0" w:hanging="0"/>
              <w:jc w:val="both"/>
              <w:rPr>
                <w:sz w:val="17"/>
              </w:rPr>
            </w:pPr>
            <w:r>
              <w:rPr>
                <w:sz w:val="17"/>
              </w:rPr>
              <w:t xml:space="preserve">License and Option Agreement between Sutton Hill Properties, LLC and Sutton Hill Capital L.L.C. dated as of September 19, 2005 (filed as exhibit 10.57 to the Company’s report on Form 8-K filed on September 21, 2005,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10.12</w:t>
            </w:r>
          </w:p>
        </w:tc>
        <w:tc>
          <w:tcPr>
            <w:tcW w:w="8272" w:type="dxa"/>
            <w:tcBorders/>
            <w:shd w:fill="auto" w:val="clear"/>
          </w:tcPr>
          <w:p>
            <w:pPr>
              <w:pStyle w:val="TableContents"/>
              <w:spacing w:before="100" w:after="100"/>
              <w:ind w:left="0" w:right="0" w:hanging="0"/>
              <w:jc w:val="both"/>
              <w:rPr>
                <w:sz w:val="17"/>
              </w:rPr>
            </w:pPr>
            <w:r>
              <w:rPr>
                <w:sz w:val="17"/>
              </w:rPr>
              <w:t xml:space="preserve">Second Amendment to Amended and Restated Master Operating Lease dated as of September 1, 2005 (filed as exhibit 10.58 to the Company’s report on Form 8-K filed on September 21, 2005, and incorporated herein by reference). </w:t>
            </w:r>
          </w:p>
        </w:tc>
      </w:tr>
      <w:tr>
        <w:trPr/>
        <w:tc>
          <w:tcPr>
            <w:tcW w:w="493" w:type="dxa"/>
            <w:tcBorders/>
            <w:shd w:fill="auto" w:val="clear"/>
          </w:tcPr>
          <w:p>
            <w:pPr>
              <w:pStyle w:val="TableContents"/>
              <w:spacing w:before="100" w:after="100"/>
              <w:ind w:left="0" w:right="0" w:hanging="0"/>
              <w:jc w:val="both"/>
              <w:rPr/>
            </w:pPr>
            <w:r>
              <w:rPr/>
              <w:t> </w:t>
            </w:r>
          </w:p>
        </w:tc>
        <w:tc>
          <w:tcPr>
            <w:tcW w:w="8272" w:type="dxa"/>
            <w:tcBorders/>
            <w:shd w:fill="auto" w:val="clear"/>
          </w:tcPr>
          <w:p>
            <w:pPr>
              <w:pStyle w:val="TableContents"/>
              <w:spacing w:before="100" w:after="100"/>
              <w:ind w:left="0" w:right="0" w:hanging="0"/>
              <w:jc w:val="both"/>
              <w:rPr>
                <w:sz w:val="17"/>
              </w:rPr>
            </w:pPr>
            <w:r>
              <w:rPr>
                <w:sz w:val="17"/>
              </w:rPr>
              <w:t xml:space="preserve">Purchase Agreement, dated February 5, 2007, among Reading International, Inc., Reading International Trust I, and Kodiak Warehouse JPM LLC (filed as Exhibit 10.1 to the Company’s report on Form 8-K filed on February 9, 2007,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10.14</w:t>
            </w:r>
          </w:p>
        </w:tc>
        <w:tc>
          <w:tcPr>
            <w:tcW w:w="8272" w:type="dxa"/>
            <w:tcBorders/>
            <w:shd w:fill="auto" w:val="clear"/>
          </w:tcPr>
          <w:p>
            <w:pPr>
              <w:pStyle w:val="TableContents"/>
              <w:spacing w:before="100" w:after="100"/>
              <w:ind w:left="0" w:right="0" w:hanging="0"/>
              <w:jc w:val="both"/>
              <w:rPr>
                <w:sz w:val="17"/>
              </w:rPr>
            </w:pPr>
            <w:r>
              <w:rPr>
                <w:sz w:val="17"/>
              </w:rPr>
              <w:t xml:space="preserve">Amended and Restated Declaration of Trust, dated February 5, 2007, among Reading International Inc., as sponsor, the Administrators named therein, and Wells Fargo Bank, N.A., as property trustee, and Wells Fargo Delaware Trust Company as Delaware trustee (filed as Exhibit 10.2 to the Company’s report on Form 8-K dated February 5, 2007,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10.15</w:t>
            </w:r>
          </w:p>
        </w:tc>
        <w:tc>
          <w:tcPr>
            <w:tcW w:w="8272" w:type="dxa"/>
            <w:tcBorders/>
            <w:shd w:fill="auto" w:val="clear"/>
          </w:tcPr>
          <w:p>
            <w:pPr>
              <w:pStyle w:val="TableContents"/>
              <w:spacing w:before="100" w:after="100"/>
              <w:ind w:left="0" w:right="0" w:hanging="0"/>
              <w:jc w:val="both"/>
              <w:rPr>
                <w:sz w:val="17"/>
              </w:rPr>
            </w:pPr>
            <w:r>
              <w:rPr>
                <w:sz w:val="17"/>
              </w:rPr>
              <w:t>Indenture among Reading International, Inc., Reading New Zealand Limited, and Wells Fargo Bank, N.A., as indenture trustee (filed as Exhibit 10.4 to the Company’s report on Form 8-K dated February 5,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10.16*</w:t>
            </w:r>
          </w:p>
        </w:tc>
        <w:tc>
          <w:tcPr>
            <w:tcW w:w="8272" w:type="dxa"/>
            <w:tcBorders/>
            <w:shd w:fill="auto" w:val="clear"/>
          </w:tcPr>
          <w:p>
            <w:pPr>
              <w:pStyle w:val="TableContents"/>
              <w:spacing w:before="100" w:after="100"/>
              <w:ind w:left="0" w:right="0" w:hanging="0"/>
              <w:jc w:val="both"/>
              <w:rPr>
                <w:sz w:val="17"/>
              </w:rPr>
            </w:pPr>
            <w:r>
              <w:rPr>
                <w:sz w:val="17"/>
              </w:rPr>
              <w:t>Employment Agreement, dated December 28, 2006, between Reading International, Inc. and John Hunter (filed as Exhibit 10.66 to the Company’s report on Form 10-K for the year ended December 31, 2006,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10.17</w:t>
            </w:r>
          </w:p>
        </w:tc>
        <w:tc>
          <w:tcPr>
            <w:tcW w:w="8272" w:type="dxa"/>
            <w:tcBorders/>
            <w:shd w:fill="auto" w:val="clear"/>
          </w:tcPr>
          <w:p>
            <w:pPr>
              <w:pStyle w:val="TableContents"/>
              <w:spacing w:before="100" w:after="100"/>
              <w:ind w:left="0" w:right="0" w:hanging="0"/>
              <w:jc w:val="both"/>
              <w:rPr>
                <w:sz w:val="17"/>
              </w:rPr>
            </w:pPr>
            <w:r>
              <w:rPr>
                <w:sz w:val="17"/>
              </w:rPr>
              <w:t>Reading Guaranty Agreement dated February 21, 2008 among Consolidated Amusement Theatres, Inc., a Nevada corporation, General Electric Capital Corporation, and GE Capital Markets, Inc. (filed as Exhibit 10.73 to the Company’s report on Form 10-K for the year ended December 31,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10.18</w:t>
            </w:r>
          </w:p>
        </w:tc>
        <w:tc>
          <w:tcPr>
            <w:tcW w:w="8272" w:type="dxa"/>
            <w:tcBorders/>
            <w:shd w:fill="auto" w:val="clear"/>
          </w:tcPr>
          <w:p>
            <w:pPr>
              <w:pStyle w:val="TableContents"/>
              <w:spacing w:before="100" w:after="100"/>
              <w:ind w:left="0" w:right="0" w:hanging="0"/>
              <w:jc w:val="both"/>
              <w:rPr>
                <w:sz w:val="17"/>
              </w:rPr>
            </w:pPr>
            <w:r>
              <w:rPr>
                <w:sz w:val="17"/>
              </w:rPr>
              <w:t>Pledge and Security Agreement dated February 22, 2008 by Reading Consolidated Holdings, Inc. in favor of Nationwide Theatres Corp (filed as Exhibit 10.74 to the Company’s report on Form 10-K for the year ended December 31,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10.19</w:t>
            </w:r>
          </w:p>
        </w:tc>
        <w:tc>
          <w:tcPr>
            <w:tcW w:w="8272" w:type="dxa"/>
            <w:tcBorders/>
            <w:shd w:fill="auto" w:val="clear"/>
          </w:tcPr>
          <w:p>
            <w:pPr>
              <w:pStyle w:val="TableContents"/>
              <w:spacing w:before="100" w:after="100"/>
              <w:ind w:left="0" w:right="0" w:hanging="0"/>
              <w:jc w:val="both"/>
              <w:rPr>
                <w:sz w:val="17"/>
              </w:rPr>
            </w:pPr>
            <w:r>
              <w:rPr>
                <w:sz w:val="17"/>
              </w:rPr>
              <w:t>Promissory Note dated February 22, 2008 by Reading Consolidated Holdings, Inc. in favor of Nationwide Theatres Corp. (filed as Exhibit 10.75 to the Company’s report on Form 10-K for the year ended December 31, 2007,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10.20*</w:t>
            </w:r>
          </w:p>
        </w:tc>
        <w:tc>
          <w:tcPr>
            <w:tcW w:w="8272" w:type="dxa"/>
            <w:tcBorders/>
            <w:shd w:fill="auto" w:val="clear"/>
          </w:tcPr>
          <w:p>
            <w:pPr>
              <w:pStyle w:val="TableContents"/>
              <w:spacing w:before="100" w:after="100"/>
              <w:ind w:left="0" w:right="0" w:hanging="0"/>
              <w:jc w:val="both"/>
              <w:rPr>
                <w:sz w:val="17"/>
              </w:rPr>
            </w:pPr>
            <w:r>
              <w:rPr>
                <w:sz w:val="17"/>
              </w:rPr>
              <w:t>Form of Indemnification Agreement, as routinely granted to the Company’s officers and directors (filed as Exhibit 10.77 to the Company’s report on Form 10-Q for the period ended September 30, 2008,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10.21</w:t>
            </w:r>
          </w:p>
        </w:tc>
        <w:tc>
          <w:tcPr>
            <w:tcW w:w="8272" w:type="dxa"/>
            <w:tcBorders/>
            <w:shd w:fill="auto" w:val="clear"/>
          </w:tcPr>
          <w:p>
            <w:pPr>
              <w:pStyle w:val="TableContents"/>
              <w:spacing w:before="100" w:after="100"/>
              <w:ind w:left="0" w:right="0" w:hanging="0"/>
              <w:jc w:val="both"/>
              <w:rPr>
                <w:sz w:val="17"/>
              </w:rPr>
            </w:pPr>
            <w:r>
              <w:rPr>
                <w:sz w:val="17"/>
              </w:rPr>
              <w:t xml:space="preserve">Third Amendment to Amended and Restated Master Operating Lease Agreement, dated June 29, 2010, between Sutton Hill Capital, L.L.C. and Citadel Cinemas, Inc. (filed as Exhibit 10.21 to the Company’s report on Form 10-K for the year ended December 31, 2010, and incorporated herein by reference). </w:t>
            </w:r>
          </w:p>
        </w:tc>
      </w:tr>
      <w:tr>
        <w:trPr/>
        <w:tc>
          <w:tcPr>
            <w:tcW w:w="493" w:type="dxa"/>
            <w:tcBorders/>
            <w:shd w:fill="auto" w:val="clear"/>
          </w:tcPr>
          <w:p>
            <w:pPr>
              <w:pStyle w:val="TableContents"/>
              <w:spacing w:before="100" w:after="100"/>
              <w:ind w:left="0" w:right="0" w:hanging="0"/>
              <w:jc w:val="both"/>
              <w:rPr>
                <w:sz w:val="17"/>
              </w:rPr>
            </w:pPr>
            <w:r>
              <w:rPr>
                <w:sz w:val="17"/>
              </w:rPr>
              <w:t>10.22</w:t>
            </w:r>
          </w:p>
        </w:tc>
        <w:tc>
          <w:tcPr>
            <w:tcW w:w="8272" w:type="dxa"/>
            <w:tcBorders/>
            <w:shd w:fill="auto" w:val="clear"/>
          </w:tcPr>
          <w:p>
            <w:pPr>
              <w:pStyle w:val="TableContents"/>
              <w:spacing w:before="100" w:after="100"/>
              <w:ind w:left="0" w:right="0" w:hanging="0"/>
              <w:jc w:val="both"/>
              <w:rPr>
                <w:sz w:val="17"/>
              </w:rPr>
            </w:pPr>
            <w:r>
              <w:rPr>
                <w:sz w:val="17"/>
              </w:rPr>
              <w:t>Amended and Restated Purchase Money Installment Sale Note, dated September 19, 2005, as amended and restated as of June 29, 2010, by Sutton Hill Properties, LLC in favor of Sutton Hill Capital, L.L.C. (filed as Exhibit 10.22 to the Company’s report on Form 10-K for the year ended December 31,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10.23</w:t>
            </w:r>
          </w:p>
        </w:tc>
        <w:tc>
          <w:tcPr>
            <w:tcW w:w="8272" w:type="dxa"/>
            <w:tcBorders/>
            <w:shd w:fill="auto" w:val="clear"/>
          </w:tcPr>
          <w:p>
            <w:pPr>
              <w:pStyle w:val="TableContents"/>
              <w:spacing w:before="100" w:after="100"/>
              <w:ind w:left="0" w:right="0" w:hanging="0"/>
              <w:jc w:val="both"/>
              <w:rPr>
                <w:sz w:val="17"/>
              </w:rPr>
            </w:pPr>
            <w:r>
              <w:rPr>
                <w:sz w:val="17"/>
              </w:rPr>
              <w:t>Amended and Restated Credit Agreement dated February 21, 2008, as amended and restated as of November 30, 2010, among Consolidated Entertainment, Inc., General Electric Capital Corporation, and GE Capital Markets, Inc. (filed as Exhibit 10.23 to the Company’s report on Form 10-K for the year ended December 31, 2010,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10.24</w:t>
            </w:r>
          </w:p>
        </w:tc>
        <w:tc>
          <w:tcPr>
            <w:tcW w:w="8272" w:type="dxa"/>
            <w:tcBorders/>
            <w:shd w:fill="auto" w:val="clear"/>
          </w:tcPr>
          <w:p>
            <w:pPr>
              <w:pStyle w:val="TableContents"/>
              <w:spacing w:before="100" w:after="100"/>
              <w:ind w:left="0" w:right="0" w:hanging="0"/>
              <w:jc w:val="both"/>
              <w:rPr>
                <w:sz w:val="17"/>
              </w:rPr>
            </w:pPr>
            <w:r>
              <w:rPr>
                <w:sz w:val="17"/>
              </w:rPr>
              <w:t>Bill Acceptance and Discount &amp; Bank Guarantee Facility Agreement dated June 24, 2011, among Reading Entertainment Australia Pty Ltd and National Australia Bank Limited (filed as Exhibit 10.24 to the Company’s report on Form 10-K for the year ended December 31, 2011,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10.25</w:t>
            </w:r>
          </w:p>
        </w:tc>
        <w:tc>
          <w:tcPr>
            <w:tcW w:w="8272" w:type="dxa"/>
            <w:tcBorders/>
            <w:shd w:fill="auto" w:val="clear"/>
          </w:tcPr>
          <w:p>
            <w:pPr>
              <w:pStyle w:val="TableContents"/>
              <w:spacing w:before="100" w:after="100"/>
              <w:ind w:left="0" w:right="0" w:hanging="0"/>
              <w:jc w:val="both"/>
              <w:rPr>
                <w:sz w:val="17"/>
              </w:rPr>
            </w:pPr>
            <w:r>
              <w:rPr>
                <w:sz w:val="17"/>
              </w:rPr>
              <w:t>Property Finance Wholesale Term Loan Facility dated June 20, 2007, among Reading Courtenay Central Limited and Westpac New Zealand Limited (filed as Exhibit 10.25 to the Company’s report on Form 10-K for the year ended December 31, 2011,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10.26</w:t>
            </w:r>
          </w:p>
        </w:tc>
        <w:tc>
          <w:tcPr>
            <w:tcW w:w="8272" w:type="dxa"/>
            <w:tcBorders/>
            <w:shd w:fill="auto" w:val="clear"/>
          </w:tcPr>
          <w:p>
            <w:pPr>
              <w:pStyle w:val="TableContents"/>
              <w:spacing w:before="100" w:after="100"/>
              <w:ind w:left="0" w:right="0" w:hanging="0"/>
              <w:jc w:val="both"/>
              <w:rPr>
                <w:sz w:val="17"/>
              </w:rPr>
            </w:pPr>
            <w:r>
              <w:rPr>
                <w:sz w:val="17"/>
              </w:rPr>
              <w:t>Letter dated May 6, 2009, amending Property Finance Wholesale Term Loan Facility dated June 20, 2007, among Reading Courtenay Central Limited and Westpac New Zealand Limited (filed as Exhibit 10.26 to the Company’s report on Form 10-K for the year ended December 31, 2011,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10.27</w:t>
            </w:r>
          </w:p>
        </w:tc>
        <w:tc>
          <w:tcPr>
            <w:tcW w:w="8272" w:type="dxa"/>
            <w:tcBorders/>
            <w:shd w:fill="auto" w:val="clear"/>
          </w:tcPr>
          <w:p>
            <w:pPr>
              <w:pStyle w:val="TableContents"/>
              <w:spacing w:before="100" w:after="100"/>
              <w:ind w:left="0" w:right="0" w:hanging="0"/>
              <w:jc w:val="both"/>
              <w:rPr>
                <w:sz w:val="17"/>
              </w:rPr>
            </w:pPr>
            <w:r>
              <w:rPr>
                <w:sz w:val="17"/>
              </w:rPr>
              <w:t>Letter dated February 8, 2012, amending Property Finance Wholesale Term Loan Facility dated June 20, 2007, among Reading Courtenay Central Limited and Westpac New Zealand Limited (filed as Exhibit 10.27 to the Company’s report on Form 10-K for the year ended December 31, 2011,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10.28</w:t>
            </w:r>
          </w:p>
        </w:tc>
        <w:tc>
          <w:tcPr>
            <w:tcW w:w="8272" w:type="dxa"/>
            <w:tcBorders/>
            <w:shd w:fill="auto" w:val="clear"/>
          </w:tcPr>
          <w:p>
            <w:pPr>
              <w:pStyle w:val="TableContents"/>
              <w:spacing w:before="100" w:after="100"/>
              <w:ind w:left="0" w:right="0" w:hanging="0"/>
              <w:jc w:val="both"/>
              <w:rPr>
                <w:sz w:val="17"/>
              </w:rPr>
            </w:pPr>
            <w:r>
              <w:rPr>
                <w:sz w:val="17"/>
              </w:rPr>
              <w:t>Amended and Restated Note dated June 28, 2012 among Sutton Hill Properties, LLC in favor of Sovereign Bank, N.A., amending Promissory Note dated June 27, 2007, by Sutton Hill Properties, LLC in favor of Eurohypo AG, New York Branch (filed as Exhibit 10.1 to the Company’s report on Form 10-Q for the period ended June 30, 2012,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10.29</w:t>
            </w:r>
          </w:p>
        </w:tc>
        <w:tc>
          <w:tcPr>
            <w:tcW w:w="8272" w:type="dxa"/>
            <w:tcBorders/>
            <w:shd w:fill="auto" w:val="clear"/>
          </w:tcPr>
          <w:p>
            <w:pPr>
              <w:pStyle w:val="TableContents"/>
              <w:spacing w:before="100" w:after="100"/>
              <w:ind w:left="0" w:right="0" w:hanging="0"/>
              <w:jc w:val="both"/>
              <w:rPr>
                <w:sz w:val="17"/>
              </w:rPr>
            </w:pPr>
            <w:r>
              <w:rPr>
                <w:sz w:val="17"/>
              </w:rPr>
              <w:t>Amended and Restated Mortgage, Assignment of Leases and Rents, Security Agreement, and Fixture Filing (“Agreement”) dated June 28, 2012 among Sutton Hill Properties, LLC in favor of Sovereign Bank, N.A., amending Agreement dated June 27, 2007, by Sutton Hill Properties, LLC in favor of Eurohypo AG, New York Branch (filed as Exhibit 10.2 to the Company’s report on Form 10-Q for the period ended June 30, 2012,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10.30</w:t>
            </w:r>
          </w:p>
        </w:tc>
        <w:tc>
          <w:tcPr>
            <w:tcW w:w="8272" w:type="dxa"/>
            <w:tcBorders/>
            <w:shd w:fill="auto" w:val="clear"/>
          </w:tcPr>
          <w:p>
            <w:pPr>
              <w:pStyle w:val="TableContents"/>
              <w:spacing w:before="100" w:after="100"/>
              <w:ind w:left="0" w:right="0" w:hanging="0"/>
              <w:jc w:val="both"/>
              <w:rPr>
                <w:sz w:val="17"/>
              </w:rPr>
            </w:pPr>
            <w:r>
              <w:rPr>
                <w:sz w:val="17"/>
              </w:rPr>
              <w:t>Credit Agreement entered into as of October 31, 2012, among Consolidated Entertainment, LLC and Bank of America (filed as Exhibit 99.1 to the Company’s report on Form 8-K dated October 31, 2012, and incorporated herein by reference).</w:t>
            </w:r>
          </w:p>
        </w:tc>
      </w:tr>
      <w:tr>
        <w:trPr/>
        <w:tc>
          <w:tcPr>
            <w:tcW w:w="493" w:type="dxa"/>
            <w:tcBorders/>
            <w:shd w:fill="auto" w:val="clear"/>
          </w:tcPr>
          <w:p>
            <w:pPr>
              <w:pStyle w:val="TableContents"/>
              <w:spacing w:before="100" w:after="100"/>
              <w:ind w:left="0" w:right="0" w:hanging="0"/>
              <w:jc w:val="both"/>
              <w:rPr>
                <w:sz w:val="17"/>
              </w:rPr>
            </w:pPr>
            <w:r>
              <w:rPr>
                <w:sz w:val="17"/>
              </w:rPr>
              <w:t>10.31</w:t>
            </w:r>
          </w:p>
        </w:tc>
        <w:tc>
          <w:tcPr>
            <w:tcW w:w="8272" w:type="dxa"/>
            <w:tcBorders/>
            <w:shd w:fill="auto" w:val="clear"/>
          </w:tcPr>
          <w:p>
            <w:pPr>
              <w:pStyle w:val="TableContents"/>
              <w:spacing w:before="100" w:after="100"/>
              <w:ind w:left="0" w:right="0" w:hanging="0"/>
              <w:jc w:val="both"/>
              <w:rPr>
                <w:sz w:val="17"/>
              </w:rPr>
            </w:pPr>
            <w:r>
              <w:rPr>
                <w:sz w:val="17"/>
              </w:rPr>
              <w:t>Master Lease Agreement dated October 26, 2012, between Consolidated Cinema Services LLC and Banc of America Leasing &amp; Capital, LLC (filed herewith).</w:t>
            </w:r>
          </w:p>
        </w:tc>
      </w:tr>
      <w:tr>
        <w:trPr/>
        <w:tc>
          <w:tcPr>
            <w:tcW w:w="493" w:type="dxa"/>
            <w:tcBorders/>
            <w:shd w:fill="auto" w:val="clear"/>
          </w:tcPr>
          <w:p>
            <w:pPr>
              <w:pStyle w:val="TableContents"/>
              <w:spacing w:before="100" w:after="100"/>
              <w:ind w:left="0" w:right="0" w:hanging="0"/>
              <w:jc w:val="both"/>
              <w:rPr>
                <w:sz w:val="17"/>
              </w:rPr>
            </w:pPr>
            <w:r>
              <w:rPr>
                <w:sz w:val="17"/>
              </w:rPr>
              <w:t>10.32</w:t>
            </w:r>
          </w:p>
        </w:tc>
        <w:tc>
          <w:tcPr>
            <w:tcW w:w="8272" w:type="dxa"/>
            <w:tcBorders/>
            <w:shd w:fill="auto" w:val="clear"/>
          </w:tcPr>
          <w:p>
            <w:pPr>
              <w:pStyle w:val="TableContents"/>
              <w:spacing w:before="100" w:after="100"/>
              <w:ind w:left="0" w:right="0" w:hanging="0"/>
              <w:jc w:val="both"/>
              <w:rPr>
                <w:sz w:val="17"/>
              </w:rPr>
            </w:pPr>
            <w:r>
              <w:rPr>
                <w:sz w:val="17"/>
              </w:rPr>
              <w:t>Amendment dated October 31, 2012 to the Master Lease Agreement dated October 26, 2012, between Consolidated Cinema Services LLC and Banc of America Leasing &amp; Capital, LLC (filed herewith).</w:t>
            </w:r>
          </w:p>
        </w:tc>
      </w:tr>
      <w:tr>
        <w:trPr/>
        <w:tc>
          <w:tcPr>
            <w:tcW w:w="493" w:type="dxa"/>
            <w:tcBorders/>
            <w:shd w:fill="auto" w:val="clear"/>
          </w:tcPr>
          <w:p>
            <w:pPr>
              <w:pStyle w:val="TableContents"/>
              <w:spacing w:before="100" w:after="100"/>
              <w:ind w:left="0" w:right="0" w:hanging="0"/>
              <w:jc w:val="both"/>
              <w:rPr>
                <w:sz w:val="17"/>
              </w:rPr>
            </w:pPr>
            <w:r>
              <w:rPr>
                <w:sz w:val="17"/>
              </w:rPr>
              <w:t>21</w:t>
            </w:r>
          </w:p>
        </w:tc>
        <w:tc>
          <w:tcPr>
            <w:tcW w:w="8272" w:type="dxa"/>
            <w:tcBorders/>
            <w:shd w:fill="auto" w:val="clear"/>
          </w:tcPr>
          <w:p>
            <w:pPr>
              <w:pStyle w:val="TableContents"/>
              <w:spacing w:before="100" w:after="100"/>
              <w:ind w:left="0" w:right="0" w:hanging="0"/>
              <w:jc w:val="both"/>
              <w:rPr>
                <w:sz w:val="17"/>
              </w:rPr>
            </w:pPr>
            <w:r>
              <w:rPr>
                <w:sz w:val="17"/>
              </w:rPr>
              <w:t>List of Subsidiaries (filed herewith).</w:t>
            </w:r>
          </w:p>
        </w:tc>
      </w:tr>
      <w:tr>
        <w:trPr/>
        <w:tc>
          <w:tcPr>
            <w:tcW w:w="493" w:type="dxa"/>
            <w:tcBorders/>
            <w:shd w:fill="auto" w:val="clear"/>
          </w:tcPr>
          <w:p>
            <w:pPr>
              <w:pStyle w:val="TableContents"/>
              <w:spacing w:before="100" w:after="100"/>
              <w:ind w:left="0" w:right="0" w:hanging="0"/>
              <w:jc w:val="both"/>
              <w:rPr>
                <w:sz w:val="17"/>
              </w:rPr>
            </w:pPr>
            <w:r>
              <w:rPr>
                <w:sz w:val="17"/>
              </w:rPr>
              <w:t>23.1</w:t>
            </w:r>
          </w:p>
        </w:tc>
        <w:tc>
          <w:tcPr>
            <w:tcW w:w="8272" w:type="dxa"/>
            <w:tcBorders/>
            <w:shd w:fill="auto" w:val="clear"/>
          </w:tcPr>
          <w:p>
            <w:pPr>
              <w:pStyle w:val="TableContents"/>
              <w:spacing w:before="100" w:after="100"/>
              <w:ind w:left="0" w:right="0" w:hanging="0"/>
              <w:jc w:val="both"/>
              <w:rPr>
                <w:sz w:val="17"/>
              </w:rPr>
            </w:pPr>
            <w:r>
              <w:rPr>
                <w:sz w:val="17"/>
              </w:rPr>
              <w:t>Consent of Independent Auditors, Grant Thornton LLP (filed herewith).</w:t>
            </w:r>
          </w:p>
        </w:tc>
      </w:tr>
      <w:tr>
        <w:trPr/>
        <w:tc>
          <w:tcPr>
            <w:tcW w:w="493" w:type="dxa"/>
            <w:tcBorders/>
            <w:shd w:fill="auto" w:val="clear"/>
          </w:tcPr>
          <w:p>
            <w:pPr>
              <w:pStyle w:val="TableContents"/>
              <w:spacing w:before="100" w:after="100"/>
              <w:ind w:left="0" w:right="0" w:hanging="0"/>
              <w:jc w:val="both"/>
              <w:rPr>
                <w:sz w:val="17"/>
              </w:rPr>
            </w:pPr>
            <w:r>
              <w:rPr>
                <w:sz w:val="17"/>
              </w:rPr>
              <w:t>23.2</w:t>
            </w:r>
          </w:p>
        </w:tc>
        <w:tc>
          <w:tcPr>
            <w:tcW w:w="8272" w:type="dxa"/>
            <w:tcBorders/>
            <w:shd w:fill="auto" w:val="clear"/>
          </w:tcPr>
          <w:p>
            <w:pPr>
              <w:pStyle w:val="TableContents"/>
              <w:spacing w:before="100" w:after="100"/>
              <w:ind w:left="0" w:right="0" w:hanging="0"/>
              <w:jc w:val="both"/>
              <w:rPr>
                <w:sz w:val="17"/>
              </w:rPr>
            </w:pPr>
            <w:r>
              <w:rPr>
                <w:sz w:val="17"/>
              </w:rPr>
              <w:t>Consent of Independent Auditors, Deloitte &amp; Touche LLP (filed herewith).</w:t>
            </w:r>
          </w:p>
        </w:tc>
      </w:tr>
      <w:tr>
        <w:trPr/>
        <w:tc>
          <w:tcPr>
            <w:tcW w:w="493" w:type="dxa"/>
            <w:tcBorders/>
            <w:shd w:fill="auto" w:val="clear"/>
          </w:tcPr>
          <w:p>
            <w:pPr>
              <w:pStyle w:val="TableContents"/>
              <w:spacing w:before="100" w:after="100"/>
              <w:ind w:left="0" w:right="0" w:hanging="0"/>
              <w:jc w:val="both"/>
              <w:rPr>
                <w:sz w:val="17"/>
              </w:rPr>
            </w:pPr>
            <w:r>
              <w:rPr>
                <w:sz w:val="17"/>
              </w:rPr>
              <w:t>23.3</w:t>
            </w:r>
          </w:p>
        </w:tc>
        <w:tc>
          <w:tcPr>
            <w:tcW w:w="8272" w:type="dxa"/>
            <w:tcBorders/>
            <w:shd w:fill="auto" w:val="clear"/>
          </w:tcPr>
          <w:p>
            <w:pPr>
              <w:pStyle w:val="TableContents"/>
              <w:spacing w:before="100" w:after="100"/>
              <w:ind w:left="0" w:right="0" w:hanging="0"/>
              <w:jc w:val="both"/>
              <w:rPr>
                <w:sz w:val="17"/>
              </w:rPr>
            </w:pPr>
            <w:r>
              <w:rPr>
                <w:sz w:val="17"/>
              </w:rPr>
              <w:t>Consent of Independent Auditors, KPMG Australia (filed herewith).</w:t>
            </w:r>
          </w:p>
        </w:tc>
      </w:tr>
      <w:tr>
        <w:trPr/>
        <w:tc>
          <w:tcPr>
            <w:tcW w:w="493" w:type="dxa"/>
            <w:tcBorders/>
            <w:shd w:fill="auto" w:val="clear"/>
          </w:tcPr>
          <w:p>
            <w:pPr>
              <w:pStyle w:val="TableContents"/>
              <w:spacing w:before="100" w:after="100"/>
              <w:ind w:left="0" w:right="0" w:hanging="0"/>
              <w:jc w:val="both"/>
              <w:rPr>
                <w:sz w:val="17"/>
              </w:rPr>
            </w:pPr>
            <w:r>
              <w:rPr>
                <w:sz w:val="17"/>
              </w:rPr>
              <w:t>31.1</w:t>
            </w:r>
          </w:p>
        </w:tc>
        <w:tc>
          <w:tcPr>
            <w:tcW w:w="8272" w:type="dxa"/>
            <w:tcBorders/>
            <w:shd w:fill="auto" w:val="clear"/>
          </w:tcPr>
          <w:p>
            <w:pPr>
              <w:pStyle w:val="TableContents"/>
              <w:spacing w:before="100" w:after="100"/>
              <w:ind w:left="0" w:right="0" w:hanging="0"/>
              <w:jc w:val="both"/>
              <w:rPr>
                <w:sz w:val="17"/>
              </w:rPr>
            </w:pPr>
            <w:r>
              <w:rPr>
                <w:sz w:val="17"/>
              </w:rPr>
              <w:t>Certification of Principal Executive Officer dated March 19, 2013 pursuant to Section 302 of the Sarbanes-Oxley Act of 2002 (filed herewith).</w:t>
            </w:r>
          </w:p>
        </w:tc>
      </w:tr>
      <w:tr>
        <w:trPr/>
        <w:tc>
          <w:tcPr>
            <w:tcW w:w="493" w:type="dxa"/>
            <w:tcBorders/>
            <w:shd w:fill="auto" w:val="clear"/>
          </w:tcPr>
          <w:p>
            <w:pPr>
              <w:pStyle w:val="TableContents"/>
              <w:spacing w:before="100" w:after="100"/>
              <w:ind w:left="0" w:right="0" w:hanging="0"/>
              <w:jc w:val="both"/>
              <w:rPr>
                <w:sz w:val="17"/>
              </w:rPr>
            </w:pPr>
            <w:r>
              <w:rPr>
                <w:sz w:val="17"/>
              </w:rPr>
              <w:t>31.2</w:t>
            </w:r>
          </w:p>
        </w:tc>
        <w:tc>
          <w:tcPr>
            <w:tcW w:w="8272" w:type="dxa"/>
            <w:tcBorders/>
            <w:shd w:fill="auto" w:val="clear"/>
          </w:tcPr>
          <w:p>
            <w:pPr>
              <w:pStyle w:val="TableContents"/>
              <w:spacing w:before="100" w:after="100"/>
              <w:ind w:left="0" w:right="0" w:hanging="0"/>
              <w:jc w:val="both"/>
              <w:rPr>
                <w:sz w:val="17"/>
              </w:rPr>
            </w:pPr>
            <w:r>
              <w:rPr>
                <w:sz w:val="17"/>
              </w:rPr>
              <w:t>Certification of Principal Financial Officer dated March 19, 2013 pursuant to Section 302 of the Sarbanes-Oxley Act of 2002 (filed herewith).</w:t>
            </w:r>
          </w:p>
        </w:tc>
      </w:tr>
      <w:tr>
        <w:trPr/>
        <w:tc>
          <w:tcPr>
            <w:tcW w:w="493" w:type="dxa"/>
            <w:tcBorders/>
            <w:shd w:fill="auto" w:val="clear"/>
          </w:tcPr>
          <w:p>
            <w:pPr>
              <w:pStyle w:val="TableContents"/>
              <w:spacing w:before="100" w:after="100"/>
              <w:ind w:left="0" w:right="0" w:hanging="0"/>
              <w:jc w:val="both"/>
              <w:rPr>
                <w:sz w:val="17"/>
              </w:rPr>
            </w:pPr>
            <w:r>
              <w:rPr>
                <w:sz w:val="17"/>
              </w:rPr>
              <w:t>32.1</w:t>
            </w:r>
          </w:p>
        </w:tc>
        <w:tc>
          <w:tcPr>
            <w:tcW w:w="8272" w:type="dxa"/>
            <w:tcBorders/>
            <w:shd w:fill="auto" w:val="clear"/>
          </w:tcPr>
          <w:p>
            <w:pPr>
              <w:pStyle w:val="TableContents"/>
              <w:spacing w:before="100" w:after="100"/>
              <w:ind w:left="0" w:right="0" w:hanging="0"/>
              <w:jc w:val="both"/>
              <w:rPr>
                <w:sz w:val="17"/>
              </w:rPr>
            </w:pPr>
            <w:r>
              <w:rPr>
                <w:sz w:val="17"/>
              </w:rPr>
              <w:t>Certification of Principal Executive Officer dated March 19, 2013 pursuant to 18 U.S.C. Section 1350, as adopted pursuant to Section 906 of the Sarbanes-Oxley Act of 2002 (filed herewith).</w:t>
            </w:r>
          </w:p>
        </w:tc>
      </w:tr>
      <w:tr>
        <w:trPr/>
        <w:tc>
          <w:tcPr>
            <w:tcW w:w="493" w:type="dxa"/>
            <w:tcBorders/>
            <w:shd w:fill="auto" w:val="clear"/>
          </w:tcPr>
          <w:p>
            <w:pPr>
              <w:pStyle w:val="TableContents"/>
              <w:spacing w:before="100" w:after="100"/>
              <w:ind w:left="0" w:right="0" w:hanging="0"/>
              <w:jc w:val="both"/>
              <w:rPr>
                <w:sz w:val="17"/>
              </w:rPr>
            </w:pPr>
            <w:r>
              <w:rPr>
                <w:sz w:val="17"/>
              </w:rPr>
              <w:t>32.2</w:t>
            </w:r>
          </w:p>
        </w:tc>
        <w:tc>
          <w:tcPr>
            <w:tcW w:w="8272" w:type="dxa"/>
            <w:tcBorders/>
            <w:shd w:fill="auto" w:val="clear"/>
          </w:tcPr>
          <w:p>
            <w:pPr>
              <w:pStyle w:val="TableContents"/>
              <w:spacing w:before="100" w:after="100"/>
              <w:ind w:left="0" w:right="0" w:hanging="0"/>
              <w:jc w:val="both"/>
              <w:rPr>
                <w:sz w:val="17"/>
              </w:rPr>
            </w:pPr>
            <w:r>
              <w:rPr>
                <w:sz w:val="17"/>
              </w:rPr>
              <w:t>Certification of Principal Financial Officer dated March 19, 2013 pursuant to 18 U.S.C. Section 1350, as adopted pursuant to Section 906 of the Sarbanes-Oxley Act of 2002 (filed herewith).</w:t>
            </w:r>
          </w:p>
        </w:tc>
      </w:tr>
      <w:tr>
        <w:trPr/>
        <w:tc>
          <w:tcPr>
            <w:tcW w:w="493" w:type="dxa"/>
            <w:tcBorders/>
            <w:shd w:fill="auto" w:val="clear"/>
          </w:tcPr>
          <w:p>
            <w:pPr>
              <w:pStyle w:val="TableContents"/>
              <w:spacing w:before="100" w:after="100"/>
              <w:ind w:left="0" w:right="0" w:hanging="0"/>
              <w:jc w:val="both"/>
              <w:rPr>
                <w:sz w:val="17"/>
              </w:rPr>
            </w:pPr>
            <w:r>
              <w:rPr>
                <w:sz w:val="17"/>
              </w:rPr>
              <w:t>101.INS</w:t>
            </w:r>
          </w:p>
        </w:tc>
        <w:tc>
          <w:tcPr>
            <w:tcW w:w="8272" w:type="dxa"/>
            <w:tcBorders/>
            <w:shd w:fill="auto" w:val="clear"/>
          </w:tcPr>
          <w:p>
            <w:pPr>
              <w:pStyle w:val="TableContents"/>
              <w:spacing w:before="100" w:after="100"/>
              <w:ind w:left="0" w:right="0" w:hanging="0"/>
              <w:jc w:val="both"/>
              <w:rPr>
                <w:sz w:val="17"/>
              </w:rPr>
            </w:pPr>
            <w:r>
              <w:rPr>
                <w:sz w:val="17"/>
              </w:rPr>
              <w:t>XBRL Instance Document</w:t>
            </w:r>
          </w:p>
        </w:tc>
      </w:tr>
      <w:tr>
        <w:trPr/>
        <w:tc>
          <w:tcPr>
            <w:tcW w:w="493" w:type="dxa"/>
            <w:tcBorders/>
            <w:shd w:fill="auto" w:val="clear"/>
          </w:tcPr>
          <w:p>
            <w:pPr>
              <w:pStyle w:val="TableContents"/>
              <w:spacing w:before="100" w:after="100"/>
              <w:ind w:left="0" w:right="0" w:hanging="0"/>
              <w:jc w:val="both"/>
              <w:rPr>
                <w:sz w:val="17"/>
              </w:rPr>
            </w:pPr>
            <w:r>
              <w:rPr>
                <w:sz w:val="17"/>
              </w:rPr>
              <w:t>101.SCH</w:t>
            </w:r>
          </w:p>
        </w:tc>
        <w:tc>
          <w:tcPr>
            <w:tcW w:w="8272" w:type="dxa"/>
            <w:tcBorders/>
            <w:shd w:fill="auto" w:val="clear"/>
          </w:tcPr>
          <w:p>
            <w:pPr>
              <w:pStyle w:val="TableContents"/>
              <w:spacing w:before="100" w:after="100"/>
              <w:ind w:left="0" w:right="0" w:hanging="0"/>
              <w:jc w:val="both"/>
              <w:rPr>
                <w:sz w:val="17"/>
              </w:rPr>
            </w:pPr>
            <w:r>
              <w:rPr>
                <w:sz w:val="17"/>
              </w:rPr>
              <w:t xml:space="preserve">XBRL Taxonomy Extension Schema </w:t>
            </w:r>
          </w:p>
        </w:tc>
      </w:tr>
      <w:tr>
        <w:trPr/>
        <w:tc>
          <w:tcPr>
            <w:tcW w:w="493" w:type="dxa"/>
            <w:tcBorders/>
            <w:shd w:fill="auto" w:val="clear"/>
          </w:tcPr>
          <w:p>
            <w:pPr>
              <w:pStyle w:val="TableContents"/>
              <w:spacing w:before="100" w:after="100"/>
              <w:ind w:left="0" w:right="0" w:hanging="0"/>
              <w:jc w:val="both"/>
              <w:rPr>
                <w:sz w:val="17"/>
              </w:rPr>
            </w:pPr>
            <w:r>
              <w:rPr>
                <w:sz w:val="17"/>
              </w:rPr>
              <w:t>101.CAL</w:t>
            </w:r>
          </w:p>
        </w:tc>
        <w:tc>
          <w:tcPr>
            <w:tcW w:w="8272" w:type="dxa"/>
            <w:tcBorders/>
            <w:shd w:fill="auto" w:val="clear"/>
          </w:tcPr>
          <w:p>
            <w:pPr>
              <w:pStyle w:val="TableContents"/>
              <w:spacing w:before="100" w:after="100"/>
              <w:ind w:left="0" w:right="0" w:hanging="0"/>
              <w:jc w:val="both"/>
              <w:rPr>
                <w:sz w:val="17"/>
              </w:rPr>
            </w:pPr>
            <w:r>
              <w:rPr>
                <w:sz w:val="17"/>
              </w:rPr>
              <w:t>XBRL Taxonomy Extension Calculation</w:t>
            </w:r>
          </w:p>
        </w:tc>
      </w:tr>
      <w:tr>
        <w:trPr/>
        <w:tc>
          <w:tcPr>
            <w:tcW w:w="493" w:type="dxa"/>
            <w:tcBorders/>
            <w:shd w:fill="auto" w:val="clear"/>
          </w:tcPr>
          <w:p>
            <w:pPr>
              <w:pStyle w:val="TableContents"/>
              <w:spacing w:before="100" w:after="100"/>
              <w:ind w:left="0" w:right="0" w:hanging="0"/>
              <w:jc w:val="both"/>
              <w:rPr>
                <w:sz w:val="17"/>
              </w:rPr>
            </w:pPr>
            <w:r>
              <w:rPr>
                <w:sz w:val="17"/>
              </w:rPr>
              <w:t>101.DEF</w:t>
            </w:r>
          </w:p>
        </w:tc>
        <w:tc>
          <w:tcPr>
            <w:tcW w:w="8272" w:type="dxa"/>
            <w:tcBorders/>
            <w:shd w:fill="auto" w:val="clear"/>
          </w:tcPr>
          <w:p>
            <w:pPr>
              <w:pStyle w:val="TableContents"/>
              <w:spacing w:before="100" w:after="100"/>
              <w:ind w:left="0" w:right="0" w:hanging="0"/>
              <w:jc w:val="both"/>
              <w:rPr>
                <w:sz w:val="17"/>
              </w:rPr>
            </w:pPr>
            <w:r>
              <w:rPr>
                <w:sz w:val="17"/>
              </w:rPr>
              <w:t>XBRL Taxonomy Extension Definition</w:t>
            </w:r>
          </w:p>
        </w:tc>
      </w:tr>
      <w:tr>
        <w:trPr/>
        <w:tc>
          <w:tcPr>
            <w:tcW w:w="493" w:type="dxa"/>
            <w:tcBorders/>
            <w:shd w:fill="auto" w:val="clear"/>
          </w:tcPr>
          <w:p>
            <w:pPr>
              <w:pStyle w:val="TableContents"/>
              <w:spacing w:before="100" w:after="100"/>
              <w:ind w:left="0" w:right="0" w:hanging="0"/>
              <w:jc w:val="both"/>
              <w:rPr>
                <w:sz w:val="17"/>
              </w:rPr>
            </w:pPr>
            <w:r>
              <w:rPr>
                <w:sz w:val="17"/>
              </w:rPr>
              <w:t>101.LAB</w:t>
            </w:r>
          </w:p>
        </w:tc>
        <w:tc>
          <w:tcPr>
            <w:tcW w:w="8272" w:type="dxa"/>
            <w:tcBorders/>
            <w:shd w:fill="auto" w:val="clear"/>
          </w:tcPr>
          <w:p>
            <w:pPr>
              <w:pStyle w:val="TableContents"/>
              <w:spacing w:before="100" w:after="100"/>
              <w:ind w:left="0" w:right="0" w:hanging="0"/>
              <w:jc w:val="both"/>
              <w:rPr>
                <w:sz w:val="17"/>
              </w:rPr>
            </w:pPr>
            <w:r>
              <w:rPr>
                <w:sz w:val="17"/>
              </w:rPr>
              <w:t>XBRL Taxonomy Extension Labels</w:t>
            </w:r>
          </w:p>
        </w:tc>
      </w:tr>
      <w:tr>
        <w:trPr/>
        <w:tc>
          <w:tcPr>
            <w:tcW w:w="493" w:type="dxa"/>
            <w:tcBorders/>
            <w:shd w:fill="auto" w:val="clear"/>
          </w:tcPr>
          <w:p>
            <w:pPr>
              <w:pStyle w:val="TableContents"/>
              <w:spacing w:before="100" w:after="100"/>
              <w:ind w:left="0" w:right="0" w:hanging="0"/>
              <w:jc w:val="both"/>
              <w:rPr>
                <w:sz w:val="17"/>
              </w:rPr>
            </w:pPr>
            <w:r>
              <w:rPr>
                <w:sz w:val="17"/>
              </w:rPr>
              <w:t>101.PRE</w:t>
            </w:r>
          </w:p>
        </w:tc>
        <w:tc>
          <w:tcPr>
            <w:tcW w:w="8272" w:type="dxa"/>
            <w:tcBorders/>
            <w:shd w:fill="auto" w:val="clear"/>
          </w:tcPr>
          <w:p>
            <w:pPr>
              <w:pStyle w:val="TableContents"/>
              <w:spacing w:before="100" w:after="100"/>
              <w:ind w:left="0" w:right="0" w:hanging="0"/>
              <w:jc w:val="both"/>
              <w:rPr>
                <w:sz w:val="17"/>
              </w:rPr>
            </w:pPr>
            <w:r>
              <w:rPr>
                <w:sz w:val="17"/>
              </w:rPr>
              <w:t>XBRL Taxonomy Extension Presentation</w:t>
            </w:r>
          </w:p>
          <w:p>
            <w:pPr>
              <w:pStyle w:val="TableContents"/>
              <w:spacing w:before="0" w:after="200"/>
              <w:ind w:left="0" w:right="0" w:hanging="0"/>
              <w:jc w:val="left"/>
              <w:rPr>
                <w:sz w:val="17"/>
              </w:rPr>
            </w:pPr>
            <w:r>
              <w:rPr>
                <w:sz w:val="17"/>
              </w:rPr>
              <w:t>*These exhibits constitute the executive compensation plans and arrangements of the Company.</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125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126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127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100" w:after="100"/>
        <w:ind w:left="1440" w:right="0" w:hanging="0"/>
        <w:jc w:val="center"/>
        <w:rPr>
          <w:rFonts w:ascii="Arial" w:hAnsi="Arial"/>
          <w:b/>
          <w:sz w:val="17"/>
        </w:rPr>
      </w:pPr>
      <w:r>
        <w:rPr>
          <w:rFonts w:ascii="Times New Roman" w:hAnsi="Times New Roman"/>
          <w:b/>
          <w:sz w:val="17"/>
          <w:u w:val="single"/>
        </w:rPr>
        <w:t>SIGNATURES</w:t>
      </w:r>
      <w:r>
        <w:rPr>
          <w:rFonts w:ascii="Arial" w:hAnsi="Arial"/>
          <w:b/>
          <w:sz w:val="17"/>
        </w:rPr>
        <w:t xml:space="preserve"> </w:t>
      </w:r>
    </w:p>
    <w:p>
      <w:pPr>
        <w:pStyle w:val="TextBody"/>
        <w:pBdr/>
        <w:spacing w:before="100" w:after="100"/>
        <w:ind w:left="1440" w:right="0" w:hanging="0"/>
        <w:jc w:val="both"/>
        <w:rPr>
          <w:rFonts w:ascii="Courier New" w:hAnsi="Courier New"/>
          <w:sz w:val="17"/>
        </w:rPr>
      </w:pPr>
      <w:r>
        <w:rPr>
          <w:rFonts w:ascii="Times New Roman" w:hAnsi="Times New Roman"/>
          <w:b/>
          <w:sz w:val="17"/>
        </w:rPr>
        <w:t>Pursuant to the requirements of the Securities Exchange Act of 1934, the registrant has duly caused this report to be signed on its behalf by the undersigned thereunto duly authorized.</w:t>
      </w:r>
      <w:r>
        <w:rPr>
          <w:rFonts w:ascii="Courier New" w:hAnsi="Courier New"/>
          <w:sz w:val="17"/>
        </w:rPr>
        <w:t xml:space="preserve"> </w:t>
      </w:r>
    </w:p>
    <w:p>
      <w:pPr>
        <w:pStyle w:val="TextBody"/>
        <w:pBdr/>
        <w:spacing w:before="100" w:after="100"/>
        <w:ind w:left="1440" w:right="0" w:hanging="0"/>
        <w:jc w:val="center"/>
        <w:rPr>
          <w:rFonts w:ascii="Courier New" w:hAnsi="Courier New"/>
          <w:sz w:val="17"/>
        </w:rPr>
      </w:pPr>
      <w:r>
        <w:rPr>
          <w:rFonts w:ascii="Times New Roman" w:hAnsi="Times New Roman"/>
          <w:b/>
          <w:sz w:val="17"/>
        </w:rPr>
        <w:t>READING INTERNATIONAL, INC.</w:t>
      </w:r>
      <w:r>
        <w:rPr>
          <w:rFonts w:ascii="Courier New" w:hAnsi="Courier New"/>
          <w:sz w:val="17"/>
        </w:rPr>
        <w:t xml:space="preserve"> </w:t>
      </w:r>
    </w:p>
    <w:p>
      <w:pPr>
        <w:pStyle w:val="TextBody"/>
        <w:pBdr/>
        <w:spacing w:before="100" w:after="100"/>
        <w:ind w:left="1440" w:right="0" w:hanging="0"/>
        <w:jc w:val="center"/>
        <w:rPr>
          <w:rFonts w:ascii="Courier New" w:hAnsi="Courier New"/>
          <w:sz w:val="17"/>
        </w:rPr>
      </w:pPr>
      <w:r>
        <w:rPr>
          <w:rFonts w:ascii="Times New Roman" w:hAnsi="Times New Roman"/>
          <w:sz w:val="17"/>
        </w:rPr>
        <w:t>(Registrant)</w:t>
      </w:r>
      <w:r>
        <w:rPr>
          <w:rFonts w:ascii="Courier New" w:hAnsi="Courier New"/>
          <w:sz w:val="17"/>
        </w:rPr>
        <w:t xml:space="preserve"> </w:t>
      </w:r>
    </w:p>
    <w:p>
      <w:pPr>
        <w:pStyle w:val="TextBody"/>
        <w:pBdr/>
        <w:spacing w:before="100" w:after="100"/>
        <w:ind w:left="1440" w:right="0" w:hanging="0"/>
        <w:jc w:val="both"/>
        <w:rPr/>
      </w:pPr>
      <w:r>
        <w:rPr/>
        <w:t xml:space="preserve">  </w:t>
      </w:r>
    </w:p>
    <w:tbl>
      <w:tblPr>
        <w:tblW w:w="5055" w:type="dxa"/>
        <w:jc w:val="left"/>
        <w:tblInd w:w="1440" w:type="dxa"/>
        <w:tblCellMar>
          <w:top w:w="0" w:type="dxa"/>
          <w:left w:w="0" w:type="dxa"/>
          <w:bottom w:w="0" w:type="dxa"/>
          <w:right w:w="0" w:type="dxa"/>
        </w:tblCellMar>
      </w:tblPr>
      <w:tblGrid>
        <w:gridCol w:w="1610"/>
        <w:gridCol w:w="260"/>
        <w:gridCol w:w="3185"/>
      </w:tblGrid>
      <w:tr>
        <w:trPr/>
        <w:tc>
          <w:tcPr>
            <w:tcW w:w="1610" w:type="dxa"/>
            <w:tcBorders/>
            <w:shd w:fill="auto" w:val="clear"/>
          </w:tcPr>
          <w:p>
            <w:pPr>
              <w:pStyle w:val="TableContents"/>
              <w:spacing w:before="0" w:after="0"/>
              <w:ind w:left="0" w:right="0" w:hanging="0"/>
              <w:jc w:val="both"/>
              <w:rPr/>
            </w:pPr>
            <w:r>
              <w:rPr/>
              <w:t> </w:t>
            </w:r>
          </w:p>
        </w:tc>
        <w:tc>
          <w:tcPr>
            <w:tcW w:w="260" w:type="dxa"/>
            <w:tcBorders/>
            <w:shd w:fill="auto" w:val="clear"/>
          </w:tcPr>
          <w:p>
            <w:pPr>
              <w:pStyle w:val="TableContents"/>
              <w:spacing w:before="0" w:after="200"/>
              <w:ind w:left="0" w:right="0" w:hanging="0"/>
              <w:jc w:val="both"/>
              <w:rPr/>
            </w:pPr>
            <w:r>
              <w:rPr/>
              <w:t> </w:t>
            </w:r>
          </w:p>
        </w:tc>
        <w:tc>
          <w:tcPr>
            <w:tcW w:w="3185" w:type="dxa"/>
            <w:tcBorders/>
            <w:shd w:fill="auto" w:val="clear"/>
          </w:tcPr>
          <w:p>
            <w:pPr>
              <w:pStyle w:val="TableContents"/>
              <w:spacing w:before="0" w:after="200"/>
              <w:ind w:left="0" w:right="0" w:hanging="0"/>
              <w:jc w:val="both"/>
              <w:rPr/>
            </w:pPr>
            <w:r>
              <w:rPr/>
              <w:t> </w:t>
            </w:r>
          </w:p>
        </w:tc>
      </w:tr>
      <w:tr>
        <w:trPr/>
        <w:tc>
          <w:tcPr>
            <w:tcW w:w="1610"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Date:  March 19, 2013</w:t>
            </w:r>
          </w:p>
        </w:tc>
        <w:tc>
          <w:tcPr>
            <w:tcW w:w="260" w:type="dxa"/>
            <w:tcBorders/>
            <w:shd w:fill="auto" w:val="clear"/>
          </w:tcPr>
          <w:p>
            <w:pPr>
              <w:pStyle w:val="TableContents"/>
              <w:spacing w:before="100" w:after="100"/>
              <w:ind w:left="0" w:right="0" w:hanging="0"/>
              <w:jc w:val="both"/>
              <w:rPr>
                <w:rFonts w:ascii="Times New Roman" w:hAnsi="Times New Roman"/>
                <w:sz w:val="17"/>
              </w:rPr>
            </w:pPr>
            <w:r>
              <w:rPr>
                <w:rFonts w:ascii="Times New Roman" w:hAnsi="Times New Roman"/>
                <w:sz w:val="17"/>
              </w:rPr>
              <w:t>By:</w:t>
            </w:r>
          </w:p>
        </w:tc>
        <w:tc>
          <w:tcPr>
            <w:tcW w:w="3185" w:type="dxa"/>
            <w:tcBorders>
              <w:bottom w:val="single" w:sz="8" w:space="0" w:color="000000"/>
            </w:tcBorders>
            <w:shd w:fill="auto" w:val="clear"/>
            <w:tcMar>
              <w:bottom w:w="28" w:type="dxa"/>
            </w:tcMar>
          </w:tcPr>
          <w:p>
            <w:pPr>
              <w:pStyle w:val="TableContents"/>
              <w:spacing w:before="100" w:after="100"/>
              <w:ind w:left="0" w:right="0" w:hanging="0"/>
              <w:jc w:val="both"/>
              <w:rPr>
                <w:rFonts w:ascii="Times New Roman" w:hAnsi="Times New Roman"/>
                <w:sz w:val="17"/>
              </w:rPr>
            </w:pPr>
            <w:r>
              <w:rPr>
                <w:rFonts w:ascii="Times New Roman" w:hAnsi="Times New Roman"/>
                <w:sz w:val="17"/>
              </w:rPr>
              <w:t>/s/ Andrzej Matyczynski</w:t>
            </w:r>
          </w:p>
        </w:tc>
      </w:tr>
      <w:tr>
        <w:trPr/>
        <w:tc>
          <w:tcPr>
            <w:tcW w:w="1610" w:type="dxa"/>
            <w:tcBorders/>
            <w:shd w:fill="auto" w:val="clear"/>
          </w:tcPr>
          <w:p>
            <w:pPr>
              <w:pStyle w:val="TableContents"/>
              <w:spacing w:before="100" w:after="100"/>
              <w:ind w:left="0" w:right="0" w:hanging="0"/>
              <w:jc w:val="both"/>
              <w:rPr/>
            </w:pPr>
            <w:r>
              <w:rPr/>
              <w:t> </w:t>
            </w:r>
          </w:p>
        </w:tc>
        <w:tc>
          <w:tcPr>
            <w:tcW w:w="260" w:type="dxa"/>
            <w:tcBorders/>
            <w:shd w:fill="auto" w:val="clear"/>
          </w:tcPr>
          <w:p>
            <w:pPr>
              <w:pStyle w:val="TableContents"/>
              <w:spacing w:before="100" w:after="100"/>
              <w:ind w:left="0" w:right="0" w:hanging="0"/>
              <w:jc w:val="both"/>
              <w:rPr/>
            </w:pPr>
            <w:r>
              <w:rPr/>
              <w:t> </w:t>
            </w:r>
          </w:p>
        </w:tc>
        <w:tc>
          <w:tcPr>
            <w:tcW w:w="3185" w:type="dxa"/>
            <w:tcBorders>
              <w:top w:val="single" w:sz="8" w:space="0" w:color="000000"/>
            </w:tcBorders>
            <w:shd w:fill="auto" w:val="clear"/>
            <w:tcMar>
              <w:top w:w="28" w:type="dxa"/>
            </w:tcMar>
          </w:tcPr>
          <w:p>
            <w:pPr>
              <w:pStyle w:val="TableContents"/>
              <w:spacing w:before="100" w:after="100"/>
              <w:ind w:left="0" w:right="0" w:hanging="0"/>
              <w:jc w:val="both"/>
              <w:rPr>
                <w:rFonts w:ascii="Times New Roman" w:hAnsi="Times New Roman"/>
                <w:sz w:val="17"/>
              </w:rPr>
            </w:pPr>
            <w:r>
              <w:rPr>
                <w:rFonts w:ascii="Times New Roman" w:hAnsi="Times New Roman"/>
                <w:sz w:val="17"/>
              </w:rPr>
              <w:t>Andrzej Matyczynski</w:t>
            </w:r>
          </w:p>
        </w:tc>
      </w:tr>
      <w:tr>
        <w:trPr/>
        <w:tc>
          <w:tcPr>
            <w:tcW w:w="1610" w:type="dxa"/>
            <w:tcBorders/>
            <w:shd w:fill="auto" w:val="clear"/>
          </w:tcPr>
          <w:p>
            <w:pPr>
              <w:pStyle w:val="TableContents"/>
              <w:spacing w:before="100" w:after="100"/>
              <w:ind w:left="0" w:right="0" w:hanging="0"/>
              <w:jc w:val="both"/>
              <w:rPr/>
            </w:pPr>
            <w:r>
              <w:rPr/>
              <w:t> </w:t>
            </w:r>
          </w:p>
        </w:tc>
        <w:tc>
          <w:tcPr>
            <w:tcW w:w="260" w:type="dxa"/>
            <w:tcBorders/>
            <w:shd w:fill="auto" w:val="clear"/>
          </w:tcPr>
          <w:p>
            <w:pPr>
              <w:pStyle w:val="TableContents"/>
              <w:spacing w:before="100" w:after="100"/>
              <w:ind w:left="0" w:right="0" w:hanging="0"/>
              <w:jc w:val="both"/>
              <w:rPr/>
            </w:pPr>
            <w:r>
              <w:rPr/>
              <w:t> </w:t>
            </w:r>
          </w:p>
        </w:tc>
        <w:tc>
          <w:tcPr>
            <w:tcW w:w="3185" w:type="dxa"/>
            <w:tcBorders/>
            <w:shd w:fill="auto" w:val="clear"/>
          </w:tcPr>
          <w:p>
            <w:pPr>
              <w:pStyle w:val="TableContents"/>
              <w:spacing w:before="100" w:after="100"/>
              <w:ind w:left="0" w:right="0" w:hanging="0"/>
              <w:jc w:val="both"/>
              <w:rPr>
                <w:rFonts w:ascii="Times New Roman" w:hAnsi="Times New Roman"/>
                <w:i/>
                <w:sz w:val="17"/>
              </w:rPr>
            </w:pPr>
            <w:r>
              <w:rPr>
                <w:rFonts w:ascii="Times New Roman" w:hAnsi="Times New Roman"/>
                <w:i/>
                <w:sz w:val="17"/>
              </w:rPr>
              <w:t>Chief Financial Officer and Treasurer</w:t>
            </w:r>
          </w:p>
        </w:tc>
      </w:tr>
      <w:tr>
        <w:trPr/>
        <w:tc>
          <w:tcPr>
            <w:tcW w:w="1610" w:type="dxa"/>
            <w:tcBorders/>
            <w:shd w:fill="auto" w:val="clear"/>
          </w:tcPr>
          <w:p>
            <w:pPr>
              <w:pStyle w:val="TableContents"/>
              <w:spacing w:before="100" w:after="100"/>
              <w:ind w:left="0" w:right="0" w:hanging="0"/>
              <w:jc w:val="both"/>
              <w:rPr/>
            </w:pPr>
            <w:r>
              <w:rPr/>
              <w:t> </w:t>
            </w:r>
          </w:p>
        </w:tc>
        <w:tc>
          <w:tcPr>
            <w:tcW w:w="260" w:type="dxa"/>
            <w:tcBorders/>
            <w:shd w:fill="auto" w:val="clear"/>
          </w:tcPr>
          <w:p>
            <w:pPr>
              <w:pStyle w:val="TableContents"/>
              <w:spacing w:before="100" w:after="100"/>
              <w:ind w:left="0" w:right="0" w:hanging="0"/>
              <w:jc w:val="both"/>
              <w:rPr/>
            </w:pPr>
            <w:r>
              <w:rPr/>
              <w:t> </w:t>
            </w:r>
          </w:p>
        </w:tc>
        <w:tc>
          <w:tcPr>
            <w:tcW w:w="3185" w:type="dxa"/>
            <w:tcBorders/>
            <w:shd w:fill="auto" w:val="clear"/>
          </w:tcPr>
          <w:p>
            <w:pPr>
              <w:pStyle w:val="TableContents"/>
              <w:spacing w:before="100" w:after="100"/>
              <w:ind w:left="0" w:right="0" w:hanging="0"/>
              <w:jc w:val="both"/>
              <w:rPr>
                <w:rFonts w:ascii="Times New Roman" w:hAnsi="Times New Roman"/>
                <w:i/>
                <w:sz w:val="17"/>
              </w:rPr>
            </w:pPr>
            <w:r>
              <w:rPr>
                <w:rFonts w:ascii="Times New Roman" w:hAnsi="Times New Roman"/>
                <w:i/>
                <w:sz w:val="17"/>
              </w:rPr>
              <w:t>(Principal Financial and Accounting Officer)</w:t>
            </w:r>
          </w:p>
        </w:tc>
      </w:tr>
    </w:tbl>
    <w:p>
      <w:pPr>
        <w:pStyle w:val="TextBody"/>
        <w:spacing w:before="0" w:after="0"/>
        <w:ind w:left="1440" w:right="0" w:hanging="0"/>
        <w:jc w:val="both"/>
        <w:rPr/>
      </w:pPr>
      <w:r>
        <w:rPr/>
        <w:t xml:space="preserve">  </w:t>
      </w:r>
    </w:p>
    <w:p>
      <w:pPr>
        <w:pStyle w:val="TextBody"/>
        <w:spacing w:before="100" w:after="100"/>
        <w:ind w:left="1440" w:right="0" w:hanging="0"/>
        <w:jc w:val="both"/>
        <w:rPr>
          <w:rFonts w:ascii="Courier New" w:hAnsi="Courier New"/>
          <w:sz w:val="17"/>
        </w:rPr>
      </w:pPr>
      <w:r>
        <w:rPr>
          <w:rFonts w:ascii="Times New Roman" w:hAnsi="Times New Roman"/>
          <w:b/>
          <w:sz w:val="17"/>
        </w:rPr>
        <w:t>Pursuant to the requirements of the Securities and Exchange Act of 1934, this report has been signed below by the following persons on behalf of Registrant and in the capacities and on the dates indicated.</w:t>
      </w:r>
      <w:r>
        <w:rPr>
          <w:rFonts w:ascii="Courier New" w:hAnsi="Courier New"/>
          <w:sz w:val="17"/>
        </w:rPr>
        <w:t xml:space="preserve"> </w:t>
      </w:r>
    </w:p>
    <w:tbl>
      <w:tblPr>
        <w:tblW w:w="7470" w:type="dxa"/>
        <w:jc w:val="left"/>
        <w:tblInd w:w="1440" w:type="dxa"/>
        <w:tblCellMar>
          <w:top w:w="0" w:type="dxa"/>
          <w:left w:w="0" w:type="dxa"/>
          <w:bottom w:w="0" w:type="dxa"/>
          <w:right w:w="0" w:type="dxa"/>
        </w:tblCellMar>
      </w:tblPr>
      <w:tblGrid>
        <w:gridCol w:w="1790"/>
        <w:gridCol w:w="4520"/>
        <w:gridCol w:w="1160"/>
      </w:tblGrid>
      <w:tr>
        <w:trPr/>
        <w:tc>
          <w:tcPr>
            <w:tcW w:w="1790" w:type="dxa"/>
            <w:tcBorders/>
            <w:shd w:fill="auto" w:val="clear"/>
          </w:tcPr>
          <w:p>
            <w:pPr>
              <w:pStyle w:val="TableContents"/>
              <w:spacing w:before="0" w:after="0"/>
              <w:ind w:left="0" w:right="0" w:hanging="0"/>
              <w:jc w:val="both"/>
              <w:rPr/>
            </w:pPr>
            <w:r>
              <w:rPr/>
              <w:t> </w:t>
            </w:r>
          </w:p>
        </w:tc>
        <w:tc>
          <w:tcPr>
            <w:tcW w:w="4520" w:type="dxa"/>
            <w:tcBorders/>
            <w:shd w:fill="auto" w:val="clear"/>
          </w:tcPr>
          <w:p>
            <w:pPr>
              <w:pStyle w:val="TableContents"/>
              <w:spacing w:before="0" w:after="200"/>
              <w:ind w:left="0" w:right="0" w:hanging="0"/>
              <w:jc w:val="both"/>
              <w:rPr/>
            </w:pPr>
            <w:r>
              <w:rPr/>
              <w:t> </w:t>
            </w:r>
          </w:p>
        </w:tc>
        <w:tc>
          <w:tcPr>
            <w:tcW w:w="1160" w:type="dxa"/>
            <w:tcBorders/>
            <w:shd w:fill="auto" w:val="clear"/>
          </w:tcPr>
          <w:p>
            <w:pPr>
              <w:pStyle w:val="TableContents"/>
              <w:spacing w:before="0" w:after="200"/>
              <w:ind w:left="0" w:right="0" w:hanging="0"/>
              <w:jc w:val="both"/>
              <w:rPr/>
            </w:pPr>
            <w:r>
              <w:rPr/>
              <w:t> </w:t>
            </w:r>
          </w:p>
        </w:tc>
      </w:tr>
      <w:tr>
        <w:trPr/>
        <w:tc>
          <w:tcPr>
            <w:tcW w:w="1790" w:type="dxa"/>
            <w:tcBorders/>
            <w:shd w:fill="auto" w:val="clear"/>
          </w:tcPr>
          <w:p>
            <w:pPr>
              <w:pStyle w:val="TableContents"/>
              <w:spacing w:before="0" w:after="0"/>
              <w:ind w:left="0" w:right="0" w:hanging="0"/>
              <w:jc w:val="both"/>
              <w:rPr/>
            </w:pPr>
            <w:r>
              <w:rPr/>
              <w:t> </w:t>
            </w:r>
          </w:p>
        </w:tc>
        <w:tc>
          <w:tcPr>
            <w:tcW w:w="4520" w:type="dxa"/>
            <w:tcBorders/>
            <w:shd w:fill="auto" w:val="clear"/>
          </w:tcPr>
          <w:p>
            <w:pPr>
              <w:pStyle w:val="TableContents"/>
              <w:spacing w:before="0" w:after="200"/>
              <w:ind w:left="0" w:right="0" w:hanging="0"/>
              <w:jc w:val="both"/>
              <w:rPr/>
            </w:pPr>
            <w:r>
              <w:rPr/>
              <w:t> </w:t>
            </w:r>
          </w:p>
        </w:tc>
        <w:tc>
          <w:tcPr>
            <w:tcW w:w="1160" w:type="dxa"/>
            <w:tcBorders/>
            <w:shd w:fill="auto" w:val="clear"/>
          </w:tcPr>
          <w:p>
            <w:pPr>
              <w:pStyle w:val="TableContents"/>
              <w:spacing w:before="0" w:after="200"/>
              <w:ind w:left="0" w:right="0" w:hanging="0"/>
              <w:jc w:val="both"/>
              <w:rPr/>
            </w:pPr>
            <w:r>
              <w:rPr/>
              <w:t> </w:t>
            </w:r>
          </w:p>
        </w:tc>
      </w:tr>
      <w:tr>
        <w:trPr/>
        <w:tc>
          <w:tcPr>
            <w:tcW w:w="1790" w:type="dxa"/>
            <w:tcBorders/>
            <w:shd w:fill="auto" w:val="clear"/>
            <w:vAlign w:val="bottom"/>
          </w:tcPr>
          <w:p>
            <w:pPr>
              <w:pStyle w:val="TableContents"/>
              <w:spacing w:before="100" w:after="100"/>
              <w:ind w:left="0" w:right="0" w:hanging="0"/>
              <w:jc w:val="both"/>
              <w:rPr>
                <w:b/>
                <w:sz w:val="17"/>
                <w:u w:val="single"/>
              </w:rPr>
            </w:pPr>
            <w:r>
              <w:rPr>
                <w:b/>
                <w:sz w:val="17"/>
                <w:u w:val="single"/>
              </w:rPr>
              <w:t>Signature</w:t>
            </w:r>
          </w:p>
        </w:tc>
        <w:tc>
          <w:tcPr>
            <w:tcW w:w="4520" w:type="dxa"/>
            <w:tcBorders/>
            <w:shd w:fill="auto" w:val="clear"/>
            <w:vAlign w:val="bottom"/>
          </w:tcPr>
          <w:p>
            <w:pPr>
              <w:pStyle w:val="TableContents"/>
              <w:spacing w:before="100" w:after="100"/>
              <w:ind w:left="0" w:right="0" w:hanging="0"/>
              <w:jc w:val="center"/>
              <w:rPr>
                <w:b/>
                <w:sz w:val="17"/>
                <w:u w:val="single"/>
              </w:rPr>
            </w:pPr>
            <w:r>
              <w:rPr>
                <w:b/>
                <w:sz w:val="17"/>
                <w:u w:val="single"/>
              </w:rPr>
              <w:t>Title(s)</w:t>
            </w:r>
          </w:p>
        </w:tc>
        <w:tc>
          <w:tcPr>
            <w:tcW w:w="1160" w:type="dxa"/>
            <w:tcBorders/>
            <w:shd w:fill="auto" w:val="clear"/>
            <w:vAlign w:val="bottom"/>
          </w:tcPr>
          <w:p>
            <w:pPr>
              <w:pStyle w:val="TableContents"/>
              <w:spacing w:before="100" w:after="100"/>
              <w:ind w:left="0" w:right="0" w:hanging="0"/>
              <w:jc w:val="center"/>
              <w:rPr>
                <w:b/>
                <w:sz w:val="17"/>
                <w:u w:val="single"/>
              </w:rPr>
            </w:pPr>
            <w:r>
              <w:rPr>
                <w:b/>
                <w:sz w:val="17"/>
                <w:u w:val="single"/>
              </w:rPr>
              <w:t>Date</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James J. Cotter</w:t>
            </w:r>
          </w:p>
        </w:tc>
        <w:tc>
          <w:tcPr>
            <w:tcW w:w="4520" w:type="dxa"/>
            <w:tcBorders/>
            <w:shd w:fill="auto" w:val="clear"/>
            <w:vAlign w:val="bottom"/>
          </w:tcPr>
          <w:p>
            <w:pPr>
              <w:pStyle w:val="TableContents"/>
              <w:spacing w:before="100" w:after="100"/>
              <w:ind w:left="0" w:right="0" w:hanging="0"/>
              <w:jc w:val="both"/>
              <w:rPr>
                <w:sz w:val="17"/>
              </w:rPr>
            </w:pPr>
            <w:r>
              <w:rPr>
                <w:sz w:val="17"/>
              </w:rPr>
              <w:t>Chairman of the Board and Director and Chief Executive Officer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James J. Cotter</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Andrzej Matyczynski</w:t>
            </w:r>
          </w:p>
        </w:tc>
        <w:tc>
          <w:tcPr>
            <w:tcW w:w="4520" w:type="dxa"/>
            <w:tcBorders/>
            <w:shd w:fill="auto" w:val="clear"/>
            <w:vAlign w:val="bottom"/>
          </w:tcPr>
          <w:p>
            <w:pPr>
              <w:pStyle w:val="TableContents"/>
              <w:spacing w:before="100" w:after="100"/>
              <w:ind w:left="0" w:right="0" w:hanging="0"/>
              <w:jc w:val="both"/>
              <w:rPr>
                <w:sz w:val="17"/>
              </w:rPr>
            </w:pPr>
            <w:r>
              <w:rPr>
                <w:sz w:val="17"/>
              </w:rPr>
              <w:t>Principal Financial and Accounting Officer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Andrzej Matyczynski</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James J. Cotter, Jr.</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James J. Cotter, Jr.</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Margaret Cotter</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Margaret Cotter</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William D. Gould</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William D. Gould</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Edward L. Kane</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Edward L Kane</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Douglas J. McEachern</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Douglas J. McEachern</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Tim Storey</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Tim Storey</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shd w:fill="auto" w:val="clear"/>
            <w:vAlign w:val="bottom"/>
          </w:tcPr>
          <w:p>
            <w:pPr>
              <w:pStyle w:val="TableContents"/>
              <w:spacing w:before="100" w:after="100"/>
              <w:ind w:left="0" w:right="0" w:hanging="0"/>
              <w:jc w:val="both"/>
              <w:rPr/>
            </w:pPr>
            <w:r>
              <w:rPr/>
              <w:t> </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center"/>
              <w:rPr/>
            </w:pPr>
            <w:r>
              <w:rPr/>
              <w:t> </w:t>
            </w:r>
          </w:p>
        </w:tc>
      </w:tr>
      <w:tr>
        <w:trPr/>
        <w:tc>
          <w:tcPr>
            <w:tcW w:w="1790" w:type="dxa"/>
            <w:tcBorders>
              <w:bottom w:val="single" w:sz="8" w:space="0" w:color="000000"/>
            </w:tcBorders>
            <w:shd w:fill="auto" w:val="clear"/>
            <w:tcMar>
              <w:bottom w:w="28" w:type="dxa"/>
            </w:tcMar>
            <w:vAlign w:val="bottom"/>
          </w:tcPr>
          <w:p>
            <w:pPr>
              <w:pStyle w:val="TableContents"/>
              <w:spacing w:before="100" w:after="100"/>
              <w:ind w:left="0" w:right="0" w:hanging="0"/>
              <w:jc w:val="both"/>
              <w:rPr>
                <w:sz w:val="17"/>
              </w:rPr>
            </w:pPr>
            <w:r>
              <w:rPr>
                <w:sz w:val="17"/>
              </w:rPr>
              <w:t>/s/ Alfred Villaseñor</w:t>
            </w:r>
          </w:p>
        </w:tc>
        <w:tc>
          <w:tcPr>
            <w:tcW w:w="4520" w:type="dxa"/>
            <w:tcBorders/>
            <w:shd w:fill="auto" w:val="clear"/>
            <w:vAlign w:val="bottom"/>
          </w:tcPr>
          <w:p>
            <w:pPr>
              <w:pStyle w:val="TableContents"/>
              <w:spacing w:before="100" w:after="100"/>
              <w:ind w:left="0" w:right="0" w:hanging="0"/>
              <w:jc w:val="both"/>
              <w:rPr>
                <w:sz w:val="17"/>
              </w:rPr>
            </w:pPr>
            <w:r>
              <w:rPr>
                <w:sz w:val="17"/>
              </w:rPr>
              <w:t>Director</w:t>
            </w:r>
          </w:p>
        </w:tc>
        <w:tc>
          <w:tcPr>
            <w:tcW w:w="1160" w:type="dxa"/>
            <w:tcBorders/>
            <w:shd w:fill="auto" w:val="clear"/>
            <w:vAlign w:val="bottom"/>
          </w:tcPr>
          <w:p>
            <w:pPr>
              <w:pStyle w:val="TableContents"/>
              <w:spacing w:before="100" w:after="100"/>
              <w:ind w:left="0" w:right="0" w:hanging="0"/>
              <w:jc w:val="center"/>
              <w:rPr>
                <w:sz w:val="17"/>
              </w:rPr>
            </w:pPr>
            <w:r>
              <w:rPr>
                <w:sz w:val="17"/>
              </w:rPr>
              <w:t>March 19, 2013</w:t>
            </w:r>
          </w:p>
        </w:tc>
      </w:tr>
      <w:tr>
        <w:trPr/>
        <w:tc>
          <w:tcPr>
            <w:tcW w:w="1790" w:type="dxa"/>
            <w:tcBorders>
              <w:top w:val="single" w:sz="8" w:space="0" w:color="000000"/>
            </w:tcBorders>
            <w:shd w:fill="auto" w:val="clear"/>
            <w:tcMar>
              <w:top w:w="28" w:type="dxa"/>
            </w:tcMar>
            <w:vAlign w:val="bottom"/>
          </w:tcPr>
          <w:p>
            <w:pPr>
              <w:pStyle w:val="TableContents"/>
              <w:spacing w:before="100" w:after="100"/>
              <w:ind w:left="0" w:right="0" w:hanging="0"/>
              <w:jc w:val="both"/>
              <w:rPr>
                <w:sz w:val="17"/>
              </w:rPr>
            </w:pPr>
            <w:r>
              <w:rPr>
                <w:sz w:val="17"/>
              </w:rPr>
              <w:t>Alfred Villaseñor</w:t>
            </w:r>
          </w:p>
        </w:tc>
        <w:tc>
          <w:tcPr>
            <w:tcW w:w="4520" w:type="dxa"/>
            <w:tcBorders/>
            <w:shd w:fill="auto" w:val="clear"/>
            <w:vAlign w:val="bottom"/>
          </w:tcPr>
          <w:p>
            <w:pPr>
              <w:pStyle w:val="TableContents"/>
              <w:spacing w:before="100" w:after="100"/>
              <w:ind w:left="0" w:right="0" w:hanging="0"/>
              <w:jc w:val="both"/>
              <w:rPr/>
            </w:pPr>
            <w:r>
              <w:rPr/>
              <w:t> </w:t>
            </w:r>
          </w:p>
        </w:tc>
        <w:tc>
          <w:tcPr>
            <w:tcW w:w="1160" w:type="dxa"/>
            <w:tcBorders/>
            <w:shd w:fill="auto" w:val="clear"/>
            <w:vAlign w:val="bottom"/>
          </w:tcPr>
          <w:p>
            <w:pPr>
              <w:pStyle w:val="TableContents"/>
              <w:spacing w:before="100" w:after="100"/>
              <w:ind w:left="0" w:right="0" w:hanging="0"/>
              <w:jc w:val="both"/>
              <w:rPr/>
            </w:pPr>
            <w:r>
              <w:rPr/>
              <w:t> </w:t>
            </w:r>
          </w:p>
        </w:tc>
      </w:tr>
    </w:tbl>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128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00"/>
        <w:ind w:left="1440" w:right="0" w:hanging="0"/>
        <w:jc w:val="both"/>
        <w:rPr/>
      </w:pPr>
      <w:r>
        <w:rPr/>
        <w:t xml:space="preserve">  </w:t>
      </w:r>
    </w:p>
    <w:p>
      <w:pPr>
        <w:pStyle w:val="TextBody"/>
        <w:spacing w:before="0" w:after="0"/>
        <w:ind w:left="1440" w:right="0" w:hanging="0"/>
        <w:jc w:val="both"/>
        <w:rPr/>
      </w:pPr>
      <w:r>
        <w:rPr/>
        <w:t xml:space="preserve">  </w:t>
      </w:r>
    </w:p>
    <w:p>
      <w:pPr>
        <w:pStyle w:val="TextBody"/>
        <w:spacing w:before="100" w:after="100"/>
        <w:ind w:left="1440" w:right="0" w:hanging="0"/>
        <w:jc w:val="both"/>
        <w:rPr/>
      </w:pPr>
      <w:r>
        <w:rPr/>
        <w:t xml:space="preserve">  </w:t>
      </w:r>
    </w:p>
    <w:p>
      <w:pPr>
        <w:pStyle w:val="TextBody"/>
        <w:spacing w:before="0" w:after="200"/>
        <w:ind w:left="1440" w:right="0" w:hanging="0"/>
        <w:jc w:val="both"/>
        <w:rPr/>
      </w:pPr>
      <w:r>
        <w:rPr/>
        <w:t xml:space="preserve">  </w:t>
      </w:r>
    </w:p>
    <w:p>
      <w:pPr>
        <w:pStyle w:val="TextBody"/>
        <w:spacing w:before="0" w:after="0"/>
        <w:ind w:left="1440" w:right="0" w:hanging="0"/>
        <w:jc w:val="center"/>
        <w:rPr>
          <w:sz w:val="17"/>
        </w:rPr>
      </w:pPr>
      <w:r>
        <w:rPr>
          <w:sz w:val="17"/>
        </w:rPr>
        <w:t xml:space="preserve">129 </w:t>
      </w:r>
    </w:p>
    <w:p>
      <w:pPr>
        <w:pStyle w:val="TextBody"/>
        <w:spacing w:before="0" w:after="0"/>
        <w:ind w:left="1440" w:right="0" w:hanging="0"/>
        <w:jc w:val="both"/>
        <w:rPr/>
      </w:pPr>
      <w:r>
        <w:rPr/>
        <w:t xml:space="preserve">  </w:t>
      </w:r>
    </w:p>
    <w:p>
      <w:pPr>
        <w:pStyle w:val="HorizontalLine"/>
        <w:pBdr>
          <w:bottom w:val="double" w:sz="6" w:space="0" w:color="808080"/>
        </w:pBdr>
        <w:ind w:left="1440" w:right="0" w:hanging="0"/>
        <w:rPr/>
      </w:pPr>
      <w:r>
        <w:rPr/>
      </w:r>
      <w:r>
        <w:br w:type="page"/>
      </w:r>
    </w:p>
    <w:p>
      <w:pPr>
        <w:pStyle w:val="TextBody"/>
        <w:spacing w:lineRule="auto" w:line="276" w:before="0" w:after="0"/>
        <w:ind w:left="720" w:right="720" w:hanging="0"/>
        <w:rPr/>
      </w:pPr>
      <w:bookmarkStart w:id="5" w:name="rdi-20121231ex103112c99.htm"/>
      <w:bookmarkStart w:id="6" w:name="ksrdi20121231ex103112c99"/>
      <w:bookmarkEnd w:id="5"/>
      <w:bookmarkEnd w:id="6"/>
      <w:r>
        <w:rPr/>
        <w:t xml:space="preserve">  </w:t>
      </w:r>
    </w:p>
    <w:p>
      <w:pPr>
        <w:pStyle w:val="TextBody"/>
        <w:pBdr/>
        <w:spacing w:lineRule="auto" w:line="276" w:before="0" w:after="200"/>
        <w:ind w:left="720" w:right="720" w:hanging="0"/>
        <w:rPr>
          <w:rFonts w:ascii="Times New Roman" w:hAnsi="Times New Roman"/>
          <w:b/>
          <w:sz w:val="15"/>
        </w:rPr>
      </w:pPr>
      <w:r>
        <w:rPr>
          <w:rFonts w:ascii="Times New Roman" w:hAnsi="Times New Roman"/>
          <w:b/>
          <w:sz w:val="15"/>
        </w:rPr>
        <w:t xml:space="preserve">Banc of America Leasing &amp; Capital, LLC </w:t>
      </w:r>
    </w:p>
    <w:p>
      <w:pPr>
        <w:pStyle w:val="TextBody"/>
        <w:pBdr>
          <w:bottom w:val="single" w:sz="18" w:space="1" w:color="000000"/>
        </w:pBdr>
        <w:spacing w:lineRule="auto" w:line="276" w:before="0" w:after="200"/>
        <w:ind w:left="720" w:right="720" w:hanging="0"/>
        <w:jc w:val="right"/>
        <w:rPr>
          <w:sz w:val="15"/>
        </w:rPr>
      </w:pPr>
      <w:r>
        <w:rPr>
          <w:rFonts w:ascii="Times New Roman" w:hAnsi="Times New Roman"/>
          <w:b/>
          <w:sz w:val="15"/>
        </w:rPr>
        <w:t>Master Lease Agreement Number: 24874</w:t>
      </w:r>
      <w:r>
        <w:rPr>
          <w:sz w:val="16"/>
        </w:rPr>
        <w:t>-</w:t>
      </w:r>
      <w:r>
        <w:rPr>
          <w:rFonts w:ascii="Times New Roman" w:hAnsi="Times New Roman"/>
          <w:b/>
          <w:sz w:val="15"/>
        </w:rPr>
        <w:t>90000</w:t>
      </w:r>
      <w:r>
        <w:rPr>
          <w:sz w:val="15"/>
        </w:rPr>
        <w:t xml:space="preserve"> </w:t>
      </w:r>
    </w:p>
    <w:p>
      <w:pPr>
        <w:pStyle w:val="TextBody"/>
        <w:spacing w:lineRule="auto" w:line="276" w:before="0" w:after="120"/>
        <w:ind w:left="720" w:right="720" w:hanging="0"/>
        <w:jc w:val="both"/>
        <w:rPr>
          <w:sz w:val="15"/>
        </w:rPr>
      </w:pPr>
      <w:r>
        <w:rPr>
          <w:rFonts w:ascii="Times New Roman" w:hAnsi="Times New Roman"/>
          <w:sz w:val="15"/>
        </w:rPr>
        <w:t>This Master Lease Agreement, dated as of October 26, 2012 (this “</w:t>
      </w:r>
      <w:r>
        <w:rPr>
          <w:rFonts w:ascii="Times New Roman" w:hAnsi="Times New Roman"/>
          <w:b/>
          <w:sz w:val="15"/>
        </w:rPr>
        <w:t>Agreement</w:t>
      </w:r>
      <w:r>
        <w:rPr>
          <w:sz w:val="15"/>
        </w:rPr>
        <w:t>”</w:t>
      </w:r>
      <w:r>
        <w:rPr>
          <w:rFonts w:ascii="Times New Roman" w:hAnsi="Times New Roman"/>
          <w:sz w:val="15"/>
        </w:rPr>
        <w:t xml:space="preserve">), is by and between </w:t>
      </w:r>
      <w:r>
        <w:rPr>
          <w:rFonts w:ascii="Times New Roman" w:hAnsi="Times New Roman"/>
          <w:b/>
          <w:sz w:val="15"/>
        </w:rPr>
        <w:t>Banc of America Leasing &amp; Capital, LLC</w:t>
      </w:r>
      <w:r>
        <w:rPr>
          <w:rFonts w:ascii="Times New Roman" w:hAnsi="Times New Roman"/>
          <w:sz w:val="15"/>
        </w:rPr>
        <w:t xml:space="preserve">, a Delaware limited liability company having an office at 2059 Northlake Parkway, 3 North, Tucker, GA 30084 (together with its successors and assigns, </w:t>
      </w:r>
      <w:r>
        <w:rPr>
          <w:sz w:val="15"/>
        </w:rPr>
        <w:t>“</w:t>
      </w:r>
      <w:r>
        <w:rPr>
          <w:rFonts w:ascii="Times New Roman" w:hAnsi="Times New Roman"/>
          <w:b/>
          <w:sz w:val="15"/>
        </w:rPr>
        <w:t>Lessor”</w:t>
      </w:r>
      <w:r>
        <w:rPr>
          <w:rFonts w:ascii="Times New Roman" w:hAnsi="Times New Roman"/>
          <w:sz w:val="15"/>
        </w:rPr>
        <w:t xml:space="preserve">), and </w:t>
      </w:r>
      <w:r>
        <w:rPr>
          <w:rFonts w:ascii="Times New Roman" w:hAnsi="Times New Roman"/>
          <w:b/>
          <w:sz w:val="15"/>
        </w:rPr>
        <w:t>Consolidated Cinema Services, LLC</w:t>
      </w:r>
      <w:r>
        <w:rPr>
          <w:sz w:val="15"/>
        </w:rPr>
        <w:t xml:space="preserve"> </w:t>
      </w:r>
      <w:r>
        <w:rPr>
          <w:rFonts w:ascii="Times New Roman" w:hAnsi="Times New Roman"/>
          <w:sz w:val="15"/>
        </w:rPr>
        <w:t xml:space="preserve">as </w:t>
      </w:r>
      <w:r>
        <w:rPr>
          <w:sz w:val="15"/>
        </w:rPr>
        <w:t>“</w:t>
      </w:r>
      <w:r>
        <w:rPr>
          <w:rFonts w:ascii="Times New Roman" w:hAnsi="Times New Roman"/>
          <w:b/>
          <w:sz w:val="15"/>
        </w:rPr>
        <w:t>Lessee</w:t>
      </w:r>
      <w:r>
        <w:rPr>
          <w:sz w:val="15"/>
        </w:rPr>
        <w:t>”</w:t>
      </w:r>
      <w:r>
        <w:rPr>
          <w:rFonts w:ascii="Times New Roman" w:hAnsi="Times New Roman"/>
          <w:sz w:val="15"/>
        </w:rPr>
        <w:t>, a limited liability company existing under the laws of the state of Nevada</w:t>
      </w:r>
      <w:r>
        <w:rPr>
          <w:rFonts w:ascii="Times New Roman" w:hAnsi="Times New Roman"/>
          <w:sz w:val="15"/>
          <w:u w:val="single"/>
        </w:rPr>
        <w:t>,</w:t>
      </w:r>
      <w:r>
        <w:rPr>
          <w:sz w:val="15"/>
        </w:rPr>
        <w:t xml:space="preserve"> </w:t>
      </w:r>
      <w:r>
        <w:rPr>
          <w:rFonts w:ascii="Times New Roman" w:hAnsi="Times New Roman"/>
          <w:sz w:val="15"/>
        </w:rPr>
        <w:t>and having its chief executive office and any organizational identification number as specified with its execution of this Agreement below.</w:t>
      </w:r>
      <w:r>
        <w:rPr>
          <w:sz w:val="15"/>
        </w:rPr>
        <w:t xml:space="preserve">  </w:t>
      </w:r>
      <w:r>
        <w:rPr>
          <w:rFonts w:ascii="Times New Roman" w:hAnsi="Times New Roman"/>
          <w:b/>
          <w:sz w:val="15"/>
        </w:rPr>
        <w:t>Certain defined terms used herein are identified in bold face and quotation marks throughout this Agreement and in Section 16 below.</w:t>
      </w:r>
      <w:r>
        <w:rPr>
          <w:sz w:val="15"/>
        </w:rPr>
        <w:t xml:space="preserve"> </w:t>
      </w:r>
      <w:r>
        <w:rPr>
          <w:rFonts w:ascii="Times New Roman" w:hAnsi="Times New Roman"/>
          <w:sz w:val="15"/>
        </w:rPr>
        <w:t>This Agreement sets forth the terms and conditions for the lease of Equipment between Lessor and Lessee pursuant to one or more "</w:t>
      </w:r>
      <w:r>
        <w:rPr>
          <w:rFonts w:ascii="Times New Roman" w:hAnsi="Times New Roman"/>
          <w:b/>
          <w:sz w:val="15"/>
        </w:rPr>
        <w:t>Schedules</w:t>
      </w:r>
      <w:r>
        <w:rPr>
          <w:rFonts w:ascii="Times New Roman" w:hAnsi="Times New Roman"/>
          <w:sz w:val="15"/>
        </w:rPr>
        <w:t xml:space="preserve">" incorporating by reference the terms of this Agreement, together with all exhibits, addenda, schedules, certificates, riders and other documents and instruments executed and delivered in connection with such Schedule (as amended from time to time, a </w:t>
      </w:r>
      <w:r>
        <w:rPr>
          <w:sz w:val="15"/>
        </w:rPr>
        <w:t>“</w:t>
      </w:r>
      <w:r>
        <w:rPr>
          <w:rFonts w:ascii="Times New Roman" w:hAnsi="Times New Roman"/>
          <w:b/>
          <w:sz w:val="15"/>
        </w:rPr>
        <w:t>Lease”</w:t>
      </w:r>
      <w:r>
        <w:rPr>
          <w:rFonts w:ascii="Times New Roman" w:hAnsi="Times New Roman"/>
          <w:sz w:val="15"/>
        </w:rPr>
        <w:t>). Each Lease constitutes a separate, distinct and independent lease of Equipment and contractual obligation of Lessee. This Agreement is not an agreement or commitment by Lessor or Lessee to enter into any future Leases or other agreements, or for Lessor to provide any financial accommodations to Lessee. Lessor shall not be obligated under any circumstances to advance any progress payments or other funds for any Equipment or to enter into any Lease if there shall have occurred a material adverse change in the operations, business, properties or condition, financial or otherwise, of Lessee or any Guarantor. This Agreement and each Lease shall become effective only upon Lessor’s acceptance and execution thereof at its corporate offices set forth above.</w:t>
      </w:r>
      <w:r>
        <w:rPr>
          <w:sz w:val="15"/>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1.Lease; Term; Non-Interference. </w:t>
      </w:r>
      <w:r>
        <w:rPr>
          <w:rFonts w:ascii="Times New Roman" w:hAnsi="Times New Roman"/>
          <w:sz w:val="15"/>
        </w:rPr>
        <w:t xml:space="preserve">Lessor and Lessee agree to lease Equipment described in Schedules entered into from time to time, together with all other documentation from Lessee required by Lessor with respect to such Lease. Upon receipt of any item or group of Equipment intended for Lease hereunder, Lessee shall execute a Schedule, with all information fully completed and irrevocably accepting such Equipment for Lease, and deliver such Schedule to Lessor for its review and acceptance. Provided no Event of Default has occurred, Lessee shall be entitled to use and possess the Equipment during the original Lease Term provided in the Schedule (together with any extensions or renewals thereof in accordance with terms of the Lease, the </w:t>
      </w:r>
      <w:r>
        <w:rPr>
          <w:sz w:val="15"/>
        </w:rPr>
        <w:t>“</w:t>
      </w:r>
      <w:r>
        <w:rPr>
          <w:rFonts w:ascii="Times New Roman" w:hAnsi="Times New Roman"/>
          <w:b/>
          <w:sz w:val="15"/>
        </w:rPr>
        <w:t>Lease Term”</w:t>
      </w:r>
      <w:r>
        <w:rPr>
          <w:rFonts w:ascii="Times New Roman" w:hAnsi="Times New Roman"/>
          <w:sz w:val="15"/>
        </w:rPr>
        <w:t>) free from interference by any person claiming by, through or under Lessor.</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2.Rent. </w:t>
      </w:r>
      <w:r>
        <w:rPr>
          <w:sz w:val="15"/>
        </w:rPr>
        <w:t>“</w:t>
      </w:r>
      <w:r>
        <w:rPr>
          <w:rFonts w:ascii="Times New Roman" w:hAnsi="Times New Roman"/>
          <w:b/>
          <w:sz w:val="15"/>
        </w:rPr>
        <w:t>Rent</w:t>
      </w:r>
      <w:r>
        <w:rPr>
          <w:sz w:val="15"/>
        </w:rPr>
        <w:t xml:space="preserve">” </w:t>
      </w:r>
      <w:r>
        <w:rPr>
          <w:rFonts w:ascii="Times New Roman" w:hAnsi="Times New Roman"/>
          <w:sz w:val="15"/>
        </w:rPr>
        <w:t xml:space="preserve">shall be payable to Lessor during the Lease Term in the amounts and at the times provided in the Schedule. If any Rent or other amount payable hereunder is not paid within 10 days of its due date, Lessee shall pay an administrative late charge of 5% of the amount not timely paid. All Rent and other amounts payable under a Lease shall be made in immediately available funds at Lessor’s address above or such other place in the United States as Lessor shall specify in writing. Unless otherwise provided herein, payments received under any Lease will be applied to all interest, fees and amounts owing thereunder (other than Rent), and then to Rent payable thereunder.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3.Net Lease; Disclaimer Of Warranties. </w:t>
      </w:r>
      <w:r>
        <w:rPr>
          <w:rFonts w:ascii="Times New Roman" w:hAnsi="Times New Roman"/>
          <w:sz w:val="15"/>
        </w:rPr>
        <w:t xml:space="preserve">Each Lease is a net lease and a “finance lease” under Article 2A of the UCC, and Lessee waives all rights and remedies Lessee may have under sections 2A-508 – 2A-522 thereof, including any right to cancel or repudiate any Lease or to reject or revoke acceptance of any Equipment. Upon the </w:t>
      </w:r>
      <w:r>
        <w:rPr>
          <w:sz w:val="15"/>
        </w:rPr>
        <w:t>“</w:t>
      </w:r>
      <w:r>
        <w:rPr>
          <w:rFonts w:ascii="Times New Roman" w:hAnsi="Times New Roman"/>
          <w:b/>
          <w:sz w:val="15"/>
        </w:rPr>
        <w:t>Acceptance Date”</w:t>
      </w:r>
      <w:r>
        <w:rPr>
          <w:sz w:val="15"/>
        </w:rPr>
        <w:t xml:space="preserve"> </w:t>
      </w:r>
      <w:r>
        <w:rPr>
          <w:rFonts w:ascii="Times New Roman" w:hAnsi="Times New Roman"/>
          <w:sz w:val="15"/>
        </w:rPr>
        <w:t>provided in the Schedule for each Lease, Lessee’s Obligations thereunder (i) shall be non-cancelable, absolute and unconditional under all circumstances for the entire Lease Term, (ii) shall be unaffected by the loss or destruction of any Equipment, and (iii) shall not be subject to any abatement, deferment, reduction, set-off, counterclaim, recoupment or defense</w:t>
      </w:r>
      <w:r>
        <w:rPr>
          <w:sz w:val="15"/>
        </w:rPr>
        <w:t xml:space="preserve"> </w:t>
      </w:r>
      <w:r>
        <w:rPr>
          <w:rFonts w:ascii="Times New Roman" w:hAnsi="Times New Roman"/>
          <w:sz w:val="15"/>
        </w:rPr>
        <w:t>for any reason whatsoever. LESSOR IS NOT A VENDOR OR AGENT OF THE EQUIPMENT VENDOR, AND HAS NOT ENGAGED IN THE SALE OR DISTRIBUTION OF ANY EQUIPMENT. LESSOR MAKES NO EXPRESS OR IMPLIED REPRESENTATIONS OR WARRANTIES AS TO TITLE, MERCHANTABILITY, PERFORMANCE, CONDITION, EXISTENCE, FITNESS OR SUITABILITY FOR LESSEE'S PURPOSES OF ANY EQUIPMENT, PATENT, TRADEMARK OR COPYRIGHT INFRINGEMENTS, THE CONFORMITY OF THE EQUIPMENT TO THE DESCRIPTION THEREOF IN ANY LEASE, OR ANY OTHER REPRESENTATION OR WARRANTY OF ANY KIND WITH RESPECT TO THE EQUIPMENT. If Equipment is not delivered or properly installed, does not operate as warranted, becomes obsolete, or is unsatisfactory for any reason, Lessee shall make all claims on account thereof solely against Vendor and not against Lessor. Lessee is solely responsible for the selection, shipment, delivery and installation of the Equipment and its Vendors, expressly disclaims any reliance upon any statements or representations made by Lessor in connection therewith, and has received and approved the terms of any purchase orders, warranties, licenses or agreements with respect to the Equipment. During the Lease Term, Lessee shall be entitled, on a non-exclusive basis, to enforce any applicable Vendor warranties, to the extent permitted thereby and by applicable law. Lessor assigns such warranties to Lessee, to the extent permitted thereby, and agrees to cooperate with Lessee, at Lessee’s sole cost and expense, in making any reasonable claim against such Vendor arising from any defect in the Equipment.</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4.Use; Maintenance; Location; Inspection. </w:t>
      </w:r>
      <w:r>
        <w:rPr>
          <w:rFonts w:ascii="Times New Roman" w:hAnsi="Times New Roman"/>
          <w:sz w:val="15"/>
        </w:rPr>
        <w:t xml:space="preserve">Lessee shall:  (i) use, operate, protect and maintain the Equipment (a) in good operating order, repair, condition and appearance, in the same condition as when received, ordinary wear and tear excepted, (b) consistent with prudent industry practice (but in no event less than the extent to which Lessee maintains other similar equipment in the prudent management of its assets and properties), and (c) in compliance with all applicable insurance policies, laws, ordinances, rules, regulations and manufacturer's recommended maintenance and repair procedures, and (ii) maintain comprehensive books and records regarding the use, operation, maintenance and repair of the Equipment. The Equipment shall be used only within the 48 contiguous United States or Hawaii, solely for business purposes (and not for any consumer, personal, home, or family purpose), and shall not be abandoned or used for any unlawful purpose. Lessee shall not discontinue use of any Equipment except for normal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jc w:val="both"/>
        <w:rPr>
          <w:rFonts w:ascii="Times New Roman" w:hAnsi="Times New Roman"/>
          <w:sz w:val="15"/>
        </w:rPr>
      </w:pPr>
      <w:r>
        <w:rPr>
          <w:rFonts w:ascii="Times New Roman" w:hAnsi="Times New Roman"/>
          <w:sz w:val="15"/>
        </w:rPr>
        <w:t xml:space="preserve">maintenance nor, through modifications, alterations or otherwise, impair in any material respect the current or residual value, useful life, utility or originally intended function of any Equipment without Lessor's prior consent. Any replacement or substitution of parts, improvements, upgrades, or additions to the Equipment, including without limitation lenses financed as part of the Equipment (but excluding therefrom any such lenses not so financed), that are necessary to operate the Equipment during the Lease Term or upon termination or expiration of the Lease Term (unless Lessor consents otherwise in writing) shall become the property of Lessor and subject to the Lease, except that if no Event of Default exists, Lessee may at its expense remove improvements or additions provided by Lessee that can be readily removed without impairing the value, function or remaining useful life of the Equipment. If requested by Lessor, Lessee shall cause Equipment to be plainly marked to disclose Lessor's ownership, as specified by Lessor. Except as provided in (x) Section 13 with respect to a permitted assignment or sublease, or (y) Section 10 with respect to a permitted license, Lessee shall not change the location of any Equipment specified in its Schedule without Lessor's prior written consent. Lessor shall have the right to enter any premises where Equipment is located and inspect it (together with related books and records) at any reasonable time.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5.Loss and Damage. </w:t>
      </w:r>
      <w:r>
        <w:rPr>
          <w:rFonts w:ascii="Times New Roman" w:hAnsi="Times New Roman"/>
          <w:sz w:val="15"/>
        </w:rPr>
        <w:t xml:space="preserve">Lessee assumes all risk of (and shall promptly notify Lessor in writing of any occurrence of) any damage to or loss, theft, confiscation or destruction of any Equipment from any cause whatsoever (a </w:t>
      </w:r>
      <w:r>
        <w:rPr>
          <w:sz w:val="15"/>
        </w:rPr>
        <w:t>“</w:t>
      </w:r>
      <w:r>
        <w:rPr>
          <w:rFonts w:ascii="Times New Roman" w:hAnsi="Times New Roman"/>
          <w:b/>
          <w:sz w:val="15"/>
        </w:rPr>
        <w:t>Casualty</w:t>
      </w:r>
      <w:r>
        <w:rPr>
          <w:sz w:val="15"/>
        </w:rPr>
        <w:t>”</w:t>
      </w:r>
      <w:r>
        <w:rPr>
          <w:rFonts w:ascii="Times New Roman" w:hAnsi="Times New Roman"/>
          <w:sz w:val="15"/>
        </w:rPr>
        <w:t xml:space="preserve">) from the date shipped or otherwise made available to Lessee and continuing until it is returned to and accepted by Lessor in the condition required by the Lease, including Section 8 of this Agreement. If any Equipment suffers a Casualty which Lessor and Lessee reasonably determine is reparable, Lessee shall at its expense promptly place the same in good repair, condition or working order. If any Equipment suffers a Casualty which Lessor and Lessee reasonably determine is beyond repair or materially impairs its residual value (a </w:t>
      </w:r>
      <w:r>
        <w:rPr>
          <w:sz w:val="15"/>
        </w:rPr>
        <w:t>“</w:t>
      </w:r>
      <w:r>
        <w:rPr>
          <w:rFonts w:ascii="Times New Roman" w:hAnsi="Times New Roman"/>
          <w:b/>
          <w:sz w:val="15"/>
        </w:rPr>
        <w:t>Total Loss</w:t>
      </w:r>
      <w:r>
        <w:rPr>
          <w:sz w:val="15"/>
        </w:rPr>
        <w:t>”</w:t>
      </w:r>
      <w:r>
        <w:rPr>
          <w:rFonts w:ascii="Times New Roman" w:hAnsi="Times New Roman"/>
          <w:sz w:val="15"/>
        </w:rPr>
        <w:t xml:space="preserve">), Lessee shall at Lessor’s option either (a) promptly replace such Equipment with a similar item reasonably acceptable to Lessor having an equivalent value, utility and remaining useful life of such Equipment, whereupon such replacement items shall constitute Equipment for all purposes the Lease, or (b) on the Rent payment date following such Casualty (or, if none, within 30 days) pay Lessor the Stipulated Loss Value for such Equipment, together with all Rent scheduled for payment on such date, and all accrued interest, late charges and other amounts then due and owing under the Lease. Upon such payment following a Total Loss, the Lease with respect to the Equipment suffering a Total Loss shall terminate, and Lessor shall transfer all of its right, title and interest in such Equipment, free from all liens and encumbrances created by Lessor, but otherwise on an “AS-IS, WHERE-IS,” quitclaim basis. If less than all Equipment under a Schedule suffers a Total Loss, (i) the Stipulated Loss Value with respect to any such item of Equipment shall be calculated by reference to the allocable portion of </w:t>
      </w:r>
      <w:r>
        <w:rPr>
          <w:sz w:val="15"/>
        </w:rPr>
        <w:t>“</w:t>
      </w:r>
      <w:r>
        <w:rPr>
          <w:rFonts w:ascii="Times New Roman" w:hAnsi="Times New Roman"/>
          <w:b/>
          <w:sz w:val="15"/>
        </w:rPr>
        <w:t>Lessor’s Cost”</w:t>
      </w:r>
      <w:r>
        <w:rPr>
          <w:sz w:val="15"/>
        </w:rPr>
        <w:t xml:space="preserve"> </w:t>
      </w:r>
      <w:r>
        <w:rPr>
          <w:rFonts w:ascii="Times New Roman" w:hAnsi="Times New Roman"/>
          <w:sz w:val="15"/>
        </w:rPr>
        <w:t>provided in the applicable Schedule, Rent or other amount related to such item, as reasonably determined by Lessor, and (ii) the remaining Rent under the Schedule shall be proportionately reduced as reasonably calculated by Lessor upon Lessor’s receipt of the payments described above.</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6.Insurance. </w:t>
      </w:r>
      <w:r>
        <w:rPr>
          <w:rFonts w:ascii="Times New Roman" w:hAnsi="Times New Roman"/>
          <w:sz w:val="15"/>
        </w:rPr>
        <w:t xml:space="preserve">Lessee, at its own expense, shall keep each item of Equipment insured against all risks for its replacement value, and in no event less than its Stipulated Loss Value, and shall maintain general liability insurance against such risks and for such amounts as Lessor may require. All such insurance shall (a) be with companies rated “A-” or better by A.M. Best Company, in such form as Lessor shall approve, (b) specify Lessor and Lessee as insureds and provide that it may not be canceled or altered in any way that would affect the interest of Lessor without at least 30 days' prior written notice to Lessor (10 days' in the case of nonpayment of premium), (c) be primary, without right of contribution from any other insurance carried by Lessor and contain waiver of subrogation and “breach of warranty” provisions satisfactory to Lessor, (d) provide that all amounts payable by reason of loss or damage to Equipment shall be payable solely to Lessor, unless Lessor otherwise agrees, and (e) contain such other endorsements as Lessor may reasonably require. Lessee shall provide Lessor with evidence satisfactory to Lessor of the required insurance upon the execution of any Schedule and promptly upon any renewal of any required policy.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7.Indemnities; Taxes. </w:t>
      </w:r>
      <w:r>
        <w:rPr>
          <w:rFonts w:ascii="Times New Roman" w:hAnsi="Times New Roman"/>
          <w:sz w:val="15"/>
        </w:rPr>
        <w:t>Lessee's indemnity and reimbursement obligations set forth below shall survive the cancellation, termination or expiration of any Lease or this Agreement.</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 xml:space="preserve">(a) </w:t>
      </w:r>
      <w:r>
        <w:rPr>
          <w:rFonts w:ascii="Times New Roman" w:hAnsi="Times New Roman"/>
          <w:sz w:val="15"/>
          <w:u w:val="single"/>
        </w:rPr>
        <w:t>General Indemnity</w:t>
      </w:r>
      <w:r>
        <w:rPr>
          <w:rFonts w:ascii="Times New Roman" w:hAnsi="Times New Roman"/>
          <w:sz w:val="15"/>
        </w:rPr>
        <w:t>. Lessee shall indemnify, on an after-tax basis, defend and hold harmless Lessor and its Affiliates and their respective officers, directors, employees, agents acting in their capacities as representatives of Lessor or such Affiliates (</w:t>
      </w:r>
      <w:r>
        <w:rPr>
          <w:sz w:val="15"/>
        </w:rPr>
        <w:t>“</w:t>
      </w:r>
      <w:r>
        <w:rPr>
          <w:rFonts w:ascii="Times New Roman" w:hAnsi="Times New Roman"/>
          <w:b/>
          <w:sz w:val="15"/>
        </w:rPr>
        <w:t>Indemnified Persons</w:t>
      </w:r>
      <w:r>
        <w:rPr>
          <w:sz w:val="15"/>
        </w:rPr>
        <w:t>”</w:t>
      </w:r>
      <w:r>
        <w:rPr>
          <w:rFonts w:ascii="Times New Roman" w:hAnsi="Times New Roman"/>
          <w:sz w:val="15"/>
        </w:rPr>
        <w:t xml:space="preserve">) against all claims, liabilities, losses and expenses whatsoever (except those determined by final decision of a court of competent jurisdiction to have been directly and primarily caused by the Indemnified Person's gross negligence or willful misconduct), including court costs and reasonable attorneys' fees and expenses (together, </w:t>
      </w:r>
      <w:r>
        <w:rPr>
          <w:sz w:val="15"/>
        </w:rPr>
        <w:t>“</w:t>
      </w:r>
      <w:r>
        <w:rPr>
          <w:rFonts w:ascii="Times New Roman" w:hAnsi="Times New Roman"/>
          <w:b/>
          <w:sz w:val="15"/>
        </w:rPr>
        <w:t>Attorneys’ Fees</w:t>
      </w:r>
      <w:r>
        <w:rPr>
          <w:sz w:val="15"/>
        </w:rPr>
        <w:t>”</w:t>
      </w:r>
      <w:r>
        <w:rPr>
          <w:rFonts w:ascii="Times New Roman" w:hAnsi="Times New Roman"/>
          <w:sz w:val="15"/>
        </w:rPr>
        <w:t>), in any way relating to or arising out of the Equipment or any Lease at any time, or the ordering, acquisition, rejection, installation, possession, maintenance, use, ownership, condition, destruction or return of the Equipment, including any claims based in negligence, strict liability in tort, environmental liability or infringement.</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 xml:space="preserve">(b) </w:t>
      </w:r>
      <w:r>
        <w:rPr>
          <w:rFonts w:ascii="Times New Roman" w:hAnsi="Times New Roman"/>
          <w:sz w:val="15"/>
          <w:u w:val="single"/>
        </w:rPr>
        <w:t>General Tax Indemnity</w:t>
      </w:r>
      <w:r>
        <w:rPr>
          <w:rFonts w:ascii="Times New Roman" w:hAnsi="Times New Roman"/>
          <w:sz w:val="15"/>
        </w:rPr>
        <w:t>. Lessee shall pay or reimburse Lessor, and indemnify, defend and hold Lessor harmless from, on an after-tax basis, all taxes, assessments, fees and other governmental charges paid or required to be paid by Lessor or Lessee in any way arising out of or related to the Equipment or any Lease before or during the Lease Term or after the Lease Term following an Event of Default (but only to the extent that the Equipment remains in the possession of the Lessee after such Event of Default), including foreign, Federal, state, county and municipal fees, taxes and assessments, and property, value-added, sales, use, gross receipts, excise, stamp and documentary taxes, and all related penalties, fines, additions to tax and interest charges (</w:t>
      </w:r>
      <w:r>
        <w:rPr>
          <w:sz w:val="15"/>
        </w:rPr>
        <w:t>“</w:t>
      </w:r>
      <w:r>
        <w:rPr>
          <w:rFonts w:ascii="Times New Roman" w:hAnsi="Times New Roman"/>
          <w:b/>
          <w:sz w:val="15"/>
        </w:rPr>
        <w:t>Impositions</w:t>
      </w:r>
      <w:r>
        <w:rPr>
          <w:sz w:val="15"/>
        </w:rPr>
        <w:t>”</w:t>
      </w:r>
      <w:r>
        <w:rPr>
          <w:rFonts w:ascii="Times New Roman" w:hAnsi="Times New Roman"/>
          <w:sz w:val="15"/>
        </w:rPr>
        <w:t xml:space="preserve">), excluding only Federal and state taxes based on Lessor's net income and overall gross income and any franchise taxes and taxes imposed in lieu of such taxes,  unless such taxes are in lieu of any Imposition Lessee would otherwise be required to pay hereunder. Lessee shall timely pay any Imposition for which Lessee is primarily responsible under law and any other Imposition not payable or not paid by Lessor,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60" w:after="200"/>
        <w:ind w:left="720" w:right="720" w:hanging="0"/>
        <w:jc w:val="both"/>
        <w:rPr>
          <w:sz w:val="15"/>
        </w:rPr>
      </w:pPr>
      <w:r>
        <w:rPr>
          <w:rFonts w:ascii="Times New Roman" w:hAnsi="Times New Roman"/>
          <w:sz w:val="15"/>
        </w:rPr>
        <w:t>but Lessee shall have no obligation to pay any Imposition being contested in good faith and by appropriate legal proceedings, the nonpayment of which does not, in the good faith and reasonable opinion of Lessor, result in a material risk of adverse effect on the title, property, use, disposition or other rights of Lessor with respect to the Equipment. Upon Lessor's request, Lessee shall furnish proof of its payment of any Imposition.</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 xml:space="preserve">(c) </w:t>
      </w:r>
      <w:r>
        <w:rPr>
          <w:rFonts w:ascii="Times New Roman" w:hAnsi="Times New Roman"/>
          <w:sz w:val="15"/>
          <w:u w:val="single"/>
        </w:rPr>
        <w:t>Income Tax Indemnity</w:t>
      </w:r>
      <w:r>
        <w:rPr>
          <w:rFonts w:ascii="Times New Roman" w:hAnsi="Times New Roman"/>
          <w:sz w:val="15"/>
        </w:rPr>
        <w:t xml:space="preserve">. Lessor shall be treated for federal and state income tax purposes as the owner of the Equipment and shall be entitled to take into account certain Tax Benefits in computing its income tax liabilities in connection with any Lease. If Lessor suffers a Tax Loss that would not have been but for an act or failure to act by Lessee, or Lessee’s breach in any material respect of any representation, warranty or agreement in any Lease then, upon Lessor's demand and at Lessor's option, either: (i) all further Rent under the Lease, if any, shall be increased by an amount, or (ii) Lessee shall pay Lessor a lump sum amount, </w:t>
      </w:r>
      <w:r>
        <w:rPr>
          <w:rFonts w:ascii="Times New Roman" w:hAnsi="Times New Roman"/>
          <w:sz w:val="15"/>
          <w:u w:val="single"/>
        </w:rPr>
        <w:t>which in either case</w:t>
      </w:r>
      <w:r>
        <w:rPr>
          <w:sz w:val="15"/>
        </w:rPr>
        <w:t xml:space="preserve"> </w:t>
      </w:r>
      <w:r>
        <w:rPr>
          <w:rFonts w:ascii="Times New Roman" w:hAnsi="Times New Roman"/>
          <w:sz w:val="15"/>
        </w:rPr>
        <w:t>shall maintain the net economic after-tax yield, cash-flow and rate of return Lessor originally anticipated, based on Lessor’s federal and state corporate income tax rate in effect on the Acceptance Date of the applicable Schedule and other assumptions originally used by Lessor in evaluating the transaction (so long as such assumptions were reasonable when made and consistently applied  when evaluating all similarly situated transactions) and setting the Rent therefor and other terms thereof. Lessee shall also pay Lessor on demand all interest, costs (including Attorneys’ Fees), penalties and additions to tax associated with the Tax Loss. Lessor shall have no obligation to contest any Tax Loss. All references to “</w:t>
      </w:r>
      <w:r>
        <w:rPr>
          <w:rFonts w:ascii="Times New Roman" w:hAnsi="Times New Roman"/>
          <w:b/>
          <w:sz w:val="15"/>
        </w:rPr>
        <w:t>Lessor</w:t>
      </w:r>
      <w:r>
        <w:rPr>
          <w:sz w:val="15"/>
        </w:rPr>
        <w:t xml:space="preserve">” </w:t>
      </w:r>
      <w:r>
        <w:rPr>
          <w:rFonts w:ascii="Times New Roman" w:hAnsi="Times New Roman"/>
          <w:sz w:val="15"/>
        </w:rPr>
        <w:t>in this Section 7(c) shall include (A) Lessor's successors and Assignees, and (B) each member of the affiliated group of corporations, as defined in Section 1504(a) of the Code, of which Lessor or such successor or Assignee is at any time a member.  As used herein:</w:t>
      </w:r>
      <w:r>
        <w:rPr>
          <w:sz w:val="15"/>
        </w:rPr>
        <w:t xml:space="preserve"> “</w:t>
      </w:r>
      <w:r>
        <w:rPr>
          <w:rFonts w:ascii="Times New Roman" w:hAnsi="Times New Roman"/>
          <w:b/>
          <w:sz w:val="15"/>
        </w:rPr>
        <w:t>Tax Benefits”</w:t>
      </w:r>
      <w:r>
        <w:rPr>
          <w:sz w:val="15"/>
        </w:rPr>
        <w:t xml:space="preserve"> </w:t>
      </w:r>
      <w:r>
        <w:rPr>
          <w:rFonts w:ascii="Times New Roman" w:hAnsi="Times New Roman"/>
          <w:sz w:val="15"/>
        </w:rPr>
        <w:t xml:space="preserve">means all items of income, deduction (including depreciation consistent with Lessee's representation in the applicable Schedule), credit, gain or loss relating to ownership of the Equipment as are provided to owners of similar equipment under the Code and applicable state tax laws in effect on the Acceptance Date of such Schedule; and </w:t>
      </w:r>
      <w:r>
        <w:rPr>
          <w:sz w:val="15"/>
        </w:rPr>
        <w:t>“</w:t>
      </w:r>
      <w:r>
        <w:rPr>
          <w:rFonts w:ascii="Times New Roman" w:hAnsi="Times New Roman"/>
          <w:b/>
          <w:sz w:val="15"/>
        </w:rPr>
        <w:t>Tax Loss”</w:t>
      </w:r>
      <w:r>
        <w:rPr>
          <w:sz w:val="15"/>
        </w:rPr>
        <w:t xml:space="preserve"> </w:t>
      </w:r>
      <w:r>
        <w:rPr>
          <w:rFonts w:ascii="Times New Roman" w:hAnsi="Times New Roman"/>
          <w:sz w:val="15"/>
        </w:rPr>
        <w:t xml:space="preserve">means and will be deemed to be suffered if Lessor loses, is delayed in claiming, is required to recapture, is not allowed or may not claim all or any portion of any Tax Benefits, </w:t>
      </w:r>
      <w:r>
        <w:rPr>
          <w:rFonts w:ascii="Times New Roman" w:hAnsi="Times New Roman"/>
          <w:sz w:val="15"/>
          <w:u w:val="single"/>
        </w:rPr>
        <w:t>provided, however</w:t>
      </w:r>
      <w:r>
        <w:rPr>
          <w:rFonts w:ascii="Times New Roman" w:hAnsi="Times New Roman"/>
          <w:sz w:val="15"/>
        </w:rPr>
        <w:t>, that Lessee shall be under no obligation to make any payments with respect to a Tax Loss to the extent that it (1) is caused by Lessor's failure to have sufficient taxable income to benefit from any Tax Benefits or its failure to timely and properly claim the Tax Benefits, or (2) results from any disposition of Equipment by Lessor other than a disposition of Equipment following an Event of Default.</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8.Return.</w:t>
      </w:r>
      <w:r>
        <w:rPr>
          <w:sz w:val="15"/>
        </w:rPr>
        <w:t xml:space="preserve"> </w:t>
      </w:r>
      <w:r>
        <w:rPr>
          <w:rFonts w:ascii="Times New Roman" w:hAnsi="Times New Roman"/>
          <w:sz w:val="15"/>
        </w:rPr>
        <w:t>Upon any cancellation, termination or expiration of any Lease (after the occurrence of an Event of Default or otherwise), Lessee shall, at its expense, cause the Equipment to be prepared and adequately protected for shipment by an authorized manufacturer’s representative and either surrender it to Lessor in place or, if instructed by Lessor, ship the Equipment to Lessor, freight and insurance pre-paid, to a place designated by Lessor within the 48 contiguous United States, or in the case of Equipment located in the State of Hawaii, to a location on the West Coast of the continental United States within 500 miles of the port of return, in the condition required under Section 4 hereof and under the applicable Schedule, able to be put into immediate service and to perform at manufacturer's rated levels (if any), together with all related manuals, documents and records, and, if applicable, reassembled by an authorized manufacturer’s representative and immediately qualified for the manufacturer’s (or its authorized servicing representative’s) then available service contract or warranty. Upon its return, each item of Equipment shall have installed an operable lens, whether it is the lens originally financed and maintained as required hereunder or a lens of equal or greater value, utility and useful life. If requested by Lessor, Lessee shall, at its expense: (i) cause the Equipment to qualify for all applicable licenses or permits necessary for its operation and for its intended purpose, and to comply with all specifications and requirements of applicable federal, state and local laws, regulations and ordinances; (ii) provide safe, suitable storage, reasonably acceptable to Lessor, for the Equipment for a period not to exceed 90 days from the date of return; and (iii) cooperate with Lessor in attempting to remarket the Equipment, including display and demonstration to prospective parties (but excluding any obligation to permit a private sale of the Equipment at any relevant location).  If Lessee does not surrender or return any item of Equipment to Lessor on the date or in the condition required under a Lease, in addition to all other available rights and remedies, at Lessor's election, such Equipment shall continue to be subject to all the terms and conditions of the Lease, with Rent and other charges continuing to accrue and be payable under the Lease with respect to such Equipment until it is so surrendered or returned to Lessor, except that Rent shall accrue at 125% of the last Rent allocable to such item of Equipment (as reasonably calculated by Lessor) during the Lease Term, payable on demand.</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9.Lessee Representations and Agreements. </w:t>
      </w:r>
      <w:r>
        <w:rPr>
          <w:rFonts w:ascii="Times New Roman" w:hAnsi="Times New Roman"/>
          <w:sz w:val="15"/>
        </w:rPr>
        <w:t>Lessee represents, warrants and agrees that: (a) Lessee operates and does business under the legal name listed in the first paragraph of this Agreement,  and is duly organized and validly existing in the form of business organization described above; (b) Lessee’s chief executive office and notice address, taxpayer identification number and any organizational identification number is as described with its execution of this Agreement below; (c) Lessee shall notify Lessor in writing at least 30 days before changing its legal name, state of organization, chief executive office location or organizational identification number; (d) Lessee is duly organized and existing in good standing under the laws of the state described above and all other jurisdictions where legally required in order to carry on its business, shall maintain its good standing in all such jurisdictions, and shall conduct its businesses and manage its properties in compliance with all applicable laws, rules or regulations binding on Lessee; (e) the execution, delivery and performance of this Agreement, each Lease and Related Agreement to which it is a party has been duly authorized by Lessee, each of which are and will be binding on and enforceable against Lessee in accordance with their terms, and do not and will not contravene any other instrument or agreement binding on Lessee; and (f) there is no pending litigation, tax or environmental claim, proceeding, dispute or regulatory or enforcement action against Lessee or any of its Affiliates (and Lessee shall promptly notify Lessor of any of the same that may hereafter arise) that may adversely affect any Equipment or Lessee's financial condition or impair its ability to perform its Obligations.</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10.Title; Property; Additional Security. </w:t>
      </w:r>
      <w:r>
        <w:rPr>
          <w:rFonts w:ascii="Times New Roman" w:hAnsi="Times New Roman"/>
          <w:sz w:val="15"/>
        </w:rPr>
        <w:t xml:space="preserve">(a) </w:t>
      </w:r>
      <w:r>
        <w:rPr>
          <w:rFonts w:ascii="Times New Roman" w:hAnsi="Times New Roman"/>
          <w:sz w:val="15"/>
          <w:u w:val="single"/>
        </w:rPr>
        <w:t>Title; Personal Property</w:t>
      </w:r>
      <w:r>
        <w:rPr>
          <w:rFonts w:ascii="Times New Roman" w:hAnsi="Times New Roman"/>
          <w:sz w:val="15"/>
        </w:rPr>
        <w:t xml:space="preserve">. Each Lease is and is intended to be a lease of personal property for all purposes. Lessee does not acquire any right, title or interest in or to any Equipment, except the right to use and possess the same under the terms of the applicable Lease. Except as specifically provided herein or in the applicable Schedule, Lessee has no right or option to extend the Lease Term of a Lease or purchase any Equipment. Lessee assigns all of its rights (but none of its obligations) to Lessor under any purchase orders, invoices or other contracts of sale with respect to the Equipment, and conveys whatever right, title and interest it may now or hereafter have in any Equipment to Lessor. Lessor shall be the sole owner of Equipment free and clear of all liens or encumbrances, other than Lessee’s rights under the Lease. Lessee will not create or permit to exist any lien, security interest, charge or encumbrance on any Equipment except those created by Lessor. The Equipment shall remain personal property at all times, notwithstanding the manner in which it may be affixed to realty. Lessee shall obtain and record such instruments and take such steps as may be necessary to (i) prevent any creditor, landlord, mortgagee or other entity (other than Lessor) from having any lien, charge, security interest or encumbrance on any Equipment, and (ii) ensure Lessor's right of access to and removal of Equipment in accordance with the Lease. Notwithstanding the foregoing, Lessee shall have the right to license the Equipment to its Affiliates, and shall have the right to allow licensees to use the Equipment on third-party premises, </w:t>
      </w:r>
      <w:r>
        <w:rPr>
          <w:rFonts w:ascii="Times New Roman" w:hAnsi="Times New Roman"/>
          <w:sz w:val="15"/>
          <w:u w:val="single"/>
        </w:rPr>
        <w:t>provided that</w:t>
      </w:r>
      <w:r>
        <w:rPr>
          <w:sz w:val="15"/>
        </w:rPr>
        <w:t xml:space="preserve"> </w:t>
      </w:r>
      <w:r>
        <w:rPr>
          <w:rFonts w:ascii="Times New Roman" w:hAnsi="Times New Roman"/>
          <w:sz w:val="15"/>
        </w:rPr>
        <w:t>such license agreements are in form and substance reasonably acceptable to Lessor, and Lessee obtains from the owners and landlords of such premises a consent to installation and waiver in form and substance reasonably acceptable to Lessor.</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 xml:space="preserve">(b) </w:t>
      </w:r>
      <w:r>
        <w:rPr>
          <w:rFonts w:ascii="Times New Roman" w:hAnsi="Times New Roman"/>
          <w:sz w:val="15"/>
          <w:u w:val="single"/>
        </w:rPr>
        <w:t>Additional Security</w:t>
      </w:r>
      <w:r>
        <w:rPr>
          <w:rFonts w:ascii="Times New Roman" w:hAnsi="Times New Roman"/>
          <w:sz w:val="15"/>
        </w:rPr>
        <w:t xml:space="preserve">. To secure the punctual payment and performance of Lessee’s Obligations under each Lease and, as a separate grant of security, to secure the payment and performance of all other Obligations owing to Lessor, Lessee grants to Lessor a continuing security interest in the Collateral,  </w:t>
      </w:r>
      <w:r>
        <w:rPr>
          <w:rFonts w:ascii="Times New Roman" w:hAnsi="Times New Roman"/>
          <w:sz w:val="15"/>
          <w:u w:val="single"/>
        </w:rPr>
        <w:t>provided, however</w:t>
      </w:r>
      <w:r>
        <w:rPr>
          <w:rFonts w:ascii="Times New Roman" w:hAnsi="Times New Roman"/>
          <w:sz w:val="15"/>
        </w:rPr>
        <w:t xml:space="preserve">, that if there then exists no Event of Default, Lessor’s security interest in Collateral subject to a Lease shall terminate upon the payment and performance of all Obligations of Lessee under the applicable Lease. Notwithstanding the grant of a security interest in any Collateral, Lessee shall have no right to sell, lease, rent, dispose or surrender possession, use or operation of any Equipment to any third parties without the prior written consent of Lessor except as permitted by Sections 10(a) or 13 hereof. The foregoing grant of a security interest shall not of itself be a factor in determining whether any Lease creates a lease or security interest in the Equipment under applicable provisions of the UCC.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11.Default. </w:t>
      </w:r>
      <w:r>
        <w:rPr>
          <w:rFonts w:ascii="Times New Roman" w:hAnsi="Times New Roman"/>
          <w:sz w:val="15"/>
        </w:rPr>
        <w:t>Each of the following (a “</w:t>
      </w:r>
      <w:r>
        <w:rPr>
          <w:rFonts w:ascii="Times New Roman" w:hAnsi="Times New Roman"/>
          <w:b/>
          <w:sz w:val="15"/>
        </w:rPr>
        <w:t>Default</w:t>
      </w:r>
      <w:r>
        <w:rPr>
          <w:sz w:val="15"/>
        </w:rPr>
        <w:t>”</w:t>
      </w:r>
      <w:r>
        <w:rPr>
          <w:rFonts w:ascii="Times New Roman" w:hAnsi="Times New Roman"/>
          <w:sz w:val="15"/>
        </w:rPr>
        <w:t>) shall, with the giving of any notice or passage of any time period specified, constitute an "</w:t>
      </w:r>
      <w:r>
        <w:rPr>
          <w:rFonts w:ascii="Times New Roman" w:hAnsi="Times New Roman"/>
          <w:b/>
          <w:sz w:val="15"/>
        </w:rPr>
        <w:t>Event of Default</w:t>
      </w:r>
      <w:r>
        <w:rPr>
          <w:rFonts w:ascii="Times New Roman" w:hAnsi="Times New Roman"/>
          <w:sz w:val="15"/>
        </w:rPr>
        <w:t>" hereunder and under all Leases:</w:t>
      </w:r>
      <w:r>
        <w:rPr>
          <w:sz w:val="15"/>
        </w:rPr>
        <w:t> </w:t>
      </w:r>
      <w:r>
        <w:rPr>
          <w:rFonts w:ascii="Times New Roman" w:hAnsi="Times New Roman"/>
          <w:sz w:val="15"/>
        </w:rPr>
        <w:t>(1) Lessee fails to pay any Rent or other amount owing under any Lease within 10 days of its due date; (2) Lessee fails to maintain insurance as required herein, or sells, leases, subleases, assigns, conveys, or suffers to exist any lien, charge, security interest or encumbrance on, any Equipment without Lessor's prior consent unless the sublease or assignment is permitted by Sections 10(a) or 13 hereof, or any Equipment is subjected to levy, seizure or attachment; (3) Lessee fails to perform or comply with any other covenant or obligation under any Lease or Related Agreement</w:t>
      </w:r>
      <w:r>
        <w:rPr>
          <w:sz w:val="15"/>
        </w:rPr>
        <w:t xml:space="preserve"> </w:t>
      </w:r>
      <w:r>
        <w:rPr>
          <w:rFonts w:ascii="Times New Roman" w:hAnsi="Times New Roman"/>
          <w:sz w:val="15"/>
        </w:rPr>
        <w:t>and, if curable, such failure continues for 30 days after written notice thereof by Lessor to Lessee; provided that such 30-day period may be extended with Lessor’s consent if Lessee is diligently pursuing cure of such default and completes such cure within 60 days after written notice thereof by Lessor to Lessee; (4) any representation, warranty or other written statement made to Lessor by Lessee in connection with this Agreement, any Lease, Related Agreement or other Obligation, or by any Guarantor</w:t>
      </w:r>
      <w:r>
        <w:rPr>
          <w:sz w:val="15"/>
        </w:rPr>
        <w:t xml:space="preserve"> </w:t>
      </w:r>
      <w:r>
        <w:rPr>
          <w:rFonts w:ascii="Times New Roman" w:hAnsi="Times New Roman"/>
          <w:sz w:val="15"/>
        </w:rPr>
        <w:t xml:space="preserve">pursuant to any Guaranty (including financial statements) proves to have been incorrect in any material respect when made; (5) Lessee (w) enters into any merger or consolidation with, or sells or transfers all or any substantial portion of its assets to, or enters into any partnership or joint venture other than (A) in the ordinary course of business with, any entity, (B) </w:t>
      </w:r>
      <w:bookmarkStart w:id="7" w:name="OLE_LINK11"/>
      <w:bookmarkStart w:id="8" w:name="OLE_LINK21"/>
      <w:bookmarkEnd w:id="7"/>
      <w:bookmarkEnd w:id="8"/>
      <w:r>
        <w:rPr>
          <w:rFonts w:ascii="Times New Roman" w:hAnsi="Times New Roman"/>
          <w:sz w:val="15"/>
        </w:rPr>
        <w:t>in a transaction that would not otherwise result in a default under any of the incorporated covenants described in Section 15 hereof,</w:t>
      </w:r>
      <w:r>
        <w:rPr>
          <w:sz w:val="15"/>
        </w:rPr>
        <w:t xml:space="preserve"> </w:t>
      </w:r>
      <w:r>
        <w:rPr>
          <w:rFonts w:ascii="Times New Roman" w:hAnsi="Times New Roman"/>
          <w:sz w:val="15"/>
        </w:rPr>
        <w:t xml:space="preserve">(x) dissolves, liquidates or ceases or suspends the conduct of business, or ceases to maintain its existence, in each case in a transaction that would not otherwise result in a default under any of the incorporated covenants described in Section 15 hereof, or (y) enters into or suffers any transaction or series of transactions as a result of which Lessee is no longer directly or indirectly controlled by Parent; (6) Lessee undertakes any general assignment for the benefit of creditors or commences any voluntary case or proceeding for relief under the federal bankruptcy code, or any other law for the relief of debtors, or takes any action to authorize or implement any of the foregoing; (7) the filing of any petition or application against Lessee under any law for the relief of debtors, including proceedings under the federal bankruptcy code, or for the subjection of property of Lessee to the control of any court, receiver or agency for the benefit of creditors if such petition or application is consented to by Lessee or is otherwise not dismissed within 60 days from the date of filing; (8) any default occurs under any other lease, credit or other agreement or instrument to which Lessee and Lessor or any Affiliate of Lessor are now or hereafter party (each, an “Affiliate Obligation”); (9) any default by Lessee occurs under any other agreement or instrument to which Lessee is a party and under which there is outstanding, owing or committed an aggregate amount greater than $100,000; (10) any attempted repudiation, breach or default of any Guaranty; or (11) the occurrence of any event described in clauses (4) through (9) above with reference to any Guarantor or any controlling shareholder, general partner or member of Lessee.  Lessee shall promptly notify Lessor in writing of any Default or Event of Default. As reflected in Section 15 hereof, any cure or waiver of any default under an Affiliate Obligation that has caused a default hereunder shall automatically cure, or result in a waiver of, such corresponding default hereunder.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12.Remedies</w:t>
      </w:r>
      <w:r>
        <w:rPr>
          <w:rFonts w:ascii="Times New Roman" w:hAnsi="Times New Roman"/>
          <w:sz w:val="15"/>
        </w:rPr>
        <w:t xml:space="preserve">. (a) Upon the occurrence of an Event of Default, Lessor may, in its discretion, exercise any one or more of the following remedies with respect to any or all Leases or Equipment: (1) cause Lessee to promptly discontinue use of or disable any Equipment, or to assemble and return any Equipment or other Collateral in accordance with the terms of the applicable Lease; (2) remedy such Event of Default or proceed by court action, either at law or in equity, to enforce performance of the applicable provisions of any Lease; (3) with or without court order, enter upon the premises where Equipment is located and repossess and remove the same, all without liability for damage to such premises or by reason such entry or repossession, except for Lessor's gross negligence or willful misconduct; (4) dispose of any Equipment in a public or private transaction, or hold, use, operate or keep idle the Equipment, free and clear of any rights or interests of Lessee therein; (5) recover direct, incidental, consequential and other damages for the breach of any Lease, including the payment of all Rent and other amounts payable thereunder (discounted at the Discount Rate with respect to any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jc w:val="both"/>
        <w:rPr>
          <w:sz w:val="15"/>
        </w:rPr>
      </w:pPr>
      <w:r>
        <w:rPr>
          <w:rFonts w:ascii="Times New Roman" w:hAnsi="Times New Roman"/>
          <w:sz w:val="15"/>
        </w:rPr>
        <w:t>accelerated future amounts), and all costs and expenses incurred by Lessor in exercising its remedies or enforcing its rights thereunder (including all Attorneys’ Fees); (6) by written notice to Lessee, cancel any Lease and, as liquidated damages for the loss of Lessor's bargain and not as a penalty, declare immediately due and payable an amount equal to the Stipulated Loss Value applicable to such Leases which Lessee acknowledges to be reasonable liquidated damages in light of the anticipated harm to Lessor that might be caused by an Event of Default and the facts and circumstances existing as of the Acceptance Date of each Lease; (7) without notice to Lessee, apply or set-off against any Obligations all security deposits, advance payments, proceeds of letters of credit, certificates of deposit (whether or not matured), securities or other additional collateral held by Lessor or otherwise credited by or due from Lessor to Lessee; or (8) pursue all other remedies provided under the UCC or other applicable law. Upon the commencement of any voluntary case under the federal bankruptcy code concerning the Lessee, the remedy provided in clause (6) above shall be automatically exercised without the requirement of prior written notice to Lessee or of any other act or declaration by Lessor, and the liquidated damages described therein shall be immediately due and payable. Lessee shall pay interest equal to the lesser of (a) 12% per annum, or (b) the highest rate permitted by applicable law (</w:t>
      </w:r>
      <w:r>
        <w:rPr>
          <w:sz w:val="15"/>
        </w:rPr>
        <w:t>“</w:t>
      </w:r>
      <w:r>
        <w:rPr>
          <w:rFonts w:ascii="Times New Roman" w:hAnsi="Times New Roman"/>
          <w:b/>
          <w:sz w:val="15"/>
        </w:rPr>
        <w:t>Default Rate”</w:t>
      </w:r>
      <w:r>
        <w:rPr>
          <w:rFonts w:ascii="Times New Roman" w:hAnsi="Times New Roman"/>
          <w:sz w:val="15"/>
        </w:rPr>
        <w:t>) on (i) any amount other than Rent owing under any Lease and not paid when due, (ii) Rent not paid within 30 days of its due date, and (iii) any amount required to be paid upon cancellation of any Lease under this Section 12. Any payments received by Lessor after an Event of Default, including proceeds of any disposition of Equipment, shall be applied in the following order: (A) to all of Lessor's costs (including Attorneys’ Fees), charges and expenses incurred in taking, removing, holding, repairing and selling or leasing the Equipment or other Collateral or enforcing the provisions hereof; (B) to the extent not previously paid by Lessee, to pay Lessor for any damages then remaining unpaid hereunder; (C) to reimburse Lessee for any sums previously paid by Lessee as damages hereunder; and (D) the balance, if any, shall be retained by Lessor.</w:t>
      </w:r>
    </w:p>
    <w:p>
      <w:pPr>
        <w:pStyle w:val="TextBody"/>
        <w:spacing w:lineRule="auto" w:line="276" w:before="60" w:after="200"/>
        <w:ind w:left="720" w:right="720" w:hanging="0"/>
        <w:jc w:val="left"/>
        <w:rPr>
          <w:rFonts w:ascii="Times New Roman" w:hAnsi="Times New Roman"/>
          <w:sz w:val="15"/>
        </w:rPr>
      </w:pPr>
      <w:r>
        <w:rPr>
          <w:rFonts w:ascii="Times New Roman" w:hAnsi="Times New Roman"/>
          <w:sz w:val="15"/>
        </w:rPr>
        <w:t xml:space="preserve">(b) No remedy referred to in this Section 12 shall be exclusive, each shall be cumulative (but not duplicative of recovery of any Obligation) and in addition to any other remedy referred to above or otherwise available to Lessor at law or in equity, and all such remedies shall survive the cancellation of any Lease. Lessor’s exercise or partial exercise of, or failure to exercise, any remedy shall not restrict Lessor from further exercise of that remedy or any other available remedy. No extension of time for payment or performance of any Obligation shall operate to release, discharge, modify, change or affect the original liability of Lessee for any Obligations, either in whole or in part. Lessor may proceed against any Collateral or Guarantor, or may proceed contemporaneously or in the first instance against Lessee, in such order and at such times following an Event of Default as Lessor determines in its sole discretion. In any action to repossess any Equipment or other Collateral, Lessee waives any bonds and any surety or security required by any applicable laws as an incident to such repossession. Notices of Lessor's intention to accelerate, acceleration, nonpayment, presentment, protest, dishonor, or any other notice whatsoever (other than notices of Default specifically required of Lessor pursuant to Section 11 above) are waived by Lessee and any Guarantor. Any notice given by Lessor of any disposition of Collateral or other intended action of Lessor which is given in accordance with this Agreement at least 5 business days prior to such action, shall constitute fair and reasonable notice of such action.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sz w:val="15"/>
        </w:rPr>
        <w:t>(c)  Lessor agrees to honor the right given by Lessee to CIDM in Section 9(c)(i) of the CIDM Agreement, after an Event of Default hereunder, of first negotiation and last refusal to acquire the Equipment prior to its sale to any other party.</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both"/>
        <w:rPr>
          <w:sz w:val="15"/>
        </w:rPr>
      </w:pPr>
      <w:r>
        <w:rPr>
          <w:rFonts w:ascii="Times New Roman" w:hAnsi="Times New Roman"/>
          <w:b/>
          <w:sz w:val="15"/>
        </w:rPr>
        <w:t xml:space="preserve">13. Assignment; Subleases. </w:t>
      </w:r>
      <w:r>
        <w:rPr>
          <w:rFonts w:ascii="Times New Roman" w:hAnsi="Times New Roman"/>
          <w:sz w:val="15"/>
        </w:rPr>
        <w:t xml:space="preserve">Lessor and any Assignee may assign or transfer any of Lessor's interests in any Lease or Equipment without notice to Lessee, subject, however, to the rights of Lessee (and any permitted assignees, licensees or sublessees) to use and possess the Equipment under such Lease for so long as no Event of Default has occurred and is continuing.  Lessee agrees that: (i) the rights of any Assignee shall not be affected by any breach or default of Lessor or any prior Assignee, and Lessee shall not assert any defense, rights of set-off or counterclaim against any Assignee, nor hold or attempt to hold such Assignee liable for any such breach or default; (ii) no Assignee shall be required to assume any obligations of Lessor under any Lease except the obligation of non-interference in Section 1 and the recognition of CIDM’s rights to acquire the Equipment described in Section 12(c) above, (iii) any Assignee expressly assuming the obligations of Lessor shall thereupon be responsible for Lessor's duties under the applicable Lease accruing after assignment and Lessor shall be released from such duties, and (iv) Lessee shall execute and deliver upon request such additional documents, instruments and assurances as may be reasonably necessary in order to (y) acknowledge and confirm all of the terms and conditions of any Lease and Lessor's or such Assignee’s rights with respect thereto, and Lessee’s compliance with all of the terms and provisions thereof, and (z) preserve, protect and perfect Lessor’s or Assignee’s right, title or interest hereunder and in any Equipment, including, without limitation, such UCC financing statements or amendments, control agreements, corporate or member resolutions, votes, notices of assignment of interests, and confirmations of Lessee’s obligations and representations and warranties with respect thereto as of the dates requested. Lessor may disclose to any potential Assignee any information regarding Lessee, any Guarantor and their Affiliates; </w:t>
      </w:r>
      <w:r>
        <w:rPr>
          <w:rFonts w:ascii="Times New Roman" w:hAnsi="Times New Roman"/>
          <w:sz w:val="15"/>
          <w:u w:val="single"/>
        </w:rPr>
        <w:t>provided that</w:t>
      </w:r>
      <w:r>
        <w:rPr>
          <w:sz w:val="15"/>
        </w:rPr>
        <w:t xml:space="preserve"> </w:t>
      </w:r>
      <w:r>
        <w:rPr>
          <w:rFonts w:ascii="Times New Roman" w:hAnsi="Times New Roman"/>
          <w:sz w:val="15"/>
        </w:rPr>
        <w:t xml:space="preserve">any information provided to Lessor by Lessee under the terms of any Confidentiality Agreement will not be disclosed except pursuant to a confidentiality agreement between Lessee and the intended recipient of such information from Lessor containing terms and conditions substantially similar to those set forth in the Confidentiality Agreement under which such information was disclosed by Lessee to Lessor. </w:t>
      </w:r>
      <w:r>
        <w:rPr>
          <w:rFonts w:ascii="Times New Roman" w:hAnsi="Times New Roman"/>
          <w:b/>
          <w:sz w:val="15"/>
        </w:rPr>
        <w:t xml:space="preserve">Lessee shall not sell, pledge, transfer or hypothecate in any way dispose of any of its rights or obligations under any Lease without Lessor's prior written consent. Any purported sale, pledge, transfer, hypothecation, or disposal made without Lessor’s prior written consent shall be null and void, except in connection with (1) licenses permitted under Section 10 hereof, or (2) assignments and subleases permitted under this Section 13.  </w:t>
      </w:r>
      <w:r>
        <w:rPr>
          <w:rFonts w:ascii="Times New Roman" w:hAnsi="Times New Roman"/>
          <w:sz w:val="15"/>
        </w:rPr>
        <w:t xml:space="preserve">Lessee may assign the Equipment or its interest under a Schedule only if: (i) Lessee provides Lessor with notice of such proposed assignment and financial information as may be requested on the assignee at least 60 days prior to the proposed assignment date; (ii) the assignee is an entity that is a direct or indirect wholly-owned subsidiary of one of the Guarantors; (iii) Lessor approves the identity and location of the assignee; (iv) the assignee assumes all obligations of Lessee hereunder and under the appropriate Schedule (and Lessee’s obligations hereunder shall correspondingly be terminated to the extent of the assignment); and (v) each existing Guaranty is amended or new guaranties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jc w:val="both"/>
        <w:rPr>
          <w:sz w:val="15"/>
        </w:rPr>
      </w:pPr>
      <w:r>
        <w:rPr>
          <w:rFonts w:ascii="Times New Roman" w:hAnsi="Times New Roman"/>
          <w:sz w:val="15"/>
        </w:rPr>
        <w:t>are entered into by each Guarantor to include a guaranty of payment and performance of all obligations of the assignee. Lessee may sublease (which for these purposes shall not include a license permitted under Section 10 or an assignment permitted under this Section 13) the Equipment or its interest under a Schedule only if: (i) Lessee provides Lessor with notice of such proposed sublease and financial information as may be requested concerning the sublessee at least 60 days prior to the proposed sublease commencement; (ii) the sublessee is an entity that is a direct or indirect wholly-owned subsidiary of one of the Guarantors; (iii) Lessor approves the identity and location of the sublessee; (iv) any permitted sublease shall be in a form satisfactory in form and substance to Lessor and shall provide that the sublessee's rights are subject and subordinate to the rights of Lessor; (v) Lessee shall remain liable at all times for the payment and performance of the terms and conditions of this Lease with respect to any subleased Equipment ; (iv) the sublease chattel paper shall be collaterally assigned to Lessor</w:t>
      </w:r>
      <w:r>
        <w:rPr>
          <w:sz w:val="15"/>
        </w:rPr>
        <w:t xml:space="preserve"> </w:t>
      </w:r>
      <w:r>
        <w:rPr>
          <w:rFonts w:ascii="Times New Roman" w:hAnsi="Times New Roman"/>
          <w:sz w:val="15"/>
        </w:rPr>
        <w:t>as additional security, and if requested, Lessee shall provide the original sublease chattel paper to Lessor to perfect Lessor’s security interest therein ; and (iv) each Guaranty is amended or new guaranties are entered into by each Guarantor to include a guaranty of payment and performance of all obligations of the sublessee.</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14.Financial and Other Data</w:t>
      </w:r>
      <w:r>
        <w:rPr>
          <w:rFonts w:ascii="Times New Roman" w:hAnsi="Times New Roman"/>
          <w:sz w:val="15"/>
        </w:rPr>
        <w:t>. (a) During any Lease Term, Consolidated Entertainment, Inc. and Reading International Inc., each a Guarantor hereunder, shall maintain books and records in accordance with generally accepted accounting principles consistently applied (“</w:t>
      </w:r>
      <w:r>
        <w:rPr>
          <w:rFonts w:ascii="Times New Roman" w:hAnsi="Times New Roman"/>
          <w:b/>
          <w:sz w:val="15"/>
        </w:rPr>
        <w:t>GAAP</w:t>
      </w:r>
      <w:r>
        <w:rPr>
          <w:sz w:val="15"/>
        </w:rPr>
        <w:t>”</w:t>
      </w:r>
      <w:r>
        <w:rPr>
          <w:rFonts w:ascii="Times New Roman" w:hAnsi="Times New Roman"/>
          <w:sz w:val="15"/>
        </w:rPr>
        <w:t xml:space="preserve">) and prudent business practice.  Lessee shall promptly provide Lessor, within 120 days after the close of each fiscal year, and, upon Lessor's request, within 45 days of the end of each quarter and each fiscal year, as applicable, a copy of (i)  company-prepared management reports for Lessee and Consolidated Amusement Holdings, Inc., (ii) quarterly financial statements for Consolidated Entertainment, Inc. and Reading International Inc. as requested by Lessor,  which financial statements must be prepared in accordance with GAAP, and (iii) within 180 days after the close of each fiscal year, annual statements for Consolidated Entertainment, Inc. and Reading International Inc. audited by independent certified public accountants; </w:t>
      </w:r>
      <w:r>
        <w:rPr>
          <w:rFonts w:ascii="Times New Roman" w:hAnsi="Times New Roman"/>
          <w:sz w:val="15"/>
          <w:u w:val="single"/>
        </w:rPr>
        <w:t>provided, however</w:t>
      </w:r>
      <w:r>
        <w:rPr>
          <w:rFonts w:ascii="Times New Roman" w:hAnsi="Times New Roman"/>
          <w:sz w:val="15"/>
        </w:rPr>
        <w:t xml:space="preserve">, that for so long as any such Guarantor is legally and timely filing annual and quarterly financial reports on Forms 10-K and 10-Q with the Securities and Exchange Commission which are readily available to the public, the filing of such reports shall satisfy the foregoing financial statement reporting requirements for such entity; and (iii) furnish Lessor all other financial information and reports and such other information as Lessor may reasonably request concerning Lessee, any Guarantor and their respective affairs, or the Equipment or its condition, location, use or operation. </w:t>
      </w:r>
    </w:p>
    <w:p>
      <w:pPr>
        <w:pStyle w:val="TextBody"/>
        <w:spacing w:lineRule="auto" w:line="276" w:before="60" w:after="200"/>
        <w:ind w:left="720" w:right="720" w:hanging="0"/>
        <w:jc w:val="left"/>
        <w:rPr>
          <w:rFonts w:ascii="Times New Roman" w:hAnsi="Times New Roman"/>
          <w:sz w:val="15"/>
        </w:rPr>
      </w:pPr>
      <w:r>
        <w:rPr>
          <w:rFonts w:ascii="Times New Roman" w:hAnsi="Times New Roman"/>
          <w:sz w:val="15"/>
        </w:rPr>
        <w:t xml:space="preserve">(b) Lessee represents and warrants that all written information and financial statements at any time furnished by or on behalf of Lessee or any Guarantor are accurate in all material respects and in the case of financial statements reasonably reflect as of their respective dates, results of operations and the financial condition of Lessee, such Guarantor or other entity they purport to cover. Credit and other information regarding Lessee, any Guarantor or their Affiliates, any Lease or Equipment may be disclosed by Lessor to its Affiliates, agents and potential Assignees, notwithstanding anything contained in any agreement that may purport to limit or prohibit such disclosure, subject, however, to such assignees’ agreement to hold all such credit and other information on a confidential basis consistent with the confidentiality obligation between Lessor and Lessee.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both"/>
        <w:rPr>
          <w:sz w:val="15"/>
        </w:rPr>
      </w:pPr>
      <w:r>
        <w:rPr>
          <w:rFonts w:ascii="Times New Roman" w:hAnsi="Times New Roman"/>
          <w:b/>
          <w:sz w:val="15"/>
        </w:rPr>
        <w:t>15. Financial Covenants</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both"/>
        <w:rPr>
          <w:sz w:val="15"/>
        </w:rPr>
      </w:pPr>
      <w:r>
        <w:rPr>
          <w:rFonts w:ascii="Times New Roman" w:hAnsi="Times New Roman"/>
          <w:sz w:val="15"/>
        </w:rPr>
        <w:t xml:space="preserve">All covenants of Consolidated Entertainment, Inc. and its subsidiaries on a consolidated basis that are based upon a specified level or ratio relating to assets, liabilities, indebtedness, rentals, net worth, cash flow, earnings, profitability, or any other accounting-based measurement or test, now or hereafter existing (collectively, the “Additional Covenants”), contained in that certain Credit Agreement dated as of October __, 2012, as amended from time to time, among Consolidated Entertainment, Inc. as Borrower, other parties as Credit Parties and certain Lenders, or in any replacement credit facility between Lessee and another financial institution (a “Bank Facility”), are hereby incorporated into and made a part of this Agreement (with such adjustments to defined terms as may be necessary to assure consistency), as such Additional Covenants may be amended from time to time under such Bank Facility; </w:t>
      </w:r>
      <w:r>
        <w:rPr>
          <w:rFonts w:ascii="Times New Roman" w:hAnsi="Times New Roman"/>
          <w:sz w:val="15"/>
          <w:u w:val="single"/>
        </w:rPr>
        <w:t>provided, however, that</w:t>
      </w:r>
      <w:r>
        <w:rPr>
          <w:sz w:val="15"/>
        </w:rPr>
        <w:t xml:space="preserve"> </w:t>
      </w:r>
      <w:r>
        <w:rPr>
          <w:rFonts w:ascii="Times New Roman" w:hAnsi="Times New Roman"/>
          <w:sz w:val="15"/>
        </w:rPr>
        <w:t xml:space="preserve">the Additional Covenants shall be deemed permanently incorporated into the Agreement, in their then existing form without further modification or amendment except as may be agreed to in writing by Lessee and Lessor, upon and notwithstanding the cancellation or termination of a Bank Facility by either Lessee or the lender(s); </w:t>
      </w:r>
      <w:r>
        <w:rPr>
          <w:rFonts w:ascii="Times New Roman" w:hAnsi="Times New Roman"/>
          <w:sz w:val="15"/>
          <w:u w:val="single"/>
        </w:rPr>
        <w:t>provided further that</w:t>
      </w:r>
      <w:r>
        <w:rPr>
          <w:sz w:val="15"/>
        </w:rPr>
        <w:t xml:space="preserve"> </w:t>
      </w:r>
      <w:r>
        <w:rPr>
          <w:rFonts w:ascii="Times New Roman" w:hAnsi="Times New Roman"/>
          <w:sz w:val="15"/>
        </w:rPr>
        <w:t xml:space="preserve">any modification, amendment or waiver of any breach (or anticipated breach) of any Additional Covenant (by reason of amendment, forbearance or otherwise) shall not constitute a modification, amendment or waiver of the corresponding default (or anticipated default) of such Additional Covenant under this Agreement unless specifically agreed to in writing by Lessor.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both"/>
        <w:rPr>
          <w:rFonts w:ascii="Times New Roman" w:hAnsi="Times New Roman"/>
          <w:sz w:val="15"/>
        </w:rPr>
      </w:pPr>
      <w:r>
        <w:rPr>
          <w:rFonts w:ascii="Times New Roman" w:hAnsi="Times New Roman"/>
          <w:sz w:val="15"/>
        </w:rPr>
        <w:t xml:space="preserve">Notwithstanding the foregoing, if a replacement credit facility is with Bank of America, N.A. or one of its Affiliates as a lender, any modification, amendment or waiver of any breach (or anticipated breach) of any Additional Covenant (by reason of amendment, forbearance or otherwise) under such replacement credit facility shall be binding on Lessor.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16.Definitions</w:t>
      </w:r>
      <w:r>
        <w:rPr>
          <w:sz w:val="15"/>
        </w:rPr>
        <w:t xml:space="preserve"> </w:t>
      </w:r>
    </w:p>
    <w:p>
      <w:pPr>
        <w:pStyle w:val="TextBody"/>
        <w:spacing w:lineRule="auto" w:line="276" w:before="0" w:after="200"/>
        <w:ind w:left="720" w:right="720" w:hanging="0"/>
        <w:jc w:val="left"/>
        <w:rPr>
          <w:sz w:val="15"/>
        </w:rPr>
      </w:pPr>
      <w:r>
        <w:rPr>
          <w:rFonts w:ascii="Times New Roman" w:hAnsi="Times New Roman"/>
          <w:sz w:val="15"/>
        </w:rPr>
        <w:t>As used herein, the following terms shall have the meanings assigned or referred to them below:</w:t>
      </w:r>
      <w:r>
        <w:rPr>
          <w:sz w:val="15"/>
        </w:rPr>
        <w:t xml:space="preserve">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jc w:val="left"/>
        <w:rPr/>
      </w:pPr>
      <w:r>
        <w:rPr/>
        <w:t>“</w:t>
      </w:r>
      <w:r>
        <w:rPr>
          <w:rFonts w:ascii="Times New Roman" w:hAnsi="Times New Roman"/>
          <w:b/>
          <w:sz w:val="15"/>
        </w:rPr>
        <w:t>Affiliate</w:t>
      </w:r>
      <w:r>
        <w:rPr>
          <w:sz w:val="15"/>
        </w:rPr>
        <w:t xml:space="preserve">” </w:t>
      </w:r>
      <w:r>
        <w:rPr>
          <w:rFonts w:ascii="Times New Roman" w:hAnsi="Times New Roman"/>
          <w:sz w:val="15"/>
        </w:rPr>
        <w:t>means any entity controlling, controlled by or under common control with the referent entity; “</w:t>
      </w:r>
      <w:r>
        <w:rPr>
          <w:rFonts w:ascii="Times New Roman" w:hAnsi="Times New Roman"/>
          <w:b/>
          <w:sz w:val="15"/>
        </w:rPr>
        <w:t>control</w:t>
      </w:r>
      <w:r>
        <w:rPr>
          <w:sz w:val="15"/>
        </w:rPr>
        <w:t xml:space="preserve">” </w:t>
      </w:r>
      <w:r>
        <w:rPr>
          <w:rFonts w:ascii="Times New Roman" w:hAnsi="Times New Roman"/>
          <w:sz w:val="15"/>
        </w:rPr>
        <w:t xml:space="preserve">includes (i) the ownership of 25% or more of the voting stock or other ownership interest of any entity and (ii) the status of a general partner of a partnership or managing member of a limited liability company. </w:t>
      </w:r>
    </w:p>
    <w:p>
      <w:pPr>
        <w:pStyle w:val="TextBody"/>
        <w:spacing w:lineRule="auto" w:line="276" w:before="0" w:after="200"/>
        <w:ind w:left="720" w:right="720" w:hanging="0"/>
        <w:jc w:val="left"/>
        <w:rPr/>
      </w:pPr>
      <w:r>
        <w:rPr/>
        <w:t>“</w:t>
      </w:r>
      <w:r>
        <w:rPr>
          <w:rFonts w:ascii="Times New Roman" w:hAnsi="Times New Roman"/>
          <w:b/>
          <w:sz w:val="15"/>
        </w:rPr>
        <w:t xml:space="preserve">Assignee” </w:t>
      </w:r>
      <w:r>
        <w:rPr>
          <w:rFonts w:ascii="Times New Roman" w:hAnsi="Times New Roman"/>
          <w:sz w:val="15"/>
        </w:rPr>
        <w:t xml:space="preserve">means any assignee or transferee of all or any of Lessor’s right, title and interest in any Lease or any Equipment. </w:t>
      </w:r>
    </w:p>
    <w:p>
      <w:pPr>
        <w:pStyle w:val="TextBody"/>
        <w:spacing w:lineRule="auto" w:line="276" w:before="0" w:after="200"/>
        <w:ind w:left="720" w:right="720" w:hanging="0"/>
        <w:jc w:val="left"/>
        <w:rPr/>
      </w:pPr>
      <w:r>
        <w:rPr/>
        <w:t>“</w:t>
      </w:r>
      <w:r>
        <w:rPr>
          <w:rFonts w:ascii="Times New Roman" w:hAnsi="Times New Roman"/>
          <w:b/>
          <w:sz w:val="15"/>
        </w:rPr>
        <w:t xml:space="preserve">CIDM” </w:t>
      </w:r>
      <w:r>
        <w:rPr>
          <w:rFonts w:ascii="Times New Roman" w:hAnsi="Times New Roman"/>
          <w:sz w:val="15"/>
        </w:rPr>
        <w:t>means ACCESS DIGITAL CINEMA PHASE 2, CORP, the counterparty to the Master Digital Cinema and Administration Agreement described below, and its successors and assigns</w:t>
      </w:r>
      <w:r>
        <w:rPr>
          <w:sz w:val="15"/>
        </w:rPr>
        <w:t xml:space="preserve"> </w:t>
      </w:r>
    </w:p>
    <w:p>
      <w:pPr>
        <w:pStyle w:val="TextBody"/>
        <w:spacing w:lineRule="auto" w:line="276" w:before="0" w:after="200"/>
        <w:ind w:left="720" w:right="720" w:hanging="0"/>
        <w:jc w:val="left"/>
        <w:rPr/>
      </w:pPr>
      <w:r>
        <w:rPr/>
        <w:t>“</w:t>
      </w:r>
      <w:r>
        <w:rPr>
          <w:rFonts w:ascii="Times New Roman" w:hAnsi="Times New Roman"/>
          <w:b/>
          <w:sz w:val="15"/>
        </w:rPr>
        <w:t>Code</w:t>
      </w:r>
      <w:r>
        <w:rPr>
          <w:sz w:val="15"/>
        </w:rPr>
        <w:t xml:space="preserve">” </w:t>
      </w:r>
      <w:r>
        <w:rPr>
          <w:rFonts w:ascii="Times New Roman" w:hAnsi="Times New Roman"/>
          <w:sz w:val="15"/>
        </w:rPr>
        <w:t>means the Internal Revenue Code of 1986, as amended.</w:t>
      </w:r>
      <w:r>
        <w:rPr>
          <w:sz w:val="15"/>
        </w:rPr>
        <w:t xml:space="preserve"> </w:t>
      </w:r>
    </w:p>
    <w:p>
      <w:pPr>
        <w:pStyle w:val="TextBody"/>
        <w:spacing w:lineRule="auto" w:line="276" w:before="0" w:after="200"/>
        <w:ind w:left="720" w:right="720" w:hanging="0"/>
        <w:jc w:val="left"/>
        <w:rPr/>
      </w:pPr>
      <w:r>
        <w:rPr/>
        <w:t>“</w:t>
      </w:r>
      <w:r>
        <w:rPr>
          <w:rFonts w:ascii="Times New Roman" w:hAnsi="Times New Roman"/>
          <w:b/>
          <w:sz w:val="15"/>
        </w:rPr>
        <w:t>Collateral”</w:t>
      </w:r>
      <w:r>
        <w:rPr>
          <w:sz w:val="15"/>
        </w:rPr>
        <w:t xml:space="preserve"> </w:t>
      </w:r>
      <w:r>
        <w:rPr>
          <w:rFonts w:ascii="Times New Roman" w:hAnsi="Times New Roman"/>
          <w:sz w:val="15"/>
        </w:rPr>
        <w:t xml:space="preserve">means and includes all of Lessee's right, title and interest in and to all Equipment, together with: (i) all parts, attachments, accessories and accessions to, substitutions and replacements for, each item of Equipment; (ii) all accounts, chattel paper, and general intangibles arising from or related to any sale, lease, rental or other disposition of any Equipment to third parties, or otherwise resulting from the possession, use or operation of any Equipment by third parties, including instruments, investment property, deposit accounts, letter of credit rights, and supporting obligations arising thereunder or in connection therewith, </w:t>
      </w:r>
      <w:r>
        <w:rPr>
          <w:rFonts w:ascii="Times New Roman" w:hAnsi="Times New Roman"/>
          <w:strike w:val="false"/>
          <w:dstrike w:val="false"/>
          <w:sz w:val="15"/>
          <w:u w:val="none"/>
          <w:effect w:val="none"/>
        </w:rPr>
        <w:t>excluding however,  (a) accounts or other amounts generated by intercompany rentals of the Collateral to Lessee’s Affiliates</w:t>
      </w:r>
      <w:r>
        <w:rPr>
          <w:rFonts w:ascii="Times New Roman" w:hAnsi="Times New Roman"/>
          <w:sz w:val="15"/>
        </w:rPr>
        <w:t xml:space="preserve">; and (b) </w:t>
      </w:r>
      <w:r>
        <w:rPr>
          <w:rFonts w:ascii="Times New Roman" w:hAnsi="Times New Roman"/>
          <w:strike w:val="false"/>
          <w:dstrike w:val="false"/>
          <w:sz w:val="15"/>
          <w:u w:val="none"/>
          <w:effect w:val="none"/>
        </w:rPr>
        <w:t>Usage Payments and Virtual Print Fees payable to Lessee under a Master Digital Cinema and Administrative Agreement dated as of September  __, 2012 (as amended, restated, supplemented or otherwise modified from to time, the “Digital Cinema Agreement”) generated in the ordinary course of Lessee’s or a permitted licensee’s use of the Collateral on third party sites,</w:t>
      </w:r>
      <w:r>
        <w:rPr>
          <w:sz w:val="15"/>
        </w:rPr>
        <w:t xml:space="preserve"> </w:t>
      </w:r>
      <w:r>
        <w:rPr>
          <w:rFonts w:ascii="Times New Roman" w:hAnsi="Times New Roman"/>
          <w:sz w:val="15"/>
        </w:rPr>
        <w:t xml:space="preserve">(iii) all insurance, warranty and other claims against third parties with respect to any Equipment; (iv) all software and other intellectual property rights used in connection therewith; (v) proceeds of all of the foregoing, including insurance proceeds and any proceeds in the form of goods, accounts, chattel paper, documents, instruments, general intangibles, investment property, deposit accounts, letter of credit rights and supporting obligations; and (vi) all books and records regarding the foregoing, in each case, now existing or hereafter arising.  </w:t>
      </w:r>
    </w:p>
    <w:p>
      <w:pPr>
        <w:pStyle w:val="TextBody"/>
        <w:spacing w:lineRule="auto" w:line="276" w:before="0" w:after="200"/>
        <w:ind w:left="720" w:right="720" w:hanging="0"/>
        <w:jc w:val="left"/>
        <w:rPr/>
      </w:pPr>
      <w:r>
        <w:rPr/>
        <w:t>“</w:t>
      </w:r>
      <w:r>
        <w:rPr>
          <w:rFonts w:ascii="Times New Roman" w:hAnsi="Times New Roman"/>
          <w:b/>
          <w:sz w:val="15"/>
        </w:rPr>
        <w:t>Discount Rate”</w:t>
      </w:r>
      <w:r>
        <w:rPr>
          <w:sz w:val="15"/>
        </w:rPr>
        <w:t xml:space="preserve"> </w:t>
      </w:r>
      <w:r>
        <w:rPr>
          <w:rFonts w:ascii="Times New Roman" w:hAnsi="Times New Roman"/>
          <w:sz w:val="15"/>
        </w:rPr>
        <w:t xml:space="preserve">means the 1-year Treasury Constant Maturity rate as published in the Selected Interest Rates table of the Federal Reserve statistical release H.15(519) for the week ending immediately prior to the original Acceptance Date of a Lease (or if such rate is no longer determined or published, a successor or alternate rate selected by Lessor). </w:t>
      </w:r>
    </w:p>
    <w:p>
      <w:pPr>
        <w:pStyle w:val="TextBody"/>
        <w:spacing w:lineRule="auto" w:line="276" w:before="0" w:after="200"/>
        <w:ind w:left="720" w:right="720" w:hanging="0"/>
        <w:jc w:val="left"/>
        <w:rPr/>
      </w:pPr>
      <w:r>
        <w:rPr/>
        <w:t>“</w:t>
      </w:r>
      <w:r>
        <w:rPr>
          <w:rFonts w:ascii="Times New Roman" w:hAnsi="Times New Roman"/>
          <w:b/>
          <w:sz w:val="15"/>
        </w:rPr>
        <w:t>Equipment”</w:t>
      </w:r>
      <w:r>
        <w:rPr>
          <w:sz w:val="15"/>
        </w:rPr>
        <w:t xml:space="preserve"> </w:t>
      </w:r>
      <w:r>
        <w:rPr>
          <w:rFonts w:ascii="Times New Roman" w:hAnsi="Times New Roman"/>
          <w:sz w:val="15"/>
        </w:rPr>
        <w:t>means the items, units and groups of personal property,</w:t>
      </w:r>
      <w:r>
        <w:rPr>
          <w:sz w:val="15"/>
        </w:rPr>
        <w:t> </w:t>
      </w:r>
      <w:r>
        <w:rPr>
          <w:rFonts w:ascii="Times New Roman" w:hAnsi="Times New Roman"/>
          <w:sz w:val="15"/>
        </w:rPr>
        <w:t>licensed materials and fixtures described in each Schedule, together with all replacements, parts, additions, accessories and substitutions therefor; and “</w:t>
      </w:r>
      <w:r>
        <w:rPr>
          <w:rFonts w:ascii="Times New Roman" w:hAnsi="Times New Roman"/>
          <w:b/>
          <w:sz w:val="15"/>
        </w:rPr>
        <w:t>item of Equipment”</w:t>
      </w:r>
      <w:r>
        <w:rPr>
          <w:sz w:val="15"/>
        </w:rPr>
        <w:t xml:space="preserve"> </w:t>
      </w:r>
      <w:r>
        <w:rPr>
          <w:rFonts w:ascii="Times New Roman" w:hAnsi="Times New Roman"/>
          <w:sz w:val="15"/>
        </w:rPr>
        <w:t xml:space="preserve">means a “commercial unit” as defined and described in Article 2A of the UCC, and includes each functionally integrated and separately marketable group or unit of Equipment. </w:t>
      </w:r>
    </w:p>
    <w:p>
      <w:pPr>
        <w:pStyle w:val="TextBody"/>
        <w:spacing w:lineRule="auto" w:line="276" w:before="0" w:after="200"/>
        <w:ind w:left="720" w:right="720" w:hanging="0"/>
        <w:jc w:val="left"/>
        <w:rPr/>
      </w:pPr>
      <w:r>
        <w:rPr/>
        <w:t>“</w:t>
      </w:r>
      <w:r>
        <w:rPr>
          <w:rFonts w:ascii="Times New Roman" w:hAnsi="Times New Roman"/>
          <w:b/>
          <w:sz w:val="15"/>
        </w:rPr>
        <w:t>Guarantor”</w:t>
      </w:r>
      <w:r>
        <w:rPr>
          <w:sz w:val="15"/>
        </w:rPr>
        <w:t xml:space="preserve"> </w:t>
      </w:r>
      <w:r>
        <w:rPr>
          <w:rFonts w:ascii="Times New Roman" w:hAnsi="Times New Roman"/>
          <w:sz w:val="15"/>
        </w:rPr>
        <w:t>means</w:t>
      </w:r>
      <w:r>
        <w:rPr>
          <w:sz w:val="15"/>
        </w:rPr>
        <w:t xml:space="preserve"> </w:t>
      </w:r>
      <w:r>
        <w:rPr>
          <w:rFonts w:ascii="Times New Roman" w:hAnsi="Times New Roman"/>
          <w:sz w:val="15"/>
        </w:rPr>
        <w:t>any guarantor, surety, endorser, general partner or co-lessee of Lessee, or other party liable in any capacity, or providing additional collateral security for, the payment or performance of any Obligations of Lessee.</w:t>
      </w:r>
      <w:r>
        <w:rPr>
          <w:sz w:val="15"/>
        </w:rPr>
        <w:t xml:space="preserve"> </w:t>
      </w:r>
    </w:p>
    <w:p>
      <w:pPr>
        <w:pStyle w:val="TextBody"/>
        <w:spacing w:lineRule="auto" w:line="276" w:before="0" w:after="200"/>
        <w:ind w:left="720" w:right="720" w:hanging="0"/>
        <w:jc w:val="left"/>
        <w:rPr/>
      </w:pPr>
      <w:r>
        <w:rPr/>
        <w:t>“</w:t>
      </w:r>
      <w:r>
        <w:rPr>
          <w:rFonts w:ascii="Times New Roman" w:hAnsi="Times New Roman"/>
          <w:b/>
          <w:sz w:val="15"/>
        </w:rPr>
        <w:t>Guaranty</w:t>
      </w:r>
      <w:r>
        <w:rPr>
          <w:sz w:val="15"/>
        </w:rPr>
        <w:t xml:space="preserve">” </w:t>
      </w:r>
      <w:r>
        <w:rPr>
          <w:rFonts w:ascii="Times New Roman" w:hAnsi="Times New Roman"/>
          <w:sz w:val="15"/>
        </w:rPr>
        <w:t xml:space="preserve">means any guaranty, surety instrument, security, indemnity, “keep-well” agreement or other instrument or arrangement from or with any Guarantor. </w:t>
      </w:r>
    </w:p>
    <w:p>
      <w:pPr>
        <w:pStyle w:val="TextBody"/>
        <w:spacing w:lineRule="auto" w:line="276" w:before="0" w:after="200"/>
        <w:ind w:left="720" w:right="720" w:hanging="0"/>
        <w:jc w:val="left"/>
        <w:rPr>
          <w:sz w:val="15"/>
        </w:rPr>
      </w:pPr>
      <w:r>
        <w:rPr>
          <w:rFonts w:ascii="Times New Roman" w:hAnsi="Times New Roman"/>
          <w:b/>
          <w:sz w:val="15"/>
        </w:rPr>
        <w:t>"Obligations"</w:t>
      </w:r>
      <w:r>
        <w:rPr>
          <w:sz w:val="15"/>
        </w:rPr>
        <w:t xml:space="preserve"> </w:t>
      </w:r>
      <w:r>
        <w:rPr>
          <w:rFonts w:ascii="Times New Roman" w:hAnsi="Times New Roman"/>
          <w:sz w:val="15"/>
        </w:rPr>
        <w:t xml:space="preserve">means and includes all obligations of Lessee owing to Lessor under this Agreement, any Lease or Related Agreement, or of any Guarantor owing to Lessor under any Guaranty, together with all other obligations, indebtedness and liabilities of Lessee to Lessor under any other financings, leases, loans, notes, progress payment agreements, guaranties or other agreements, of every kind and description, now existing or hereafter arising, direct or indirect, joint or several, absolute or contingent, whether for payment or performance, regardless of how the same may arise or by what instrument, agreement or book account they may be evidenced, including without limitation, any such obligations, indebtedness and liabilities of Lessee to others which may be obtained by Lessor through purchase, negotiation, discount, transfer, assignment or otherwise. </w:t>
      </w:r>
    </w:p>
    <w:p>
      <w:pPr>
        <w:pStyle w:val="TextBody"/>
        <w:spacing w:lineRule="auto" w:line="276" w:before="0" w:after="200"/>
        <w:ind w:left="720" w:right="720" w:hanging="0"/>
        <w:jc w:val="left"/>
        <w:rPr/>
      </w:pPr>
      <w:r>
        <w:rPr/>
        <w:t>“</w:t>
      </w:r>
      <w:r>
        <w:rPr>
          <w:rFonts w:ascii="Times New Roman" w:hAnsi="Times New Roman"/>
          <w:b/>
          <w:sz w:val="15"/>
        </w:rPr>
        <w:t>Parent”</w:t>
      </w:r>
      <w:r>
        <w:rPr>
          <w:sz w:val="15"/>
        </w:rPr>
        <w:t xml:space="preserve"> </w:t>
      </w:r>
      <w:r>
        <w:rPr>
          <w:rFonts w:ascii="Times New Roman" w:hAnsi="Times New Roman"/>
          <w:sz w:val="15"/>
        </w:rPr>
        <w:t>means Reading International Inc.</w:t>
      </w:r>
      <w:r>
        <w:rPr>
          <w:sz w:val="15"/>
        </w:rPr>
        <w:t xml:space="preserve"> </w:t>
      </w:r>
    </w:p>
    <w:p>
      <w:pPr>
        <w:pStyle w:val="TextBody"/>
        <w:spacing w:lineRule="auto" w:line="276" w:before="0" w:after="200"/>
        <w:ind w:left="720" w:right="720" w:hanging="0"/>
        <w:jc w:val="left"/>
        <w:rPr/>
      </w:pPr>
      <w:r>
        <w:rPr/>
        <w:t>“</w:t>
      </w:r>
      <w:r>
        <w:rPr>
          <w:rFonts w:ascii="Times New Roman" w:hAnsi="Times New Roman"/>
          <w:b/>
          <w:sz w:val="15"/>
        </w:rPr>
        <w:t>Related Agreement</w:t>
      </w:r>
      <w:r>
        <w:rPr>
          <w:sz w:val="15"/>
        </w:rPr>
        <w:t xml:space="preserve">” </w:t>
      </w:r>
      <w:r>
        <w:rPr>
          <w:rFonts w:ascii="Times New Roman" w:hAnsi="Times New Roman"/>
          <w:sz w:val="15"/>
        </w:rPr>
        <w:t>means and includes any Guaranty and any approval letter or progress payment, assignment, security or other agreement or addendum related to this Agreement, any Lease or any Collateral to which Lessee or any Guarantor is a party.</w:t>
      </w:r>
      <w:r>
        <w:rPr>
          <w:sz w:val="15"/>
        </w:rPr>
        <w:t xml:space="preserve"> </w:t>
      </w:r>
    </w:p>
    <w:p>
      <w:pPr>
        <w:pStyle w:val="TextBody"/>
        <w:spacing w:lineRule="auto" w:line="276" w:before="0" w:after="200"/>
        <w:ind w:left="720" w:right="720" w:hanging="0"/>
        <w:jc w:val="left"/>
        <w:rPr/>
      </w:pPr>
      <w:r>
        <w:rPr/>
        <w:t>“</w:t>
      </w:r>
      <w:r>
        <w:rPr>
          <w:rFonts w:ascii="Times New Roman" w:hAnsi="Times New Roman"/>
          <w:b/>
          <w:sz w:val="15"/>
        </w:rPr>
        <w:t>Stipulated Loss Value”</w:t>
      </w:r>
      <w:r>
        <w:rPr>
          <w:sz w:val="15"/>
        </w:rPr>
        <w:t xml:space="preserve"> </w:t>
      </w:r>
      <w:r>
        <w:rPr>
          <w:rFonts w:ascii="Times New Roman" w:hAnsi="Times New Roman"/>
          <w:sz w:val="15"/>
        </w:rPr>
        <w:t>means, as of any particular date, the product obtained by multiplying the “</w:t>
      </w:r>
      <w:r>
        <w:rPr>
          <w:rFonts w:ascii="Times New Roman" w:hAnsi="Times New Roman"/>
          <w:b/>
          <w:sz w:val="15"/>
        </w:rPr>
        <w:t>Lessor’s Cost</w:t>
      </w:r>
      <w:r>
        <w:rPr>
          <w:sz w:val="15"/>
        </w:rPr>
        <w:t xml:space="preserve">” </w:t>
      </w:r>
      <w:r>
        <w:rPr>
          <w:rFonts w:ascii="Times New Roman" w:hAnsi="Times New Roman"/>
          <w:sz w:val="15"/>
        </w:rPr>
        <w:t>specified in the Schedule by the percentage set forth in the “</w:t>
      </w:r>
      <w:r>
        <w:rPr>
          <w:rFonts w:ascii="Times New Roman" w:hAnsi="Times New Roman"/>
          <w:b/>
          <w:sz w:val="15"/>
        </w:rPr>
        <w:t>Schedule of Stipulated Loss Values</w:t>
      </w:r>
      <w:r>
        <w:rPr>
          <w:sz w:val="15"/>
        </w:rPr>
        <w:t xml:space="preserve">” </w:t>
      </w:r>
      <w:r>
        <w:rPr>
          <w:rFonts w:ascii="Times New Roman" w:hAnsi="Times New Roman"/>
          <w:sz w:val="15"/>
        </w:rPr>
        <w:t xml:space="preserve">attached to the Schedule, specified opposite the Rent installment number (or date) becoming due immediately after the Casualty, Event of Default or other event requiring the calculation of Stipulated Loss Value. If there is no Schedule of Stipulated Loss Values attached to a Schedule, or if the Schedule of Stipulated Loss Values does not otherwise cover a Rent installment number (or date), Stipulated Loss Value on any Rent payment date shall equal the net present value of: (a) all unpaid Rent for the remainder of the Lease Term, </w:t>
      </w:r>
      <w:r>
        <w:rPr>
          <w:rFonts w:ascii="Times New Roman" w:hAnsi="Times New Roman"/>
          <w:sz w:val="15"/>
          <w:u w:val="single"/>
        </w:rPr>
        <w:t>plus</w:t>
      </w:r>
      <w:r>
        <w:rPr>
          <w:sz w:val="15"/>
        </w:rPr>
        <w:t xml:space="preserve"> </w:t>
      </w:r>
      <w:r>
        <w:rPr>
          <w:rFonts w:ascii="Times New Roman" w:hAnsi="Times New Roman"/>
          <w:sz w:val="15"/>
        </w:rPr>
        <w:t xml:space="preserve">(b) the amount of any purchase obligation, fixed price purchase option, or TRAC amount payment or, if there is no such obligation, option or payment, then the fair market value of the Equipment as of the end of the Lease Term, as estimated by Lessor in its sole discretion, all discounted to present value at the Discount Rate. </w:t>
      </w:r>
    </w:p>
    <w:p>
      <w:pPr>
        <w:pStyle w:val="TextBody"/>
        <w:spacing w:lineRule="auto" w:line="276" w:before="0" w:after="200"/>
        <w:ind w:left="720" w:right="720" w:hanging="0"/>
        <w:jc w:val="left"/>
        <w:rPr/>
      </w:pPr>
      <w:r>
        <w:rPr/>
        <w:t>“</w:t>
      </w:r>
      <w:r>
        <w:rPr>
          <w:rFonts w:ascii="Times New Roman" w:hAnsi="Times New Roman"/>
          <w:b/>
          <w:sz w:val="15"/>
        </w:rPr>
        <w:t>UCC”</w:t>
      </w:r>
      <w:r>
        <w:rPr>
          <w:sz w:val="15"/>
        </w:rPr>
        <w:t xml:space="preserve"> </w:t>
      </w:r>
      <w:r>
        <w:rPr>
          <w:rFonts w:ascii="Times New Roman" w:hAnsi="Times New Roman"/>
          <w:sz w:val="15"/>
        </w:rPr>
        <w:t xml:space="preserve">means the Uniform Commercial Code in effect in the state specified in Section 17(f) of this Agreement. </w:t>
      </w:r>
    </w:p>
    <w:p>
      <w:pPr>
        <w:pStyle w:val="TextBody"/>
        <w:spacing w:lineRule="auto" w:line="276" w:before="0" w:after="0"/>
        <w:ind w:left="720" w:right="720" w:hanging="0"/>
        <w:rPr/>
      </w:pPr>
      <w:r>
        <w:rPr/>
        <w:t xml:space="preserve">  </w:t>
      </w:r>
    </w:p>
    <w:p>
      <w:pPr>
        <w:pStyle w:val="HorizontalLine"/>
        <w:pBdr>
          <w:bottom w:val="double" w:sz="6" w:space="0" w:color="808080"/>
        </w:pBdr>
        <w:ind w:left="720" w:right="720" w:hanging="0"/>
        <w:rPr/>
      </w:pPr>
      <w:r>
        <w:rPr/>
      </w:r>
      <w:r>
        <w:br w:type="page"/>
      </w:r>
    </w:p>
    <w:p>
      <w:pPr>
        <w:pStyle w:val="TextBody"/>
        <w:ind w:left="720" w:right="720" w:hanging="0"/>
        <w:rPr/>
      </w:pPr>
      <w:r>
        <w:rPr/>
        <w:t>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jc w:val="left"/>
        <w:rPr/>
      </w:pPr>
      <w:r>
        <w:rPr/>
        <w:t>“</w:t>
      </w:r>
      <w:r>
        <w:rPr>
          <w:rFonts w:ascii="Times New Roman" w:hAnsi="Times New Roman"/>
          <w:b/>
          <w:sz w:val="15"/>
        </w:rPr>
        <w:t>Vendor”</w:t>
      </w:r>
      <w:r>
        <w:rPr>
          <w:sz w:val="15"/>
        </w:rPr>
        <w:t xml:space="preserve"> </w:t>
      </w:r>
      <w:r>
        <w:rPr>
          <w:rFonts w:ascii="Times New Roman" w:hAnsi="Times New Roman"/>
          <w:sz w:val="15"/>
        </w:rPr>
        <w:t>means the manufacturer, distributor, supplier or other seller (whether or not a merchant or dealer) of the Equipment and any sales representative or agent thereof.</w:t>
      </w:r>
      <w:r>
        <w:rPr>
          <w:sz w:val="15"/>
        </w:rPr>
        <w:t xml:space="preserve"> </w:t>
      </w:r>
    </w:p>
    <w:p>
      <w:pPr>
        <w:pStyle w:val="TextBody"/>
        <w:spacing w:before="0" w:after="0"/>
        <w:ind w:left="720" w:right="720" w:hanging="0"/>
        <w:jc w:val="both"/>
        <w:rPr/>
      </w:pPr>
      <w:r>
        <w:rPr/>
        <w:t xml:space="preserve">  </w:t>
      </w:r>
    </w:p>
    <w:p>
      <w:pPr>
        <w:pStyle w:val="TextBody"/>
        <w:spacing w:lineRule="auto" w:line="276" w:before="0" w:after="200"/>
        <w:ind w:left="720" w:right="720" w:hanging="0"/>
        <w:jc w:val="left"/>
        <w:rPr>
          <w:sz w:val="15"/>
        </w:rPr>
      </w:pPr>
      <w:r>
        <w:rPr>
          <w:rFonts w:ascii="Times New Roman" w:hAnsi="Times New Roman"/>
          <w:b/>
          <w:sz w:val="15"/>
        </w:rPr>
        <w:t xml:space="preserve">17.Miscellaneous. </w:t>
      </w:r>
      <w:r>
        <w:rPr>
          <w:rFonts w:ascii="Times New Roman" w:hAnsi="Times New Roman"/>
          <w:sz w:val="15"/>
        </w:rPr>
        <w:t>(a) At Lessor's request, Lessee shall execute, deliver, file and record such financing statements and other documents as Lessor deems necessary to protect Lessor's interest in the Equipment and to effectuate the purposes of any Lease or Related Agreement, and Lessee authorizes, and irrevocably appoints Lessor as its agent and attorney-in-fact, with right of substitution and coupled with an interest, to (i) execute, deliver, file, and record any such item, and to take such action for Lessee and in Lessee's name, place and stead, (ii) make minor corrections to manifest errors in factual data in any Schedule and any addenda, attachments, exhibits and riders thereto, and (iii) after the occurrence of an Event of Default, enforce claims relating to the Equipment against insurers, Vendors or other persons, and to make, adjust, compromise, settle and receive payment under such claims; but without any obligation to do so.</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(b)Federal law requires all financial institutions to obtain, verify and record information that identifies each entity that obtains a loan or other financial accommodation. The first time Lessee requests a financial accommodation from Lessor, the Lessor may ask for Lessee’s (or any Guarantor’s) legal name, address, tax ID number and other identifying information. Lessee shall promptly provide copies of business licenses or other documents evidencing the existence and good standing of Lessee or any Guarantor requested by Lessor.</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(c) Time is of the essence in the payment and performance of all of Lessee’s Obligations under any Lease or Related Agreement. This Agreement, and each Lease or Related Agreement may be executed in one or more counterparts, each of which shall constitute one and the same agreement. All demands, notices, requests, consents, waivers and other communications concerning this Agreement and any Lease or Related Agreement shall be in writing and shall be deemed to have been duly given when received, personally delivered or three business days after being deposited in the mail, first class postage prepaid, or the business day after delivery to an express carrier, charges prepaid, addressed to each party at the address provided herein, or at such other address as may hereafter be furnished in writing by such party to the other.</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(d) Except as otherwise agreed between Lessee and Lessor in writing, Lessee shall reimburse Lessor upon demand for reasonable and documented costs and expenses incurred by Lessor in connection with the execution and delivery of this Agreement, any Lease or Related Agreement. Lessee shall reimburse Lessor on demand for all reasonable and documented costs (including Attorneys’ Fees) incurred by Lessor in connection with Lessee’s exercise of any purchase or extension option under any Lease, or any amendment or waiver of the terms of this Agreement or any Lease or Related Agreement requested by Lessee.</w:t>
      </w:r>
      <w:r>
        <w:rPr>
          <w:sz w:val="15"/>
        </w:rPr>
        <w:t xml:space="preserve"> </w:t>
      </w:r>
    </w:p>
    <w:p>
      <w:pPr>
        <w:pStyle w:val="TextBody"/>
        <w:spacing w:lineRule="auto" w:line="276" w:before="60" w:after="200"/>
        <w:ind w:left="720" w:right="720" w:hanging="0"/>
        <w:jc w:val="left"/>
        <w:rPr>
          <w:rFonts w:ascii="Times New Roman" w:hAnsi="Times New Roman"/>
          <w:sz w:val="15"/>
        </w:rPr>
      </w:pPr>
      <w:r>
        <w:rPr>
          <w:rFonts w:ascii="Times New Roman" w:hAnsi="Times New Roman"/>
          <w:sz w:val="15"/>
        </w:rPr>
        <w:t xml:space="preserve">(e) Any provisions of this Agreement or any Lease or Related Agreement which are unenforceable in any jurisdiction shall, as to such jurisdiction, be ineffective to the extent of such unenforceability without invalidating the remaining provisions thereof, and any such unenforceability shall not render unenforceable such provisions in any other jurisdiction. Any requirement for the execution and delivery of any document, instrument or notice may be satisfied, in Lessor’s discretion, by authentication as a record within the meaning of, and to the extent permitted by, Article 9 of the UCC. </w:t>
      </w:r>
    </w:p>
    <w:p>
      <w:pPr>
        <w:pStyle w:val="TextBody"/>
        <w:spacing w:lineRule="auto" w:line="276" w:before="60" w:after="200"/>
        <w:ind w:left="720" w:right="720" w:hanging="0"/>
        <w:jc w:val="left"/>
        <w:rPr>
          <w:sz w:val="15"/>
        </w:rPr>
      </w:pPr>
      <w:r>
        <w:rPr>
          <w:rFonts w:ascii="Times New Roman" w:hAnsi="Times New Roman"/>
          <w:sz w:val="15"/>
        </w:rPr>
        <w:t>(f) THIS AGREEMENT AND ANY LEASE OR RELATED AGREEMENT, AND THE LEGAL RELATIONS OF THE PARTIES THERETO, SHALL IN ALL RESPECTS BE GOVERNED BY AND CONSTRUED IN ACCORDANCE WITH THE LAWS OF THE STATE OF RHODE ISLAND, WITHOUT REGARD TO CHOICE OF LAW PRINCIPLES; THE PARTIES CONSENT AND SUBMIT TO THE JURISDICTION OF THE STATE AND FEDERAL COURTS OF SUCH STATE FOR THE PURPOSES OF ANY SUIT, ACTION OR OTHER PROCEEDING ARISING THEREFROM, AND EXPRESSLY WAIVE ANY OBJECTIONS THAT IT MAY HAVE TO THE VENUE OF SUCH COURTS. THE PARTIES EXPRESSLY WAIVE ANY RIGHT TO TRIAL BY JURY IN ANY ACTION BROUGHT ON OR WITH RESPECT THERETO. IN NO EVENT SHALL LESSOR HAVE ANY LIABILITY TO LESSEE FOR INCIDENTAL, GENERAL, CONSEQUENTIAL, PUNITIVE OR EXEMPLARY DAMAGES. Any cause of action by Lessee against Lessor relating to this Agreement or any Lease or Related Agreement shall be brought within one year after any such cause of action first arises, and Lessee hereby waives the benefit of any longer period provided by statute.</w:t>
      </w:r>
      <w:r>
        <w:rPr>
          <w:sz w:val="15"/>
        </w:rPr>
        <w:t xml:space="preserve"> </w:t>
      </w:r>
    </w:p>
    <w:p>
      <w:pPr>
        <w:pStyle w:val="TextBody"/>
        <w:spacing w:lineRule="auto" w:line="276" w:before="60" w:after="200"/>
        <w:ind w:left="720" w:right="720" w:hanging="0"/>
        <w:jc w:val="left"/>
        <w:rPr>
          <w:sz w:val="15"/>
        </w:rPr>
      </w:pPr>
      <w:r>
        <w:rPr>
          <w:rFonts w:ascii="Times New Roman" w:hAnsi="Times New Roman"/>
          <w:sz w:val="15"/>
        </w:rPr>
        <w:t>(g)EACH LEASE, TOGETHER WITH THIS AGREEMENT AND ANY RELATED AGREEMENTS, (i) CONSTITUTES THE FINAL AND ENTIRE AGREEMENT BETWEEN THE PARTIES SUPERSEDING ALL CONFLICTING TERMS OR PROVISIONS OF ANY PRIOR PROPOSALS, APPROVAL LETTERS, TERM SHEETS OR OTHER AGREEMENTS OR UNDERSTANDINGS BETWEEN THE PARTIES, (ii) MAY NOT BE CONTRADICTED BY EVIDENCE OF (y) ANY PRIOR WRITTEN OR ORAL AGREEMENTS OR UNDERSTANDINGS, OR (z) ANY CONTEMPORANEOUS OR SUBSEQUENT ORAL AGREEMENTS OR UNDERSTANDINGS BETWEEN THE PARTIES; and (iii) MAY NOT BE AMENDED, NOR MAY ANY RIGHTS THEREUNDER BE WAIVED, EXCEPT BY AN INSTRUMENT IN WRITING SIGNED BY THE PARTY CHARGED WITH SUCH AMENDMENT OR WAIVER.</w:t>
      </w:r>
      <w:r>
        <w:rPr>
          <w:sz w:val="15"/>
        </w:rPr>
        <w:t xml:space="preserve"> </w:t>
      </w:r>
    </w:p>
    <w:p>
      <w:pPr>
        <w:pStyle w:val="TextBody"/>
        <w:spacing w:lineRule="auto" w:line="276" w:before="0" w:after="200"/>
        <w:ind w:left="720" w:right="720" w:hanging="0"/>
        <w:rPr/>
      </w:pPr>
      <w:r>
        <w:rPr/>
        <w:t xml:space="preserve">  </w:t>
      </w:r>
    </w:p>
    <w:p>
      <w:pPr>
        <w:pStyle w:val="TextBody"/>
        <w:spacing w:lineRule="auto" w:line="276" w:before="0" w:after="0"/>
        <w:ind w:left="1440" w:right="0" w:hanging="0"/>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lineRule="auto" w:line="276" w:before="0" w:after="0"/>
        <w:ind w:left="1440" w:right="0" w:hanging="0"/>
        <w:rPr/>
      </w:pPr>
      <w:r>
        <w:rPr/>
        <w:t xml:space="preserve">  </w:t>
      </w:r>
    </w:p>
    <w:p>
      <w:pPr>
        <w:pStyle w:val="TextBody"/>
        <w:spacing w:lineRule="auto" w:line="276" w:before="120" w:after="200"/>
        <w:ind w:left="1440" w:right="0" w:hanging="0"/>
        <w:jc w:val="left"/>
        <w:rPr>
          <w:sz w:val="15"/>
        </w:rPr>
      </w:pPr>
      <w:r>
        <w:rPr>
          <w:rFonts w:ascii="Times New Roman" w:hAnsi="Times New Roman"/>
          <w:b/>
          <w:sz w:val="15"/>
        </w:rPr>
        <w:t xml:space="preserve">In Witness Whereof, </w:t>
      </w:r>
      <w:r>
        <w:rPr>
          <w:rFonts w:ascii="Times New Roman" w:hAnsi="Times New Roman"/>
          <w:sz w:val="15"/>
        </w:rPr>
        <w:t>Lessor</w:t>
      </w:r>
      <w:r>
        <w:rPr>
          <w:sz w:val="15"/>
        </w:rPr>
        <w:t> </w:t>
      </w:r>
      <w:r>
        <w:rPr>
          <w:rFonts w:ascii="Times New Roman" w:hAnsi="Times New Roman"/>
          <w:sz w:val="15"/>
        </w:rPr>
        <w:t>and Lessee have executed this Agreement as of the date first above written.</w:t>
      </w:r>
      <w:r>
        <w:rPr>
          <w:sz w:val="15"/>
        </w:rPr>
        <w:t xml:space="preserve"> </w:t>
      </w:r>
    </w:p>
    <w:p>
      <w:pPr>
        <w:pStyle w:val="TextBody"/>
        <w:spacing w:before="0" w:after="0"/>
        <w:ind w:left="1440" w:right="0" w:hanging="0"/>
        <w:jc w:val="both"/>
        <w:rPr/>
      </w:pPr>
      <w:r>
        <w:rPr/>
        <w:t xml:space="preserve">  </w:t>
      </w:r>
    </w:p>
    <w:tbl>
      <w:tblPr>
        <w:tblW w:w="7690" w:type="dxa"/>
        <w:jc w:val="left"/>
        <w:tblInd w:w="1440" w:type="dxa"/>
        <w:tblCellMar>
          <w:top w:w="0" w:type="dxa"/>
          <w:left w:w="0" w:type="dxa"/>
          <w:bottom w:w="0" w:type="dxa"/>
          <w:right w:w="0" w:type="dxa"/>
        </w:tblCellMar>
      </w:tblPr>
      <w:tblGrid>
        <w:gridCol w:w="4025"/>
        <w:gridCol w:w="3665"/>
      </w:tblGrid>
      <w:tr>
        <w:trPr/>
        <w:tc>
          <w:tcPr>
            <w:tcW w:w="4025" w:type="dxa"/>
            <w:tcBorders/>
            <w:shd w:fill="auto" w:val="clear"/>
          </w:tcPr>
          <w:p>
            <w:pPr>
              <w:pStyle w:val="TableContents"/>
              <w:spacing w:before="0" w:after="0"/>
              <w:ind w:left="0" w:right="0" w:hanging="0"/>
              <w:jc w:val="both"/>
              <w:rPr/>
            </w:pPr>
            <w:r>
              <w:rPr/>
              <w:t> </w:t>
            </w:r>
          </w:p>
        </w:tc>
        <w:tc>
          <w:tcPr>
            <w:tcW w:w="3665" w:type="dxa"/>
            <w:tcBorders/>
            <w:shd w:fill="auto" w:val="clear"/>
          </w:tcPr>
          <w:p>
            <w:pPr>
              <w:pStyle w:val="TableContents"/>
              <w:spacing w:lineRule="auto" w:line="276" w:before="0" w:after="200"/>
              <w:ind w:left="0" w:right="0" w:hanging="0"/>
              <w:rPr/>
            </w:pPr>
            <w:r>
              <w:rPr/>
              <w:t> </w:t>
            </w:r>
          </w:p>
        </w:tc>
      </w:tr>
      <w:tr>
        <w:trPr/>
        <w:tc>
          <w:tcPr>
            <w:tcW w:w="4025" w:type="dxa"/>
            <w:tcBorders/>
            <w:shd w:fill="auto" w:val="clear"/>
          </w:tcPr>
          <w:p>
            <w:pPr>
              <w:pStyle w:val="TableContents"/>
              <w:spacing w:lineRule="auto" w:line="276" w:before="0" w:after="200"/>
              <w:ind w:left="0" w:right="0" w:hanging="0"/>
              <w:jc w:val="both"/>
              <w:rPr>
                <w:sz w:val="15"/>
              </w:rPr>
            </w:pPr>
            <w:r>
              <w:rPr>
                <w:rFonts w:ascii="Times New Roman" w:hAnsi="Times New Roman"/>
                <w:b/>
                <w:sz w:val="15"/>
              </w:rPr>
              <w:t>BANC OF AMERICA LEASING &amp; CAPITAL, LLC</w:t>
            </w:r>
            <w:r>
              <w:rPr>
                <w:sz w:val="15"/>
              </w:rPr>
              <w:t xml:space="preserve"> </w:t>
            </w:r>
            <w:r>
              <w:rPr>
                <w:rFonts w:ascii="Times New Roman" w:hAnsi="Times New Roman"/>
                <w:sz w:val="15"/>
              </w:rPr>
              <w:t>(Lessor)</w:t>
            </w:r>
          </w:p>
        </w:tc>
        <w:tc>
          <w:tcPr>
            <w:tcW w:w="3665" w:type="dxa"/>
            <w:tcBorders/>
            <w:shd w:fill="auto" w:val="clear"/>
          </w:tcPr>
          <w:p>
            <w:pPr>
              <w:pStyle w:val="TableContents"/>
              <w:spacing w:lineRule="auto" w:line="276" w:before="0" w:after="200"/>
              <w:ind w:left="432" w:right="0" w:hanging="432"/>
              <w:jc w:val="both"/>
              <w:rPr>
                <w:sz w:val="15"/>
              </w:rPr>
            </w:pPr>
            <w:r>
              <w:rPr>
                <w:rFonts w:ascii="Times New Roman" w:hAnsi="Times New Roman"/>
                <w:b/>
                <w:sz w:val="15"/>
              </w:rPr>
              <w:t xml:space="preserve">CONSOLIDATED CINEMA SERVICES, LLC </w:t>
            </w:r>
            <w:r>
              <w:rPr>
                <w:rFonts w:ascii="Times New Roman" w:hAnsi="Times New Roman"/>
                <w:sz w:val="15"/>
              </w:rPr>
              <w:t>(Lessee)</w:t>
            </w:r>
          </w:p>
        </w:tc>
      </w:tr>
      <w:tr>
        <w:trPr/>
        <w:tc>
          <w:tcPr>
            <w:tcW w:w="4025" w:type="dxa"/>
            <w:tcBorders/>
            <w:shd w:fill="auto" w:val="clear"/>
          </w:tcPr>
          <w:p>
            <w:pPr>
              <w:pStyle w:val="TableContents"/>
              <w:pBdr>
                <w:bottom w:val="single" w:sz="8" w:space="1" w:color="000000"/>
              </w:pBdr>
              <w:spacing w:lineRule="auto" w:line="276" w:before="0" w:after="120"/>
              <w:ind w:left="360" w:right="0" w:hanging="0"/>
              <w:jc w:val="left"/>
              <w:rPr>
                <w:rFonts w:ascii="Times New Roman" w:hAnsi="Times New Roman"/>
                <w:sz w:val="15"/>
              </w:rPr>
            </w:pPr>
            <w:r>
              <w:rPr>
                <w:rFonts w:ascii="Times New Roman" w:hAnsi="Times New Roman"/>
                <w:sz w:val="15"/>
              </w:rPr>
              <w:t>By: /s/ Gail C. Beall</w:t>
            </w:r>
          </w:p>
          <w:p>
            <w:pPr>
              <w:pStyle w:val="TableContents"/>
              <w:pBdr>
                <w:bottom w:val="single" w:sz="8" w:space="1" w:color="000000"/>
              </w:pBdr>
              <w:spacing w:lineRule="auto" w:line="276" w:before="0" w:after="120"/>
              <w:ind w:left="360" w:right="0" w:hanging="0"/>
              <w:jc w:val="left"/>
              <w:rPr>
                <w:sz w:val="15"/>
              </w:rPr>
            </w:pPr>
            <w:r>
              <w:rPr>
                <w:rFonts w:ascii="Times New Roman" w:hAnsi="Times New Roman"/>
                <w:sz w:val="15"/>
              </w:rPr>
              <w:t xml:space="preserve">Print Name: </w:t>
            </w:r>
            <w:r>
              <w:rPr>
                <w:sz w:val="15"/>
              </w:rPr>
              <w:t> </w:t>
            </w:r>
            <w:r>
              <w:rPr>
                <w:rFonts w:ascii="Times New Roman" w:hAnsi="Times New Roman"/>
                <w:sz w:val="15"/>
              </w:rPr>
              <w:t xml:space="preserve">Gail C Beall              </w:t>
            </w:r>
          </w:p>
          <w:p>
            <w:pPr>
              <w:pStyle w:val="TableContents"/>
              <w:pBdr>
                <w:bottom w:val="single" w:sz="8" w:space="1" w:color="000000"/>
              </w:pBdr>
              <w:spacing w:lineRule="auto" w:line="276" w:before="0" w:after="120"/>
              <w:ind w:left="360" w:right="0" w:hanging="0"/>
              <w:jc w:val="left"/>
              <w:rPr>
                <w:rFonts w:ascii="Times New Roman" w:hAnsi="Times New Roman"/>
                <w:sz w:val="15"/>
              </w:rPr>
            </w:pPr>
            <w:r>
              <w:rPr>
                <w:rFonts w:ascii="Times New Roman" w:hAnsi="Times New Roman"/>
                <w:sz w:val="15"/>
              </w:rPr>
              <w:t>Title: Vice President</w:t>
            </w:r>
          </w:p>
          <w:p>
            <w:pPr>
              <w:pStyle w:val="TableContents"/>
              <w:spacing w:lineRule="auto" w:line="276" w:before="0" w:after="120"/>
              <w:ind w:left="360" w:right="0" w:hanging="0"/>
              <w:jc w:val="both"/>
              <w:rPr/>
            </w:pPr>
            <w:r>
              <w:rPr/>
              <w:t> </w:t>
            </w:r>
          </w:p>
        </w:tc>
        <w:tc>
          <w:tcPr>
            <w:tcW w:w="3665" w:type="dxa"/>
            <w:tcBorders/>
            <w:shd w:fill="auto" w:val="clear"/>
          </w:tcPr>
          <w:p>
            <w:pPr>
              <w:pStyle w:val="TableContents"/>
              <w:pBdr>
                <w:bottom w:val="single" w:sz="8" w:space="1" w:color="000000"/>
              </w:pBdr>
              <w:spacing w:lineRule="auto" w:line="276" w:before="0" w:after="120"/>
              <w:ind w:left="360" w:right="0" w:hanging="0"/>
              <w:jc w:val="left"/>
              <w:rPr>
                <w:rFonts w:ascii="Times New Roman" w:hAnsi="Times New Roman"/>
                <w:sz w:val="15"/>
              </w:rPr>
            </w:pPr>
            <w:r>
              <w:rPr>
                <w:rFonts w:ascii="Times New Roman" w:hAnsi="Times New Roman"/>
                <w:sz w:val="15"/>
              </w:rPr>
              <w:t>By: /s/ Andrzej Matyczynski</w:t>
            </w:r>
          </w:p>
          <w:p>
            <w:pPr>
              <w:pStyle w:val="TableContents"/>
              <w:pBdr>
                <w:bottom w:val="single" w:sz="8" w:space="1" w:color="000000"/>
              </w:pBdr>
              <w:spacing w:lineRule="auto" w:line="276" w:before="0" w:after="120"/>
              <w:ind w:left="360" w:right="0" w:hanging="0"/>
              <w:jc w:val="left"/>
              <w:rPr>
                <w:rFonts w:ascii="Times New Roman" w:hAnsi="Times New Roman"/>
                <w:sz w:val="15"/>
              </w:rPr>
            </w:pPr>
            <w:r>
              <w:rPr>
                <w:rFonts w:ascii="Times New Roman" w:hAnsi="Times New Roman"/>
                <w:sz w:val="15"/>
              </w:rPr>
              <w:t>Print Name: Andrzej Matyczynski</w:t>
            </w:r>
          </w:p>
          <w:p>
            <w:pPr>
              <w:pStyle w:val="TableContents"/>
              <w:pBdr>
                <w:bottom w:val="single" w:sz="8" w:space="1" w:color="000000"/>
              </w:pBdr>
              <w:spacing w:lineRule="auto" w:line="276" w:before="0" w:after="120"/>
              <w:ind w:left="360" w:right="0" w:hanging="0"/>
              <w:jc w:val="left"/>
              <w:rPr>
                <w:rFonts w:ascii="Times New Roman" w:hAnsi="Times New Roman"/>
                <w:sz w:val="15"/>
              </w:rPr>
            </w:pPr>
            <w:r>
              <w:rPr>
                <w:rFonts w:ascii="Times New Roman" w:hAnsi="Times New Roman"/>
                <w:sz w:val="15"/>
              </w:rPr>
              <w:t>Title: Chief Financial Officer</w:t>
            </w:r>
          </w:p>
          <w:p>
            <w:pPr>
              <w:pStyle w:val="TableContents"/>
              <w:spacing w:lineRule="auto" w:line="276" w:before="0" w:after="200"/>
              <w:ind w:left="360" w:right="0" w:hanging="0"/>
              <w:jc w:val="both"/>
              <w:rPr>
                <w:sz w:val="15"/>
              </w:rPr>
            </w:pPr>
            <w:r>
              <w:rPr>
                <w:rFonts w:ascii="Times New Roman" w:hAnsi="Times New Roman"/>
                <w:sz w:val="15"/>
              </w:rPr>
              <w:t xml:space="preserve">Taxpayer ID # :   </w:t>
            </w:r>
            <w:r>
              <w:rPr>
                <w:rFonts w:ascii="Times New Roman" w:hAnsi="Times New Roman"/>
                <w:sz w:val="15"/>
                <w:u w:val="single"/>
              </w:rPr>
              <w:t>95-3885184</w:t>
            </w:r>
          </w:p>
          <w:p>
            <w:pPr>
              <w:pStyle w:val="TableContents"/>
              <w:spacing w:lineRule="auto" w:line="276" w:before="0" w:after="200"/>
              <w:ind w:left="360" w:right="0" w:hanging="0"/>
              <w:jc w:val="both"/>
              <w:rPr>
                <w:sz w:val="15"/>
              </w:rPr>
            </w:pPr>
            <w:r>
              <w:rPr>
                <w:rFonts w:ascii="Times New Roman" w:hAnsi="Times New Roman"/>
                <w:sz w:val="15"/>
              </w:rPr>
              <w:t xml:space="preserve">Org. ID # (if any) </w:t>
            </w:r>
            <w:r>
              <w:rPr>
                <w:rFonts w:ascii="Times New Roman" w:hAnsi="Times New Roman"/>
                <w:sz w:val="15"/>
                <w:u w:val="single"/>
              </w:rPr>
              <w:t>F0229472011-7</w:t>
            </w:r>
          </w:p>
          <w:p>
            <w:pPr>
              <w:pStyle w:val="TableContents"/>
              <w:spacing w:lineRule="auto" w:line="276" w:before="0" w:after="200"/>
              <w:ind w:left="360" w:right="0" w:hanging="0"/>
              <w:jc w:val="both"/>
              <w:rPr>
                <w:rFonts w:ascii="Times New Roman" w:hAnsi="Times New Roman"/>
                <w:sz w:val="15"/>
              </w:rPr>
            </w:pPr>
            <w:r>
              <w:rPr>
                <w:rFonts w:ascii="Times New Roman" w:hAnsi="Times New Roman"/>
                <w:sz w:val="15"/>
              </w:rPr>
              <w:t>Chief Executive Office:</w:t>
            </w:r>
          </w:p>
          <w:p>
            <w:pPr>
              <w:pStyle w:val="TableContents"/>
              <w:spacing w:lineRule="auto" w:line="276" w:before="0" w:after="200"/>
              <w:ind w:left="1422" w:right="0" w:hanging="0"/>
              <w:jc w:val="both"/>
              <w:rPr>
                <w:rFonts w:ascii="Times New Roman" w:hAnsi="Times New Roman"/>
                <w:sz w:val="15"/>
                <w:u w:val="single"/>
              </w:rPr>
            </w:pPr>
            <w:r>
              <w:rPr>
                <w:rFonts w:ascii="Times New Roman" w:hAnsi="Times New Roman"/>
                <w:sz w:val="15"/>
                <w:u w:val="single"/>
              </w:rPr>
              <w:t>6100 Center Drive, Suite 900</w:t>
            </w:r>
          </w:p>
          <w:p>
            <w:pPr>
              <w:pStyle w:val="TableContents"/>
              <w:spacing w:lineRule="auto" w:line="276" w:before="0" w:after="200"/>
              <w:ind w:left="1440" w:right="0" w:hanging="0"/>
              <w:jc w:val="both"/>
              <w:rPr>
                <w:sz w:val="15"/>
              </w:rPr>
            </w:pPr>
            <w:r>
              <w:rPr>
                <w:rFonts w:ascii="Times New Roman" w:hAnsi="Times New Roman"/>
                <w:sz w:val="15"/>
              </w:rPr>
              <w:t>___</w:t>
            </w:r>
            <w:r>
              <w:rPr>
                <w:rFonts w:ascii="Times New Roman" w:hAnsi="Times New Roman"/>
                <w:sz w:val="15"/>
                <w:u w:val="single"/>
              </w:rPr>
              <w:t>Los Angeles, CA 90045</w:t>
            </w:r>
          </w:p>
        </w:tc>
      </w:tr>
    </w:tbl>
    <w:p>
      <w:pPr>
        <w:pStyle w:val="TextBody"/>
        <w:spacing w:before="0" w:after="0"/>
        <w:ind w:left="1440" w:right="0" w:hanging="0"/>
        <w:rPr/>
      </w:pPr>
      <w:r>
        <w:rPr/>
        <w:t xml:space="preserve">  </w:t>
      </w:r>
    </w:p>
    <w:p>
      <w:pPr>
        <w:pStyle w:val="TextBody"/>
        <w:spacing w:before="0" w:after="0"/>
        <w:ind w:left="1440" w:right="0" w:hanging="0"/>
        <w:rPr/>
      </w:pPr>
      <w:r>
        <w:rPr/>
        <w:t xml:space="preserve">  </w:t>
      </w:r>
    </w:p>
    <w:p>
      <w:pPr>
        <w:pStyle w:val="TextBody"/>
        <w:spacing w:lineRule="auto" w:line="276" w:before="0" w:after="0"/>
        <w:ind w:left="1440" w:right="0" w:hanging="0"/>
        <w:rPr/>
      </w:pPr>
      <w:r>
        <w:rPr/>
        <w:t xml:space="preserve">  </w:t>
      </w:r>
    </w:p>
    <w:p>
      <w:pPr>
        <w:pStyle w:val="HorizontalLine"/>
        <w:pBdr>
          <w:bottom w:val="double" w:sz="6" w:space="0" w:color="808080"/>
        </w:pBdr>
        <w:ind w:left="1440" w:right="0" w:hanging="0"/>
        <w:rPr/>
      </w:pPr>
      <w:r>
        <w:rPr/>
      </w:r>
      <w:r>
        <w:br w:type="page"/>
      </w:r>
    </w:p>
    <w:p>
      <w:pPr>
        <w:pStyle w:val="TextBody"/>
        <w:spacing w:lineRule="auto" w:line="240" w:before="0" w:after="0"/>
        <w:ind w:left="720" w:right="720" w:hanging="0"/>
        <w:rPr/>
      </w:pPr>
      <w:bookmarkStart w:id="9" w:name="rdi-20121231ex1032f121e.htm"/>
      <w:bookmarkStart w:id="10" w:name="ksrdi20121231ex1032f121e"/>
      <w:bookmarkEnd w:id="9"/>
      <w:bookmarkEnd w:id="10"/>
      <w:r>
        <w:rPr/>
        <w:t xml:space="preserve">  </w:t>
      </w:r>
    </w:p>
    <w:p>
      <w:pPr>
        <w:pStyle w:val="TextBody"/>
        <w:spacing w:lineRule="auto" w:line="276" w:before="0" w:after="0"/>
        <w:ind w:left="720" w:right="720" w:hanging="0"/>
        <w:jc w:val="right"/>
        <w:rPr>
          <w:rFonts w:ascii="Calibri" w:hAnsi="Calibri"/>
          <w:sz w:val="17"/>
        </w:rPr>
      </w:pPr>
      <w:r>
        <w:rPr>
          <w:rFonts w:ascii="Times New Roman" w:hAnsi="Times New Roman"/>
          <w:b/>
          <w:sz w:val="17"/>
        </w:rPr>
        <w:t>Banc of America Leasing &amp; Capital, LLC</w:t>
      </w:r>
      <w:r>
        <w:rPr>
          <w:rFonts w:ascii="Calibri" w:hAnsi="Calibri"/>
          <w:sz w:val="17"/>
        </w:rPr>
        <w:t xml:space="preserve"> </w:t>
      </w:r>
    </w:p>
    <w:p>
      <w:pPr>
        <w:pStyle w:val="TextBody"/>
        <w:spacing w:lineRule="auto" w:line="276" w:before="0" w:after="0"/>
        <w:ind w:left="720" w:right="720" w:hanging="0"/>
        <w:jc w:val="right"/>
        <w:rPr>
          <w:rFonts w:ascii="Calibri" w:hAnsi="Calibri"/>
          <w:sz w:val="17"/>
        </w:rPr>
      </w:pPr>
      <w:r>
        <w:rPr>
          <w:rFonts w:ascii="Times New Roman" w:hAnsi="Times New Roman"/>
          <w:b/>
          <w:sz w:val="17"/>
        </w:rPr>
        <w:t>2059 Northlake Pkwy, 3rd</w:t>
      </w:r>
      <w:r>
        <w:rPr>
          <w:rFonts w:ascii="Calibri" w:hAnsi="Calibri"/>
          <w:sz w:val="17"/>
        </w:rPr>
        <w:t xml:space="preserve"> </w:t>
      </w:r>
      <w:r>
        <w:rPr>
          <w:rFonts w:ascii="Times New Roman" w:hAnsi="Times New Roman"/>
          <w:b/>
          <w:sz w:val="17"/>
        </w:rPr>
        <w:t>Floor</w:t>
      </w:r>
      <w:r>
        <w:rPr>
          <w:rFonts w:ascii="Calibri" w:hAnsi="Calibri"/>
          <w:sz w:val="17"/>
        </w:rPr>
        <w:t xml:space="preserve"> </w:t>
      </w:r>
    </w:p>
    <w:p>
      <w:pPr>
        <w:pStyle w:val="TextBody"/>
        <w:spacing w:lineRule="auto" w:line="276" w:before="0" w:after="0"/>
        <w:ind w:left="720" w:right="720" w:hanging="0"/>
        <w:jc w:val="right"/>
        <w:rPr>
          <w:rFonts w:ascii="Calibri" w:hAnsi="Calibri"/>
          <w:sz w:val="17"/>
        </w:rPr>
      </w:pPr>
      <w:r>
        <w:rPr>
          <w:rFonts w:ascii="Times New Roman" w:hAnsi="Times New Roman"/>
          <w:b/>
          <w:sz w:val="17"/>
        </w:rPr>
        <w:t>Tucker, GA 30084</w:t>
      </w:r>
      <w:r>
        <w:rPr>
          <w:rFonts w:ascii="Calibri" w:hAnsi="Calibri"/>
          <w:sz w:val="17"/>
        </w:rPr>
        <w:t xml:space="preserve"> </w:t>
      </w:r>
    </w:p>
    <w:p>
      <w:pPr>
        <w:pStyle w:val="TextBody"/>
        <w:spacing w:lineRule="auto" w:line="276" w:before="0" w:after="0"/>
        <w:ind w:left="720" w:right="720" w:hanging="0"/>
        <w:jc w:val="right"/>
        <w:rPr>
          <w:rFonts w:ascii="Calibri" w:hAnsi="Calibri"/>
          <w:sz w:val="17"/>
        </w:rPr>
      </w:pPr>
      <w:r>
        <w:rPr>
          <w:rFonts w:ascii="Times New Roman" w:hAnsi="Times New Roman"/>
          <w:b/>
          <w:sz w:val="17"/>
        </w:rPr>
        <w:t>Tel: 770-270-8400</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October 31, 2012</w:t>
      </w:r>
      <w:r>
        <w:rPr>
          <w:rFonts w:ascii="Calibri" w:hAnsi="Calibri"/>
          <w:sz w:val="17"/>
        </w:rPr>
        <w:t xml:space="preserve"> </w:t>
      </w:r>
    </w:p>
    <w:p>
      <w:pPr>
        <w:pStyle w:val="TextBody"/>
        <w:spacing w:lineRule="auto" w:line="276" w:before="0" w:after="0"/>
        <w:ind w:left="720" w:right="720" w:hanging="0"/>
        <w:rPr>
          <w:rFonts w:ascii="Calibri" w:hAnsi="Calibri"/>
          <w:sz w:val="17"/>
        </w:rPr>
      </w:pPr>
      <w:r>
        <w:rPr>
          <w:rFonts w:ascii="Times New Roman" w:hAnsi="Times New Roman"/>
          <w:sz w:val="17"/>
        </w:rPr>
        <w:t>Andrzej Matyczynski, CFO</w:t>
      </w:r>
      <w:r>
        <w:rPr>
          <w:rFonts w:ascii="Calibri" w:hAnsi="Calibri"/>
          <w:sz w:val="17"/>
        </w:rPr>
        <w:t xml:space="preserve"> </w:t>
      </w:r>
    </w:p>
    <w:p>
      <w:pPr>
        <w:pStyle w:val="TextBody"/>
        <w:spacing w:lineRule="auto" w:line="276" w:before="0" w:after="0"/>
        <w:ind w:left="720" w:right="720" w:hanging="0"/>
        <w:rPr>
          <w:rFonts w:ascii="Calibri" w:hAnsi="Calibri"/>
          <w:sz w:val="17"/>
        </w:rPr>
      </w:pPr>
      <w:r>
        <w:rPr>
          <w:rFonts w:ascii="Times New Roman" w:hAnsi="Times New Roman"/>
          <w:sz w:val="17"/>
        </w:rPr>
        <w:t>Reading International, Inc.</w:t>
      </w:r>
      <w:r>
        <w:rPr>
          <w:rFonts w:ascii="Calibri" w:hAnsi="Calibri"/>
          <w:sz w:val="17"/>
        </w:rPr>
        <w:t xml:space="preserve"> </w:t>
      </w:r>
    </w:p>
    <w:p>
      <w:pPr>
        <w:pStyle w:val="TextBody"/>
        <w:spacing w:lineRule="auto" w:line="276" w:before="0" w:after="0"/>
        <w:ind w:left="720" w:right="720" w:hanging="0"/>
        <w:rPr>
          <w:rFonts w:ascii="Calibri" w:hAnsi="Calibri"/>
          <w:sz w:val="17"/>
        </w:rPr>
      </w:pPr>
      <w:r>
        <w:rPr>
          <w:rFonts w:ascii="Times New Roman" w:hAnsi="Times New Roman"/>
          <w:sz w:val="17"/>
        </w:rPr>
        <w:t>6100 Center Drive, Suite 900</w:t>
      </w:r>
      <w:r>
        <w:rPr>
          <w:rFonts w:ascii="Calibri" w:hAnsi="Calibri"/>
          <w:sz w:val="17"/>
        </w:rPr>
        <w:t xml:space="preserve"> </w:t>
      </w:r>
    </w:p>
    <w:p>
      <w:pPr>
        <w:pStyle w:val="TextBody"/>
        <w:spacing w:lineRule="auto" w:line="276" w:before="0" w:after="0"/>
        <w:ind w:left="720" w:right="720" w:hanging="0"/>
        <w:rPr>
          <w:rFonts w:ascii="Calibri" w:hAnsi="Calibri"/>
          <w:sz w:val="17"/>
        </w:rPr>
      </w:pPr>
      <w:r>
        <w:rPr>
          <w:rFonts w:ascii="Times New Roman" w:hAnsi="Times New Roman"/>
          <w:sz w:val="17"/>
        </w:rPr>
        <w:t>Los Angeles, CA 90045</w:t>
      </w:r>
      <w:r>
        <w:rPr>
          <w:rFonts w:ascii="Calibri" w:hAnsi="Calibri"/>
          <w:sz w:val="17"/>
        </w:rPr>
        <w:t xml:space="preserve"> </w:t>
      </w:r>
    </w:p>
    <w:p>
      <w:pPr>
        <w:pStyle w:val="TextBody"/>
        <w:spacing w:before="0" w:after="0"/>
        <w:ind w:left="720" w:right="720" w:hanging="0"/>
        <w:rPr/>
      </w:pPr>
      <w:r>
        <w:rPr/>
        <w:t xml:space="preserve">  </w:t>
      </w:r>
    </w:p>
    <w:p>
      <w:pPr>
        <w:pStyle w:val="TextBody"/>
        <w:spacing w:lineRule="auto" w:line="276" w:before="0" w:after="200"/>
        <w:ind w:left="1440" w:right="720" w:hanging="0"/>
        <w:rPr>
          <w:rFonts w:ascii="Times New Roman" w:hAnsi="Times New Roman"/>
          <w:b/>
          <w:sz w:val="17"/>
        </w:rPr>
      </w:pPr>
      <w:r>
        <w:rPr>
          <w:rFonts w:ascii="Times New Roman" w:hAnsi="Times New Roman"/>
          <w:b/>
          <w:sz w:val="17"/>
        </w:rPr>
        <w:t xml:space="preserve">Re: Master Lease Agreement No. 24874-90000 dated as of October 26, 2012 between Banc of America Leasing &amp; Capital, LLC as "I.essor" and Consolidated Cinema Services. LLC as "Lessee" (the "Master Lease") </w:t>
      </w:r>
    </w:p>
    <w:p>
      <w:pPr>
        <w:pStyle w:val="TextBody"/>
        <w:spacing w:lineRule="auto" w:line="276" w:before="0" w:after="200"/>
        <w:ind w:left="720" w:right="720" w:hanging="0"/>
        <w:jc w:val="both"/>
        <w:rPr>
          <w:rFonts w:ascii="Times New Roman" w:hAnsi="Times New Roman"/>
          <w:sz w:val="17"/>
        </w:rPr>
      </w:pPr>
      <w:r>
        <w:rPr>
          <w:rFonts w:ascii="Times New Roman" w:hAnsi="Times New Roman"/>
          <w:sz w:val="17"/>
        </w:rPr>
        <w:t xml:space="preserve">Dear Andrzej: </w:t>
      </w:r>
    </w:p>
    <w:p>
      <w:pPr>
        <w:pStyle w:val="TextBody"/>
        <w:spacing w:lineRule="auto" w:line="276" w:before="0" w:after="200"/>
        <w:ind w:left="720" w:right="720" w:hanging="0"/>
        <w:jc w:val="both"/>
        <w:rPr>
          <w:rFonts w:ascii="Calibri" w:hAnsi="Calibri"/>
          <w:sz w:val="17"/>
        </w:rPr>
      </w:pPr>
      <w:r>
        <w:rPr>
          <w:rFonts w:ascii="Times New Roman" w:hAnsi="Times New Roman"/>
          <w:sz w:val="17"/>
        </w:rPr>
        <w:t>We refer to the captioned Master Lease executed by the parties as of October 26, 2012.</w:t>
      </w:r>
      <w:r>
        <w:rPr>
          <w:rFonts w:ascii="Calibri" w:hAnsi="Calibri"/>
          <w:sz w:val="17"/>
        </w:rPr>
        <w:t xml:space="preserve"> </w:t>
      </w:r>
    </w:p>
    <w:p>
      <w:pPr>
        <w:pStyle w:val="TextBody"/>
        <w:spacing w:lineRule="auto" w:line="276" w:before="0" w:after="200"/>
        <w:ind w:left="720" w:right="720" w:hanging="0"/>
        <w:jc w:val="both"/>
        <w:rPr>
          <w:rFonts w:ascii="Times New Roman" w:hAnsi="Times New Roman"/>
          <w:sz w:val="17"/>
        </w:rPr>
      </w:pPr>
      <w:r>
        <w:rPr>
          <w:rFonts w:ascii="Times New Roman" w:hAnsi="Times New Roman"/>
          <w:sz w:val="17"/>
        </w:rPr>
        <w:t xml:space="preserve">In consideration of the mutual agreement of the parties and other good and valuable consideration, the receipt of which is hereby acknowledged, BALC and CCS hereby agree to amend the last sentence of Section 10(a) by striking it in its entirety and substituting the following: </w:t>
      </w:r>
    </w:p>
    <w:p>
      <w:pPr>
        <w:pStyle w:val="TextBody"/>
        <w:spacing w:lineRule="auto" w:line="276" w:before="0" w:after="200"/>
        <w:ind w:left="1440" w:right="720" w:hanging="0"/>
        <w:jc w:val="both"/>
        <w:rPr>
          <w:rFonts w:ascii="Calibri" w:hAnsi="Calibri"/>
          <w:sz w:val="17"/>
        </w:rPr>
      </w:pPr>
      <w:r>
        <w:rPr>
          <w:rFonts w:ascii="Times New Roman" w:hAnsi="Times New Roman"/>
          <w:sz w:val="17"/>
        </w:rPr>
        <w:t>Notwithstanding the foregoing (1) Lessee shall have the right to license the Equipment to its Affiliates, and shall have the right to allow licensees to use the Equipment on third-party premises, provided that such license agreements are in form and substance reasonably acceptable to Lessor, and Lessee obtains from the owners and landlords or such premises a consent to installation and waiver in form and substance reasonably acceptable to Lessor and (2) the Lessee's obligation to Lessor to deliver a consent to installation and waiver or otherwise to ensure access to and removal of Equipment shall be limited to Lessee using good faith, commercially reasonable efforts to obtain by December 31, 2012 consents to installation and waiver, or other landlord consents and waivers, for locations where Equipment will be located on premises leased by Lessee or its Affiliates in form and substance reasonably satisfactory to Lessor (and it shall not be a condition precedent to any funding, license or installation that any such consent and\or waiver be obtained).</w:t>
      </w:r>
      <w:r>
        <w:rPr>
          <w:rFonts w:ascii="Calibri" w:hAnsi="Calibri"/>
          <w:sz w:val="17"/>
        </w:rPr>
        <w:t xml:space="preserve"> </w:t>
      </w:r>
    </w:p>
    <w:p>
      <w:pPr>
        <w:pStyle w:val="TextBody"/>
        <w:spacing w:lineRule="auto" w:line="276" w:before="0" w:after="200"/>
        <w:ind w:left="720" w:right="720" w:hanging="0"/>
        <w:jc w:val="both"/>
        <w:rPr>
          <w:rFonts w:ascii="Times New Roman" w:hAnsi="Times New Roman"/>
          <w:sz w:val="17"/>
        </w:rPr>
      </w:pPr>
      <w:r>
        <w:rPr>
          <w:rFonts w:ascii="Times New Roman" w:hAnsi="Times New Roman"/>
          <w:sz w:val="17"/>
        </w:rPr>
        <w:t xml:space="preserve">Except as amended hereby, the Master Lease shall remain in full force and effect and is in all respects hereby ratified and affirmed. Capitalized terms not otherwise defined herein shall have the meanings ascribed them in the Master Lease. </w:t>
      </w:r>
    </w:p>
    <w:p>
      <w:pPr>
        <w:pStyle w:val="TextBody"/>
        <w:spacing w:lineRule="auto" w:line="276" w:before="0" w:after="200"/>
        <w:ind w:left="720" w:right="720" w:hanging="0"/>
        <w:rPr>
          <w:rFonts w:ascii="Calibri" w:hAnsi="Calibri"/>
          <w:sz w:val="17"/>
        </w:rPr>
      </w:pPr>
      <w:r>
        <w:rPr>
          <w:rFonts w:ascii="Times New Roman" w:hAnsi="Times New Roman"/>
          <w:sz w:val="17"/>
        </w:rPr>
        <w:t>Sincerely,</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/s/ Gail C. Beall</w:t>
      </w:r>
      <w:r>
        <w:rPr>
          <w:rFonts w:ascii="Calibri" w:hAnsi="Calibri"/>
          <w:sz w:val="17"/>
        </w:rPr>
        <w:t xml:space="preserve"> </w:t>
      </w:r>
    </w:p>
    <w:p>
      <w:pPr>
        <w:pStyle w:val="TextBody"/>
        <w:spacing w:lineRule="auto" w:line="276" w:before="0" w:after="0"/>
        <w:ind w:left="720" w:right="720" w:hanging="0"/>
        <w:rPr>
          <w:rFonts w:ascii="Calibri" w:hAnsi="Calibri"/>
          <w:sz w:val="17"/>
        </w:rPr>
      </w:pPr>
      <w:r>
        <w:rPr>
          <w:rFonts w:ascii="Times New Roman" w:hAnsi="Times New Roman"/>
          <w:sz w:val="17"/>
        </w:rPr>
        <w:t>Gail C. Beall</w:t>
      </w:r>
      <w:r>
        <w:rPr>
          <w:rFonts w:ascii="Calibri" w:hAnsi="Calibri"/>
          <w:sz w:val="17"/>
        </w:rPr>
        <w:t xml:space="preserve"> </w:t>
      </w:r>
    </w:p>
    <w:p>
      <w:pPr>
        <w:pStyle w:val="TextBody"/>
        <w:spacing w:lineRule="auto" w:line="276" w:before="0" w:after="0"/>
        <w:ind w:left="720" w:right="720" w:hanging="0"/>
        <w:rPr>
          <w:rFonts w:ascii="Calibri" w:hAnsi="Calibri"/>
          <w:sz w:val="17"/>
        </w:rPr>
      </w:pPr>
      <w:r>
        <w:rPr>
          <w:rFonts w:ascii="Times New Roman" w:hAnsi="Times New Roman"/>
          <w:sz w:val="17"/>
        </w:rPr>
        <w:t>Vice President</w:t>
      </w:r>
      <w:r>
        <w:rPr>
          <w:rFonts w:ascii="Calibri" w:hAnsi="Calibri"/>
          <w:sz w:val="17"/>
        </w:rPr>
        <w:t xml:space="preserve"> </w:t>
      </w:r>
    </w:p>
    <w:p>
      <w:pPr>
        <w:pStyle w:val="TextBody"/>
        <w:spacing w:lineRule="auto" w:line="276" w:before="0" w:after="0"/>
        <w:ind w:left="720" w:right="720" w:hanging="0"/>
        <w:rPr/>
      </w:pPr>
      <w:r>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cc: William Sellier, SVP</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Consolidated Cinema Services, LLC hereby agrees to the amendment to the Master Lease set forth herein:</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b/>
          <w:sz w:val="17"/>
        </w:rPr>
        <w:t>CONSOLIDATED CINEMA SERVICES LLC</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 xml:space="preserve">By: </w:t>
      </w:r>
      <w:r>
        <w:rPr>
          <w:rFonts w:ascii="Times New Roman" w:hAnsi="Times New Roman"/>
          <w:sz w:val="17"/>
          <w:u w:val="single"/>
        </w:rPr>
        <w:t>/S/ Andrzej Matyczynski</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 xml:space="preserve">Printed Name: </w:t>
      </w:r>
      <w:r>
        <w:rPr>
          <w:rFonts w:ascii="Times New Roman" w:hAnsi="Times New Roman"/>
          <w:sz w:val="17"/>
          <w:u w:val="single"/>
        </w:rPr>
        <w:t>Andrzej Matyczynski</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Title: Chief Financial Officer</w:t>
      </w:r>
      <w:r>
        <w:rPr>
          <w:rFonts w:ascii="Calibri" w:hAnsi="Calibri"/>
          <w:sz w:val="17"/>
        </w:rPr>
        <w:t xml:space="preserve"> </w:t>
      </w:r>
    </w:p>
    <w:p>
      <w:pPr>
        <w:pStyle w:val="TextBody"/>
        <w:spacing w:lineRule="auto" w:line="276" w:before="0" w:after="200"/>
        <w:ind w:left="720" w:right="720" w:hanging="0"/>
        <w:rPr>
          <w:rFonts w:ascii="Calibri" w:hAnsi="Calibri"/>
          <w:sz w:val="17"/>
        </w:rPr>
      </w:pPr>
      <w:r>
        <w:rPr>
          <w:rFonts w:ascii="Times New Roman" w:hAnsi="Times New Roman"/>
          <w:sz w:val="17"/>
        </w:rPr>
        <w:t>Date: October 31, 2012</w:t>
      </w:r>
      <w:r>
        <w:rPr>
          <w:rFonts w:ascii="Calibri" w:hAnsi="Calibri"/>
          <w:sz w:val="17"/>
        </w:rPr>
        <w:t xml:space="preserve"> </w:t>
      </w:r>
    </w:p>
    <w:p>
      <w:pPr>
        <w:pStyle w:val="HorizontalLine"/>
        <w:pBdr>
          <w:bottom w:val="double" w:sz="6" w:space="0" w:color="808080"/>
        </w:pBdr>
        <w:ind w:left="720" w:right="720" w:hanging="0"/>
        <w:rPr/>
      </w:pPr>
      <w:r>
        <w:rPr/>
      </w:r>
      <w:r>
        <w:br w:type="page"/>
      </w:r>
    </w:p>
    <w:p>
      <w:pPr>
        <w:pStyle w:val="TextBody"/>
        <w:spacing w:lineRule="auto" w:line="276" w:before="0" w:after="200"/>
        <w:ind w:left="1440" w:right="1440" w:hanging="0"/>
        <w:jc w:val="right"/>
        <w:rPr>
          <w:sz w:val="17"/>
        </w:rPr>
      </w:pPr>
      <w:bookmarkStart w:id="11" w:name="rdi-20121231ex217c66d66.htm"/>
      <w:bookmarkStart w:id="12" w:name="ksrdi20121231ex217c66d66"/>
      <w:bookmarkEnd w:id="11"/>
      <w:bookmarkEnd w:id="12"/>
      <w:r>
        <w:rPr>
          <w:rFonts w:ascii="Times New Roman" w:hAnsi="Times New Roman"/>
          <w:b/>
          <w:sz w:val="17"/>
        </w:rPr>
        <w:t>EXHIBIT 21</w:t>
      </w:r>
      <w:r>
        <w:rPr>
          <w:sz w:val="17"/>
        </w:rPr>
        <w:t xml:space="preserve"> </w:t>
      </w:r>
    </w:p>
    <w:p>
      <w:pPr>
        <w:pStyle w:val="TextBody"/>
        <w:spacing w:before="0" w:after="0"/>
        <w:ind w:left="1440" w:right="1440" w:hanging="0"/>
        <w:jc w:val="both"/>
        <w:rPr/>
      </w:pPr>
      <w:r>
        <w:rPr/>
        <w:t xml:space="preserve">  </w:t>
      </w:r>
    </w:p>
    <w:p>
      <w:pPr>
        <w:pStyle w:val="TextBody"/>
        <w:spacing w:lineRule="auto" w:line="276" w:before="0" w:after="200"/>
        <w:ind w:left="1440" w:right="1440" w:hanging="0"/>
        <w:jc w:val="both"/>
        <w:rPr>
          <w:sz w:val="17"/>
        </w:rPr>
      </w:pPr>
      <w:r>
        <w:rPr>
          <w:rFonts w:ascii="Times New Roman" w:hAnsi="Times New Roman"/>
          <w:b/>
          <w:sz w:val="17"/>
        </w:rPr>
        <w:t>READING INTERNATIONAL, INC. – LIST OF SUBSIDIARIES</w:t>
      </w:r>
      <w:r>
        <w:rPr>
          <w:sz w:val="17"/>
        </w:rPr>
        <w:t xml:space="preserve"> </w:t>
      </w:r>
    </w:p>
    <w:p>
      <w:pPr>
        <w:pStyle w:val="TextBody"/>
        <w:spacing w:lineRule="auto" w:line="240" w:before="0" w:after="0"/>
        <w:ind w:left="1440" w:right="1440" w:hanging="0"/>
        <w:jc w:val="both"/>
        <w:rPr>
          <w:sz w:val="17"/>
        </w:rPr>
      </w:pPr>
      <w:r>
        <w:rPr>
          <w:rFonts w:ascii="Times New Roman" w:hAnsi="Times New Roman"/>
          <w:b/>
          <w:sz w:val="17"/>
        </w:rPr>
        <w:t>Subsidiary (Jurisdiction of Incorporation)</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A.C.N. 143 633 096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AHGP, Inc.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AHLP, Inc.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Angelika Film Center Mosaic,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Angelika Film Centers (Dallas), Inc. (Texas)</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Angelika Film Centers (Plano) LP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Angelika Plano Beverage LLC (Texas)</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Australia Country Cinemas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Australian Equipment Supply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Bayou Cinemas LP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Bogart Holdings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Burwood Developments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Carmel Theatres,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Citadel Agriculture, Inc. (California)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Citadel Cinemas, Inc.</w:t>
      </w:r>
      <w:r>
        <w:rPr>
          <w:sz w:val="17"/>
        </w:rPr>
        <w:t xml:space="preserve">  </w:t>
      </w:r>
      <w:r>
        <w:rPr>
          <w:rFonts w:ascii="Times New Roman" w:hAnsi="Times New Roman"/>
          <w:sz w:val="17"/>
        </w:rPr>
        <w:t>(Nevada)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Citadel Realty, Inc.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City Cinemas,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Consolidated Amusement Holdings, LLC</w:t>
      </w:r>
      <w:r>
        <w:rPr>
          <w:sz w:val="17"/>
        </w:rPr>
        <w:t xml:space="preserve">  </w:t>
      </w:r>
      <w:r>
        <w:rPr>
          <w:rFonts w:ascii="Times New Roman" w:hAnsi="Times New Roman"/>
          <w:sz w:val="17"/>
        </w:rPr>
        <w:t>(Nevada)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Consolidated Cinema Services,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Consolidated Entertainment,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Copenhagen Courtenay Central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Courtenay Car Park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Craig Corporation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Darnelle Enterprises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Dimension Specialty, Inc.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Epping Cinemas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Gaslamp Theatres,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Hope Street Hospitality, LLC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Hotel Newmarket Pty Ltd</w:t>
      </w:r>
      <w:r>
        <w:rPr>
          <w:sz w:val="17"/>
        </w:rPr>
        <w:t xml:space="preserve">  </w:t>
      </w:r>
      <w:r>
        <w:rPr>
          <w:rFonts w:ascii="Times New Roman" w:hAnsi="Times New Roman"/>
          <w:sz w:val="17"/>
        </w:rPr>
        <w:t>(Australia)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Kaahumanu Cinemas,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Kahala Cinema</w:t>
      </w:r>
      <w:r>
        <w:rPr>
          <w:sz w:val="17"/>
        </w:rPr>
        <w:t xml:space="preserve"> </w:t>
      </w:r>
      <w:r>
        <w:rPr>
          <w:rFonts w:ascii="Times New Roman" w:hAnsi="Times New Roman"/>
          <w:sz w:val="17"/>
        </w:rPr>
        <w:t>Company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Liberty Live,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Liberty Theaters,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Liberty Theatricals,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Minetta Live,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Movieland Cinemas (NZ)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Newmarket Properties #3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Newmarket Properties No. 2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Newmarket Properties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Orpheum Live,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Queenstown Land Holdings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Arthouse Distribution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Arthouse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Auburn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Australia Leasing (E&amp;R)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Belmont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Capital Corporation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w:t>
      </w:r>
      <w:r>
        <w:rPr>
          <w:sz w:val="17"/>
        </w:rPr>
        <w:t xml:space="preserve"> </w:t>
      </w:r>
      <w:r>
        <w:rPr>
          <w:rFonts w:ascii="Times New Roman" w:hAnsi="Times New Roman"/>
          <w:sz w:val="17"/>
        </w:rPr>
        <w:t>Center Development Corporation (Pennsylvania)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Charlestown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Cinemas Courtenay Central Ltd (New Zealand)</w:t>
      </w:r>
      <w:r>
        <w:rPr>
          <w:sz w:val="17"/>
        </w:rPr>
        <w:t xml:space="preserve"> </w:t>
      </w:r>
    </w:p>
    <w:p>
      <w:pPr>
        <w:pStyle w:val="HorizontalLine"/>
        <w:pBdr>
          <w:bottom w:val="double" w:sz="6" w:space="0" w:color="808080"/>
        </w:pBdr>
        <w:ind w:left="1440" w:right="1440" w:hanging="0"/>
        <w:rPr/>
      </w:pPr>
      <w:r>
        <w:rPr/>
      </w:r>
      <w:r>
        <w:br w:type="page"/>
      </w:r>
    </w:p>
    <w:p>
      <w:pPr>
        <w:pStyle w:val="TextBody"/>
        <w:ind w:left="1440" w:right="1440" w:hanging="0"/>
        <w:rPr/>
      </w:pPr>
      <w:r>
        <w:rPr/>
        <w:t> </w:t>
      </w:r>
    </w:p>
    <w:p>
      <w:pPr>
        <w:pStyle w:val="TextBody"/>
        <w:spacing w:lineRule="auto" w:line="240" w:before="0" w:after="0"/>
        <w:ind w:left="1440" w:right="1440" w:hanging="0"/>
        <w:jc w:val="both"/>
        <w:rPr>
          <w:sz w:val="17"/>
        </w:rPr>
      </w:pPr>
      <w:r>
        <w:rPr>
          <w:rFonts w:ascii="Times New Roman" w:hAnsi="Times New Roman"/>
          <w:sz w:val="17"/>
        </w:rPr>
        <w:t>Reading Cinemas Management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Cinemas NJ, Inc.</w:t>
      </w:r>
      <w:r>
        <w:rPr>
          <w:sz w:val="17"/>
        </w:rPr>
        <w:t xml:space="preserve">  </w:t>
      </w:r>
      <w:r>
        <w:rPr>
          <w:rFonts w:ascii="Times New Roman" w:hAnsi="Times New Roman"/>
          <w:sz w:val="17"/>
        </w:rPr>
        <w:t>(Delaware)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Cinemas of Puerto Rico, Inc. (Puerto Rico)</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Cinemas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Cinemas Puerto Rico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Cinemas USA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Colac</w:t>
      </w:r>
      <w:r>
        <w:rPr>
          <w:sz w:val="17"/>
        </w:rPr>
        <w:t xml:space="preserve"> </w:t>
      </w:r>
      <w:r>
        <w:rPr>
          <w:rFonts w:ascii="Times New Roman" w:hAnsi="Times New Roman"/>
          <w:sz w:val="17"/>
        </w:rPr>
        <w:t>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Company (Pennsylvania)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Consolidated Holdings, Inc.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Consolidated Holdings (Hawaii), Inc. (Hawaii)</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Dandenong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Elizabeth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Entertainment Australia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Exhibition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Holdings, Inc.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International Cinemas LLC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w:t>
      </w:r>
      <w:r>
        <w:rPr>
          <w:sz w:val="17"/>
        </w:rPr>
        <w:t xml:space="preserve"> </w:t>
      </w:r>
      <w:r>
        <w:rPr>
          <w:rFonts w:ascii="Times New Roman" w:hAnsi="Times New Roman"/>
          <w:sz w:val="17"/>
        </w:rPr>
        <w:t>International Services Company (California)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Licenses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Maitland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Malulani, LLC</w:t>
      </w:r>
      <w:r>
        <w:rPr>
          <w:sz w:val="17"/>
        </w:rPr>
        <w:t xml:space="preserve">  </w:t>
      </w:r>
      <w:r>
        <w:rPr>
          <w:rFonts w:ascii="Times New Roman" w:hAnsi="Times New Roman"/>
          <w:sz w:val="17"/>
        </w:rPr>
        <w:t>(Nevada)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Melton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Moonee Ponds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Murrieta Theater,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New Zealand Holdings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New Zealand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Pacific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Properties Indooroopilly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Properties Lake Taupo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Properties Manukau Ltd</w:t>
      </w:r>
      <w:r>
        <w:rPr>
          <w:sz w:val="17"/>
        </w:rPr>
        <w:t xml:space="preserve">  </w:t>
      </w:r>
      <w:r>
        <w:rPr>
          <w:rFonts w:ascii="Times New Roman" w:hAnsi="Times New Roman"/>
          <w:sz w:val="17"/>
        </w:rPr>
        <w:t>(New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Properties New Zealand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Properties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Properties Taringa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Property Holdings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Queenstown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Real Estate Company (Pennsylvania)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Rouse Hill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Royal George, LLC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Sunbury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Theaters, Inc.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Reading Wellington Properties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Rhodes Peninsula Cinema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Rialto Brands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Rialto Cinemas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Rialto Distribution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Rialto Entertainment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Ronwood Investments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Rydal Equipment Co. (Pennsylvania)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S Note Liquidation Company,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Sails Apartments Management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Shadow View Land and Farming, LLC</w:t>
      </w:r>
      <w:r>
        <w:rPr>
          <w:sz w:val="17"/>
        </w:rPr>
        <w:t xml:space="preserve">  </w:t>
      </w:r>
      <w:r>
        <w:rPr>
          <w:rFonts w:ascii="Times New Roman" w:hAnsi="Times New Roman"/>
          <w:sz w:val="17"/>
        </w:rPr>
        <w:t>(Nevada)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Sutton Hill Properties,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Tobrooke Holdings Ltd (New Zealand)</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Trans-Pacific Finance Fund I, LLC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Trenton-Princeton Traction Company (New Jersey)</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Twin Cities Cinemas, Inc. (Delaware)</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US Agricultural Investors, LLC (Delaware)</w:t>
      </w:r>
      <w:r>
        <w:rPr>
          <w:sz w:val="17"/>
        </w:rPr>
        <w:t xml:space="preserve"> </w:t>
      </w:r>
    </w:p>
    <w:p>
      <w:pPr>
        <w:pStyle w:val="HorizontalLine"/>
        <w:pBdr>
          <w:bottom w:val="double" w:sz="6" w:space="0" w:color="808080"/>
        </w:pBdr>
        <w:ind w:left="1440" w:right="1440" w:hanging="0"/>
        <w:rPr/>
      </w:pPr>
      <w:r>
        <w:rPr/>
      </w:r>
      <w:r>
        <w:br w:type="page"/>
      </w:r>
    </w:p>
    <w:p>
      <w:pPr>
        <w:pStyle w:val="TextBody"/>
        <w:ind w:left="1440" w:right="1440" w:hanging="0"/>
        <w:rPr/>
      </w:pPr>
      <w:r>
        <w:rPr/>
        <w:t> </w:t>
      </w:r>
    </w:p>
    <w:p>
      <w:pPr>
        <w:pStyle w:val="TextBody"/>
        <w:spacing w:lineRule="auto" w:line="240" w:before="0" w:after="0"/>
        <w:ind w:left="1440" w:right="1440" w:hanging="0"/>
        <w:jc w:val="both"/>
        <w:rPr>
          <w:sz w:val="17"/>
        </w:rPr>
      </w:pPr>
      <w:r>
        <w:rPr>
          <w:rFonts w:ascii="Times New Roman" w:hAnsi="Times New Roman"/>
          <w:sz w:val="17"/>
        </w:rPr>
        <w:t>US Development, LLC (Nevada)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US International Property Finance Pty Ltd (Australia)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Washington and Franklin Railway Company (Pennsylvania)</w:t>
      </w:r>
      <w:r>
        <w:rPr>
          <w:sz w:val="17"/>
        </w:rPr>
        <w:t xml:space="preserve"> </w:t>
      </w:r>
    </w:p>
    <w:p>
      <w:pPr>
        <w:pStyle w:val="TextBody"/>
        <w:spacing w:lineRule="auto" w:line="240" w:before="0" w:after="0"/>
        <w:ind w:left="1440" w:right="1440" w:hanging="0"/>
        <w:jc w:val="both"/>
        <w:rPr>
          <w:sz w:val="17"/>
        </w:rPr>
      </w:pPr>
      <w:r>
        <w:rPr>
          <w:rFonts w:ascii="Times New Roman" w:hAnsi="Times New Roman"/>
          <w:sz w:val="17"/>
        </w:rPr>
        <w:t>Westlakes Cinema Pty Ltd (Australia)</w:t>
      </w:r>
      <w:r>
        <w:rPr>
          <w:sz w:val="17"/>
        </w:rPr>
        <w:t xml:space="preserve"> </w:t>
      </w:r>
    </w:p>
    <w:p>
      <w:pPr>
        <w:pStyle w:val="HorizontalLine"/>
        <w:pBdr>
          <w:bottom w:val="double" w:sz="6" w:space="0" w:color="808080"/>
        </w:pBdr>
        <w:ind w:left="1440" w:right="1440" w:hanging="0"/>
        <w:rPr/>
      </w:pPr>
      <w:r>
        <w:rPr/>
      </w:r>
      <w:r>
        <w:br w:type="page"/>
      </w:r>
    </w:p>
    <w:p>
      <w:pPr>
        <w:pStyle w:val="TextBody"/>
        <w:spacing w:lineRule="auto" w:line="276" w:before="0" w:after="120"/>
        <w:ind w:left="1440" w:right="1440" w:hanging="0"/>
        <w:jc w:val="right"/>
        <w:rPr>
          <w:rFonts w:ascii="Times New Roman" w:hAnsi="Times New Roman"/>
          <w:sz w:val="17"/>
        </w:rPr>
      </w:pPr>
      <w:bookmarkStart w:id="13" w:name="rdi-20121231ex231d81662.htm"/>
      <w:bookmarkStart w:id="14" w:name="ksrdi20121231ex231d81662"/>
      <w:bookmarkEnd w:id="13"/>
      <w:bookmarkEnd w:id="14"/>
      <w:r>
        <w:rPr>
          <w:rFonts w:ascii="Times New Roman" w:hAnsi="Times New Roman"/>
          <w:b/>
          <w:sz w:val="17"/>
        </w:rPr>
        <w:t>EXHIBIT 23.1</w:t>
      </w:r>
      <w:r>
        <w:rPr>
          <w:rFonts w:ascii="Times New Roman" w:hAnsi="Times New Roman"/>
          <w:sz w:val="17"/>
        </w:rPr>
        <w:t xml:space="preserve"> </w:t>
      </w:r>
    </w:p>
    <w:p>
      <w:pPr>
        <w:pStyle w:val="TextBody"/>
        <w:spacing w:lineRule="auto" w:line="276" w:before="0" w:after="120"/>
        <w:ind w:left="1440" w:right="1440" w:hanging="0"/>
        <w:jc w:val="both"/>
        <w:rPr/>
      </w:pPr>
      <w:r>
        <w:rPr/>
        <w:t xml:space="preserve">  </w:t>
      </w:r>
    </w:p>
    <w:p>
      <w:pPr>
        <w:pStyle w:val="TextBody"/>
        <w:spacing w:lineRule="auto" w:line="276" w:before="0" w:after="120"/>
        <w:ind w:left="1440" w:right="1440" w:hanging="0"/>
        <w:jc w:val="both"/>
        <w:rPr/>
      </w:pPr>
      <w:r>
        <w:rPr/>
        <w:t xml:space="preserve">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Consent of Independent Registered Public Accounting Firm</w:t>
      </w:r>
      <w:r>
        <w:rPr>
          <w:rFonts w:ascii="Times New Roman" w:hAnsi="Times New Roman"/>
          <w:sz w:val="17"/>
        </w:rPr>
        <w:t xml:space="preserve"> </w:t>
      </w:r>
    </w:p>
    <w:p>
      <w:pPr>
        <w:pStyle w:val="TextBody"/>
        <w:spacing w:lineRule="auto" w:line="276" w:before="0" w:after="120"/>
        <w:ind w:left="1440" w:right="1440" w:hanging="0"/>
        <w:jc w:val="both"/>
        <w:rPr/>
      </w:pPr>
      <w:r>
        <w:rPr/>
        <w:t>       </w:t>
      </w:r>
      <w:r>
        <w:rPr>
          <w:rFonts w:ascii="Times New Roman" w:hAnsi="Times New Roman"/>
          <w:sz w:val="17"/>
        </w:rPr>
        <w:t xml:space="preserve">We have issued our reports dated March 18, 2013, with respect to the consolidated financial statements, schedule and internal control over financial reporting included in the Annual Report of Reading International, Inc. on Form 10-K for the year ended December 31, 2012. We hereby consent to the incorporation by reference of said reports in the Registration Statements of Reading International, Inc on Form S-8 (File No. 333-36277) and on Form S-3 (File No. 333-162581). </w:t>
      </w:r>
    </w:p>
    <w:p>
      <w:pPr>
        <w:pStyle w:val="TextBody"/>
        <w:spacing w:lineRule="auto" w:line="276" w:before="0" w:after="12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/s/ GRANT THORNTON LLP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Los Angeles, California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March 19, 2013             </w:t>
      </w:r>
    </w:p>
    <w:p>
      <w:pPr>
        <w:pStyle w:val="TextBody"/>
        <w:spacing w:before="0" w:after="0"/>
        <w:ind w:left="1440" w:right="1440" w:hanging="0"/>
        <w:jc w:val="both"/>
        <w:rPr/>
      </w:pPr>
      <w:r>
        <w:rPr/>
        <w:t xml:space="preserve">  </w:t>
      </w:r>
    </w:p>
    <w:p>
      <w:pPr>
        <w:pStyle w:val="HorizontalLine"/>
        <w:pBdr>
          <w:bottom w:val="double" w:sz="6" w:space="0" w:color="808080"/>
        </w:pBdr>
        <w:ind w:left="1440" w:right="1440" w:hanging="0"/>
        <w:rPr/>
      </w:pPr>
      <w:r>
        <w:rPr/>
      </w:r>
      <w:r>
        <w:br w:type="page"/>
      </w:r>
    </w:p>
    <w:p>
      <w:pPr>
        <w:pStyle w:val="TextBody"/>
        <w:spacing w:lineRule="auto" w:line="276" w:before="0" w:after="0"/>
        <w:ind w:left="1440" w:right="1440" w:hanging="0"/>
        <w:jc w:val="right"/>
        <w:rPr>
          <w:rFonts w:ascii="Times New Roman" w:hAnsi="Times New Roman"/>
          <w:sz w:val="17"/>
        </w:rPr>
      </w:pPr>
      <w:bookmarkStart w:id="15" w:name="rdi-20121231ex2326da74b.htm"/>
      <w:bookmarkStart w:id="16" w:name="ksrdi20121231ex2326da74b"/>
      <w:bookmarkEnd w:id="15"/>
      <w:bookmarkEnd w:id="16"/>
      <w:r>
        <w:rPr>
          <w:rFonts w:ascii="Times New Roman" w:hAnsi="Times New Roman"/>
          <w:b/>
          <w:sz w:val="17"/>
        </w:rPr>
        <w:t>EXHIBIT 23.2</w:t>
      </w:r>
      <w:r>
        <w:rPr>
          <w:rFonts w:ascii="Times New Roman" w:hAnsi="Times New Roman"/>
          <w:sz w:val="17"/>
        </w:rPr>
        <w:t xml:space="preserve"> </w:t>
      </w:r>
    </w:p>
    <w:p>
      <w:pPr>
        <w:pStyle w:val="TextBody"/>
        <w:spacing w:before="0" w:after="0"/>
        <w:ind w:left="1440" w:right="1440" w:hanging="0"/>
        <w:jc w:val="both"/>
        <w:rPr/>
      </w:pPr>
      <w:r>
        <w:rPr/>
        <w:t xml:space="preserve">  </w:t>
      </w:r>
    </w:p>
    <w:p>
      <w:pPr>
        <w:pStyle w:val="TextBody"/>
        <w:spacing w:lineRule="auto" w:line="276" w:before="0" w:after="0"/>
        <w:ind w:left="1440" w:right="1440" w:hanging="0"/>
        <w:jc w:val="center"/>
        <w:rPr>
          <w:rFonts w:ascii="Times New Roman" w:hAnsi="Times New Roman"/>
          <w:sz w:val="17"/>
        </w:rPr>
      </w:pPr>
      <w:r>
        <w:rPr>
          <w:rFonts w:ascii="Times New Roman" w:hAnsi="Times New Roman"/>
          <w:b/>
          <w:sz w:val="17"/>
        </w:rPr>
        <w:t>CONSENT OF INDEPENDENT REGISTERED PUBLIC ACCOUNTING FIRM</w:t>
      </w:r>
      <w:r>
        <w:rPr>
          <w:rFonts w:ascii="Times New Roman" w:hAnsi="Times New Roman"/>
          <w:sz w:val="17"/>
        </w:rPr>
        <w:t xml:space="preserve"> </w:t>
      </w:r>
    </w:p>
    <w:p>
      <w:pPr>
        <w:pStyle w:val="TextBody"/>
        <w:spacing w:lineRule="auto" w:line="276" w:before="0" w:after="0"/>
        <w:ind w:left="1440" w:right="1440" w:hanging="0"/>
        <w:jc w:val="both"/>
        <w:rPr/>
      </w:pPr>
      <w:r>
        <w:rPr/>
        <w:t xml:space="preserve">  </w:t>
      </w:r>
    </w:p>
    <w:p>
      <w:pPr>
        <w:pStyle w:val="TextBody"/>
        <w:spacing w:lineRule="auto" w:line="276" w:before="0" w:after="0"/>
        <w:ind w:left="1440" w:right="1440" w:firstLine="720"/>
        <w:jc w:val="both"/>
        <w:rPr>
          <w:rFonts w:ascii="Times New Roman" w:hAnsi="Times New Roman"/>
          <w:sz w:val="17"/>
        </w:rPr>
      </w:pPr>
      <w:r>
        <w:rPr>
          <w:rFonts w:ascii="Times New Roman" w:hAnsi="Times New Roman"/>
          <w:sz w:val="17"/>
        </w:rPr>
        <w:t xml:space="preserve">We consent to the incorporation by reference in Registration Statement No. 333-36277 on Form S-8 of our report dated March 15, 2011 (March 15, 2012 as to the effects of the retrospective adjustments for the reversal of discontinued operations discussed in Note 9, and March 18, 2013  as to the effects of the retrospective adjustments for the adoption of ASU No. 2011-05 discussed in Note 2 and the effects of the retrospective adjustments for discontinued operations discussed in Note 8), relating to the financial statements and Schedule II – Valuation and Qualifying Accounts for the year ended December 31, 2010, listed in the Index at Item 15 of Reading International, Inc. and subsidiaries (the “Company”) ,which report includes an explanatory paragraph regarding the current maturity of the Company’s Australian Credit Facility, an explanatory paragraph regarding the retrospective adjustments for the adoption of ASU No. 2011-05, an explanatory paragraph regarding the retrospective adjustments to reflect discontinued operations, and an explanatory paragraph regarding the retrospective adjustments to reflect the reversal of discontinued operations, appearing in this Annual Report on Form 10-K of Reading International, Inc. and subsidiaries for the year ended December 31, 2012. </w:t>
      </w:r>
    </w:p>
    <w:p>
      <w:pPr>
        <w:pStyle w:val="TextBody"/>
        <w:spacing w:lineRule="auto" w:line="276" w:before="0" w:after="0"/>
        <w:ind w:left="1440" w:right="1440" w:hanging="0"/>
        <w:jc w:val="both"/>
        <w:rPr/>
      </w:pPr>
      <w:r>
        <w:rPr/>
        <w:t xml:space="preserve">  </w:t>
      </w:r>
    </w:p>
    <w:p>
      <w:pPr>
        <w:pStyle w:val="TextBody"/>
        <w:spacing w:before="0" w:after="0"/>
        <w:ind w:left="1440" w:right="1440" w:hanging="0"/>
        <w:jc w:val="both"/>
        <w:rPr/>
      </w:pPr>
      <w:r>
        <w:rPr/>
        <w:t xml:space="preserve">  </w:t>
      </w:r>
    </w:p>
    <w:p>
      <w:pPr>
        <w:pStyle w:val="TextBody"/>
        <w:spacing w:lineRule="auto" w:line="276" w:before="0" w:after="0"/>
        <w:ind w:left="1440" w:right="1440" w:hanging="0"/>
        <w:jc w:val="both"/>
        <w:rPr>
          <w:rFonts w:ascii="Times New Roman" w:hAnsi="Times New Roman"/>
          <w:sz w:val="17"/>
        </w:rPr>
      </w:pPr>
      <w:r>
        <w:rPr>
          <w:rFonts w:ascii="Times New Roman" w:hAnsi="Times New Roman"/>
          <w:sz w:val="17"/>
        </w:rPr>
        <w:t xml:space="preserve">/s/ Deloitte </w:t>
      </w:r>
    </w:p>
    <w:p>
      <w:pPr>
        <w:pStyle w:val="TextBody"/>
        <w:spacing w:lineRule="auto" w:line="276" w:before="0" w:after="0"/>
        <w:ind w:left="1440" w:right="1440" w:hanging="0"/>
        <w:jc w:val="both"/>
        <w:rPr/>
      </w:pPr>
      <w:r>
        <w:rPr/>
        <w:t xml:space="preserve">  </w:t>
      </w:r>
    </w:p>
    <w:p>
      <w:pPr>
        <w:pStyle w:val="TextBody"/>
        <w:spacing w:lineRule="auto" w:line="276" w:before="0" w:after="0"/>
        <w:ind w:left="1440" w:right="1440" w:hanging="0"/>
        <w:jc w:val="both"/>
        <w:rPr>
          <w:rFonts w:ascii="Times New Roman" w:hAnsi="Times New Roman"/>
          <w:sz w:val="17"/>
        </w:rPr>
      </w:pPr>
      <w:r>
        <w:rPr>
          <w:rFonts w:ascii="Times New Roman" w:hAnsi="Times New Roman"/>
          <w:sz w:val="17"/>
        </w:rPr>
        <w:t xml:space="preserve">Los Angeles, California </w:t>
      </w:r>
    </w:p>
    <w:p>
      <w:pPr>
        <w:pStyle w:val="TextBody"/>
        <w:spacing w:lineRule="auto" w:line="276" w:before="0" w:after="0"/>
        <w:ind w:left="1440" w:right="1440" w:hanging="0"/>
        <w:jc w:val="both"/>
        <w:rPr/>
      </w:pPr>
      <w:r>
        <w:rPr/>
        <w:t xml:space="preserve">  </w:t>
      </w:r>
    </w:p>
    <w:p>
      <w:pPr>
        <w:pStyle w:val="TextBody"/>
        <w:spacing w:lineRule="auto" w:line="276" w:before="0" w:after="0"/>
        <w:ind w:left="1440" w:right="1440" w:hanging="0"/>
        <w:jc w:val="both"/>
        <w:rPr>
          <w:rFonts w:ascii="Times New Roman" w:hAnsi="Times New Roman"/>
          <w:sz w:val="17"/>
        </w:rPr>
      </w:pPr>
      <w:r>
        <w:rPr>
          <w:rFonts w:ascii="Times New Roman" w:hAnsi="Times New Roman"/>
          <w:sz w:val="17"/>
        </w:rPr>
        <w:t xml:space="preserve">March 19, 2013 </w:t>
      </w:r>
    </w:p>
    <w:p>
      <w:pPr>
        <w:pStyle w:val="HorizontalLine"/>
        <w:pBdr>
          <w:bottom w:val="double" w:sz="6" w:space="0" w:color="808080"/>
        </w:pBdr>
        <w:ind w:left="1440" w:right="1440" w:hanging="0"/>
        <w:rPr/>
      </w:pPr>
      <w:r>
        <w:rPr/>
      </w:r>
      <w:r>
        <w:br w:type="page"/>
      </w:r>
    </w:p>
    <w:p>
      <w:pPr>
        <w:pStyle w:val="TextBody"/>
        <w:spacing w:lineRule="auto" w:line="276" w:before="0" w:after="200"/>
        <w:ind w:left="1440" w:right="1440" w:hanging="0"/>
        <w:jc w:val="right"/>
        <w:rPr>
          <w:rFonts w:ascii="Times New Roman" w:hAnsi="Times New Roman"/>
          <w:sz w:val="17"/>
        </w:rPr>
      </w:pPr>
      <w:bookmarkStart w:id="17" w:name="rdi-20121231ex233ba5aa5.htm"/>
      <w:bookmarkStart w:id="18" w:name="ksrdi20121231ex233ba5aa5"/>
      <w:bookmarkEnd w:id="17"/>
      <w:bookmarkEnd w:id="18"/>
      <w:r>
        <w:rPr>
          <w:rFonts w:ascii="Times New Roman" w:hAnsi="Times New Roman"/>
          <w:b/>
          <w:sz w:val="17"/>
        </w:rPr>
        <w:t>EXHIBIT 23.3</w:t>
      </w:r>
      <w:r>
        <w:rPr>
          <w:rFonts w:ascii="Times New Roman" w:hAnsi="Times New Roman"/>
          <w:sz w:val="17"/>
        </w:rPr>
        <w:t xml:space="preserve"> </w:t>
      </w:r>
    </w:p>
    <w:p>
      <w:pPr>
        <w:pStyle w:val="TextBody"/>
        <w:spacing w:lineRule="auto" w:line="276" w:before="0" w:after="200"/>
        <w:ind w:left="1440" w:right="1440" w:hanging="0"/>
        <w:jc w:val="center"/>
        <w:rPr>
          <w:rFonts w:ascii="Times New Roman" w:hAnsi="Times New Roman"/>
          <w:sz w:val="17"/>
        </w:rPr>
      </w:pPr>
      <w:r>
        <w:rPr>
          <w:rFonts w:ascii="Times New Roman" w:hAnsi="Times New Roman"/>
          <w:b/>
          <w:sz w:val="17"/>
        </w:rPr>
        <w:t>Consent of Independent Auditor</w:t>
      </w:r>
      <w:r>
        <w:rPr>
          <w:rFonts w:ascii="Times New Roman" w:hAnsi="Times New Roman"/>
          <w:sz w:val="17"/>
        </w:rPr>
        <w:t xml:space="preserve"> </w:t>
      </w:r>
    </w:p>
    <w:p>
      <w:pPr>
        <w:pStyle w:val="TextBody"/>
        <w:spacing w:lineRule="auto" w:line="276" w:before="0" w:after="200"/>
        <w:ind w:left="1440" w:right="1440" w:hanging="0"/>
        <w:rPr/>
      </w:pPr>
      <w:r>
        <w:rPr/>
        <w:t xml:space="preserve">  </w:t>
      </w:r>
    </w:p>
    <w:p>
      <w:pPr>
        <w:pStyle w:val="TextBody"/>
        <w:spacing w:lineRule="auto" w:line="276" w:before="0" w:after="200"/>
        <w:ind w:left="1440" w:right="1440" w:hanging="0"/>
        <w:rPr>
          <w:rFonts w:ascii="Times New Roman" w:hAnsi="Times New Roman"/>
          <w:sz w:val="17"/>
        </w:rPr>
      </w:pPr>
      <w:r>
        <w:rPr>
          <w:rFonts w:ascii="Times New Roman" w:hAnsi="Times New Roman"/>
          <w:sz w:val="17"/>
        </w:rPr>
        <w:t xml:space="preserve">The Management Committee and Joint Venturers </w:t>
      </w:r>
    </w:p>
    <w:p>
      <w:pPr>
        <w:pStyle w:val="TextBody"/>
        <w:spacing w:lineRule="auto" w:line="276" w:before="0" w:after="200"/>
        <w:ind w:left="1440" w:right="1440" w:hanging="0"/>
        <w:rPr>
          <w:rFonts w:ascii="Times New Roman" w:hAnsi="Times New Roman"/>
          <w:sz w:val="17"/>
        </w:rPr>
      </w:pPr>
      <w:r>
        <w:rPr>
          <w:rFonts w:ascii="Times New Roman" w:hAnsi="Times New Roman"/>
          <w:sz w:val="17"/>
        </w:rPr>
        <w:t xml:space="preserve">Mt. Gravatt Cinemas Joint Venture: </w:t>
      </w:r>
    </w:p>
    <w:p>
      <w:pPr>
        <w:pStyle w:val="TextBody"/>
        <w:spacing w:lineRule="auto" w:line="276" w:before="0" w:after="200"/>
        <w:ind w:left="1440" w:right="1440" w:hanging="0"/>
        <w:rPr>
          <w:rFonts w:ascii="Times New Roman" w:hAnsi="Times New Roman"/>
          <w:sz w:val="17"/>
        </w:rPr>
      </w:pPr>
      <w:r>
        <w:rPr>
          <w:rFonts w:ascii="Times New Roman" w:hAnsi="Times New Roman"/>
          <w:sz w:val="17"/>
        </w:rPr>
        <w:t xml:space="preserve">We consent to the incorporation by reference in the registration statements No. 333-167101 on Form S-8 of Reading International, Inc., of our report dated March 4, 2013 with respect to the statement of financial position of Mt. Gravatt Cinemas Joint Venture as of December 31, 2012 and 2011, and the related statements of comprehensive income, changes in equity, and cash flows for each of the years in the three-year period ended December 31, 2012, which report appears in the December 31, 2012, annual report on Form 10-K of Reading International, Inc. </w:t>
      </w:r>
    </w:p>
    <w:p>
      <w:pPr>
        <w:pStyle w:val="TextBody"/>
        <w:spacing w:before="0" w:after="0"/>
        <w:ind w:left="1440" w:right="1440" w:hanging="0"/>
        <w:rPr/>
      </w:pPr>
      <w:r>
        <w:rPr/>
        <w:t xml:space="preserve">  </w:t>
      </w:r>
    </w:p>
    <w:p>
      <w:pPr>
        <w:pStyle w:val="TextBody"/>
        <w:spacing w:lineRule="auto" w:line="276" w:before="0" w:after="200"/>
        <w:ind w:left="1440" w:right="1440" w:hanging="0"/>
        <w:rPr>
          <w:rFonts w:ascii="Times New Roman" w:hAnsi="Times New Roman"/>
          <w:sz w:val="17"/>
        </w:rPr>
      </w:pPr>
      <w:r>
        <w:rPr>
          <w:rFonts w:ascii="Times New Roman" w:hAnsi="Times New Roman"/>
          <w:sz w:val="17"/>
        </w:rPr>
        <w:t xml:space="preserve">/s/ KPMG </w:t>
      </w:r>
    </w:p>
    <w:p>
      <w:pPr>
        <w:pStyle w:val="TextBody"/>
        <w:spacing w:lineRule="auto" w:line="276" w:before="0" w:after="200"/>
        <w:ind w:left="1440" w:right="1440" w:hanging="0"/>
        <w:rPr>
          <w:rFonts w:ascii="Times New Roman" w:hAnsi="Times New Roman"/>
          <w:sz w:val="17"/>
        </w:rPr>
      </w:pPr>
      <w:r>
        <w:rPr>
          <w:rFonts w:ascii="Times New Roman" w:hAnsi="Times New Roman"/>
          <w:sz w:val="17"/>
        </w:rPr>
        <w:t xml:space="preserve">Sydney, Australia </w:t>
      </w:r>
    </w:p>
    <w:p>
      <w:pPr>
        <w:pStyle w:val="TextBody"/>
        <w:spacing w:lineRule="auto" w:line="276" w:before="0" w:after="200"/>
        <w:ind w:left="1440" w:right="1440" w:hanging="0"/>
        <w:rPr>
          <w:rFonts w:ascii="Times New Roman" w:hAnsi="Times New Roman"/>
          <w:sz w:val="17"/>
        </w:rPr>
      </w:pPr>
      <w:r>
        <w:rPr>
          <w:rFonts w:ascii="Times New Roman" w:hAnsi="Times New Roman"/>
          <w:sz w:val="17"/>
        </w:rPr>
        <w:t xml:space="preserve">March 19, 2013 </w:t>
      </w:r>
    </w:p>
    <w:p>
      <w:pPr>
        <w:pStyle w:val="HorizontalLine"/>
        <w:pBdr>
          <w:bottom w:val="double" w:sz="6" w:space="0" w:color="808080"/>
        </w:pBdr>
        <w:ind w:left="1440" w:right="1440" w:hanging="0"/>
        <w:rPr/>
      </w:pPr>
      <w:r>
        <w:rPr/>
      </w:r>
      <w:r>
        <w:br w:type="page"/>
      </w:r>
    </w:p>
    <w:p>
      <w:pPr>
        <w:pStyle w:val="TextBody"/>
        <w:spacing w:lineRule="auto" w:line="276" w:before="0" w:after="120"/>
        <w:ind w:left="1440" w:right="1440" w:hanging="0"/>
        <w:jc w:val="right"/>
        <w:rPr>
          <w:rFonts w:ascii="Times New Roman" w:hAnsi="Times New Roman"/>
          <w:b/>
          <w:sz w:val="17"/>
        </w:rPr>
      </w:pPr>
      <w:bookmarkStart w:id="19" w:name="rdi-20121231ex311fc3b6a.htm"/>
      <w:bookmarkStart w:id="20" w:name="ksrdi20121231ex311fc3b6a"/>
      <w:bookmarkEnd w:id="19"/>
      <w:bookmarkEnd w:id="20"/>
      <w:r>
        <w:rPr>
          <w:rFonts w:ascii="Times New Roman" w:hAnsi="Times New Roman"/>
          <w:b/>
          <w:sz w:val="17"/>
        </w:rPr>
        <w:t xml:space="preserve">EXHIBIT 31.1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CERTIFICATION PURSUANT TO SECTION 302 OF THE SARBANES-OXLEY ACT OF 2002</w:t>
      </w:r>
      <w:r>
        <w:rPr>
          <w:rFonts w:ascii="Times New Roman" w:hAnsi="Times New Roman"/>
          <w:sz w:val="17"/>
        </w:rPr>
        <w:t xml:space="preserve">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I, James J. Cotter, certify that: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1) I have reviewed this Form 10-K of Reading International, Inc.;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b) any fraud, whether or not material, that involves management or other employees who have a significant role in the registrant’s internal control over financial reporting. </w:t>
      </w:r>
    </w:p>
    <w:p>
      <w:pPr>
        <w:pStyle w:val="TextBody"/>
        <w:spacing w:before="0" w:after="0"/>
        <w:ind w:left="1440" w:right="1440" w:hanging="0"/>
        <w:jc w:val="both"/>
        <w:rPr/>
      </w:pPr>
      <w:r>
        <w:rPr>
          <w:u w:val="single"/>
        </w:rPr>
        <w:t> </w:t>
      </w:r>
      <w:r>
        <w:rPr/>
        <w:t xml:space="preserve"> </w:t>
      </w:r>
    </w:p>
    <w:p>
      <w:pPr>
        <w:pStyle w:val="TextBody"/>
        <w:spacing w:lineRule="auto" w:line="276" w:before="0" w:after="120"/>
        <w:ind w:left="1440" w:right="1440" w:hanging="0"/>
        <w:jc w:val="both"/>
        <w:rPr>
          <w:rFonts w:ascii="Times New Roman" w:hAnsi="Times New Roman"/>
          <w:sz w:val="17"/>
          <w:u w:val="single"/>
        </w:rPr>
      </w:pPr>
      <w:r>
        <w:rPr>
          <w:rFonts w:ascii="Times New Roman" w:hAnsi="Times New Roman"/>
          <w:sz w:val="17"/>
          <w:u w:val="single"/>
        </w:rPr>
        <w:t xml:space="preserve">/s/ James J. Cotter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James J. Cotter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Chief Executive Officer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March 19, 2013                 </w:t>
      </w:r>
    </w:p>
    <w:p>
      <w:pPr>
        <w:pStyle w:val="HorizontalLine"/>
        <w:pBdr>
          <w:bottom w:val="double" w:sz="6" w:space="0" w:color="808080"/>
        </w:pBdr>
        <w:ind w:left="1440" w:right="1440" w:hanging="0"/>
        <w:rPr/>
      </w:pPr>
      <w:r>
        <w:rPr/>
      </w:r>
      <w:r>
        <w:br w:type="page"/>
      </w:r>
    </w:p>
    <w:p>
      <w:pPr>
        <w:pStyle w:val="TextBody"/>
        <w:spacing w:lineRule="auto" w:line="276" w:before="0" w:after="120"/>
        <w:ind w:left="1440" w:right="1440" w:hanging="0"/>
        <w:jc w:val="right"/>
        <w:rPr>
          <w:rFonts w:ascii="Times New Roman" w:hAnsi="Times New Roman"/>
          <w:b/>
          <w:sz w:val="17"/>
        </w:rPr>
      </w:pPr>
      <w:bookmarkStart w:id="21" w:name="rdi-20121231ex3123d705b.htm"/>
      <w:bookmarkStart w:id="22" w:name="ksrdi20121231ex3123d705b"/>
      <w:bookmarkEnd w:id="21"/>
      <w:bookmarkEnd w:id="22"/>
      <w:r>
        <w:rPr>
          <w:rFonts w:ascii="Times New Roman" w:hAnsi="Times New Roman"/>
          <w:b/>
          <w:sz w:val="17"/>
        </w:rPr>
        <w:t xml:space="preserve">EXHIBIT 31.2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CERTIFICATION PURSUANT TO SECTION 302 OF THE SARBANES-OXLEY ACT OF 2002</w:t>
      </w:r>
      <w:r>
        <w:rPr>
          <w:rFonts w:ascii="Times New Roman" w:hAnsi="Times New Roman"/>
          <w:sz w:val="17"/>
        </w:rPr>
        <w:t xml:space="preserve">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I, Andrzej Matyczynski, certify that: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1) I have reviewed this Form 10-K of Reading International, Inc.;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b) any fraud, whether or not material, that involves management or other employees who have a significant role in the registrant’s internal control over financial reporting.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u w:val="single"/>
        </w:rPr>
      </w:pPr>
      <w:r>
        <w:rPr>
          <w:rFonts w:ascii="Times New Roman" w:hAnsi="Times New Roman"/>
          <w:sz w:val="17"/>
          <w:u w:val="single"/>
        </w:rPr>
        <w:t xml:space="preserve">/s/ Andrzej Matyczynski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Andrzej Matyczynski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Chief Financial Officer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March 19, 2013 </w:t>
      </w:r>
    </w:p>
    <w:p>
      <w:pPr>
        <w:pStyle w:val="HorizontalLine"/>
        <w:pBdr>
          <w:bottom w:val="double" w:sz="6" w:space="0" w:color="808080"/>
        </w:pBdr>
        <w:ind w:left="1440" w:right="1440" w:hanging="0"/>
        <w:rPr/>
      </w:pPr>
      <w:r>
        <w:rPr/>
      </w:r>
      <w:r>
        <w:br w:type="page"/>
      </w:r>
    </w:p>
    <w:p>
      <w:pPr>
        <w:pStyle w:val="TextBody"/>
        <w:spacing w:lineRule="auto" w:line="276" w:before="0" w:after="120"/>
        <w:ind w:left="1440" w:right="1440" w:hanging="0"/>
        <w:jc w:val="right"/>
        <w:rPr>
          <w:rFonts w:ascii="Times New Roman" w:hAnsi="Times New Roman"/>
          <w:sz w:val="17"/>
        </w:rPr>
      </w:pPr>
      <w:bookmarkStart w:id="23" w:name="rdi-20121231ex3217ad76c.htm"/>
      <w:bookmarkStart w:id="24" w:name="ksrdi20121231ex3217ad76c"/>
      <w:bookmarkEnd w:id="23"/>
      <w:bookmarkEnd w:id="24"/>
      <w:r>
        <w:rPr>
          <w:rFonts w:ascii="Times New Roman" w:hAnsi="Times New Roman"/>
          <w:b/>
          <w:sz w:val="17"/>
        </w:rPr>
        <w:t>EXHIBIT 32.1</w:t>
      </w:r>
      <w:r>
        <w:rPr>
          <w:rFonts w:ascii="Times New Roman" w:hAnsi="Times New Roman"/>
          <w:sz w:val="17"/>
        </w:rPr>
        <w:t xml:space="preserve"> </w:t>
      </w:r>
    </w:p>
    <w:p>
      <w:pPr>
        <w:pStyle w:val="TextBody"/>
        <w:spacing w:before="0" w:after="0"/>
        <w:ind w:left="1440" w:right="1440" w:hanging="0"/>
        <w:jc w:val="center"/>
        <w:rPr/>
      </w:pPr>
      <w:r>
        <w:rPr/>
        <w:t xml:space="preserve">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CERTIFICATION PURSUANT TO SECTION 906 OF THE SARBANES-OXLEY ACT OF 2002</w:t>
      </w:r>
      <w:r>
        <w:rPr>
          <w:rFonts w:ascii="Times New Roman" w:hAnsi="Times New Roman"/>
          <w:sz w:val="17"/>
        </w:rPr>
        <w:t xml:space="preserve">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(18 U.S.C. SECTION 1350)</w:t>
      </w:r>
      <w:r>
        <w:rPr>
          <w:rFonts w:ascii="Times New Roman" w:hAnsi="Times New Roman"/>
          <w:sz w:val="17"/>
        </w:rPr>
        <w:t xml:space="preserve"> </w:t>
      </w:r>
    </w:p>
    <w:p>
      <w:pPr>
        <w:pStyle w:val="TextBody"/>
        <w:spacing w:before="0" w:after="0"/>
        <w:ind w:left="1440" w:right="1440" w:hanging="0"/>
        <w:jc w:val="both"/>
        <w:rPr/>
      </w:pPr>
      <w:r>
        <w:rPr/>
        <w:t xml:space="preserve">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In connection with the accompanying Annual Report of Reading International, Inc. (the “Company”) on Form 10-K for the fiscal year ended December 31, 2012 (the “Report”), I, James J. Cotter, Chief Executive Officer of the Company, certify, pursuant to 18 U.S.C. §1350, as adopted pursuant to §906 of the Sarbanes-Oxley Act of 2002, that: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1. The Report fully complies with the requirements of Section 13(a) of the Securities Exchange Act of 1934; and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2. The information contained in the Report fairly presents, in all material respects, the financial condition and results of operations of the Company. </w:t>
      </w:r>
    </w:p>
    <w:p>
      <w:pPr>
        <w:pStyle w:val="TextBody"/>
        <w:spacing w:before="0" w:after="0"/>
        <w:ind w:left="1440" w:right="1440" w:firstLine="720"/>
        <w:jc w:val="both"/>
        <w:rPr/>
      </w:pPr>
      <w:r>
        <w:rPr/>
        <w:t xml:space="preserve">  </w:t>
      </w:r>
    </w:p>
    <w:p>
      <w:pPr>
        <w:pStyle w:val="TextBody"/>
        <w:spacing w:lineRule="auto" w:line="276" w:before="0" w:after="120"/>
        <w:ind w:left="1440" w:right="1440" w:hanging="0"/>
        <w:jc w:val="both"/>
        <w:rPr>
          <w:rFonts w:ascii="Times New Roman" w:hAnsi="Times New Roman"/>
          <w:sz w:val="17"/>
          <w:u w:val="single"/>
        </w:rPr>
      </w:pPr>
      <w:r>
        <w:rPr>
          <w:rFonts w:ascii="Times New Roman" w:hAnsi="Times New Roman"/>
          <w:sz w:val="17"/>
          <w:u w:val="single"/>
        </w:rPr>
        <w:t xml:space="preserve">/s/ James J. Cotter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James J. Cotter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Chief Executive Officer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March 19, 2013 </w:t>
      </w:r>
    </w:p>
    <w:p>
      <w:pPr>
        <w:pStyle w:val="HorizontalLine"/>
        <w:pBdr>
          <w:bottom w:val="double" w:sz="6" w:space="0" w:color="808080"/>
        </w:pBdr>
        <w:ind w:left="1440" w:right="1440" w:hanging="0"/>
        <w:rPr/>
      </w:pPr>
      <w:r>
        <w:rPr/>
      </w:r>
      <w:r>
        <w:br w:type="page"/>
      </w:r>
    </w:p>
    <w:p>
      <w:pPr>
        <w:pStyle w:val="TextBody"/>
        <w:spacing w:lineRule="auto" w:line="276" w:before="0" w:after="120"/>
        <w:ind w:left="1440" w:right="1440" w:hanging="0"/>
        <w:jc w:val="right"/>
        <w:rPr>
          <w:rFonts w:ascii="Times New Roman" w:hAnsi="Times New Roman"/>
          <w:sz w:val="17"/>
        </w:rPr>
      </w:pPr>
      <w:bookmarkStart w:id="25" w:name="rdi-20121231ex3224fd846.htm"/>
      <w:bookmarkStart w:id="26" w:name="ksrdi20121231ex3224fd846"/>
      <w:bookmarkEnd w:id="25"/>
      <w:bookmarkEnd w:id="26"/>
      <w:r>
        <w:rPr>
          <w:rFonts w:ascii="Times New Roman" w:hAnsi="Times New Roman"/>
          <w:b/>
          <w:sz w:val="17"/>
        </w:rPr>
        <w:t>EXHIBIT 32.2</w:t>
      </w:r>
      <w:r>
        <w:rPr>
          <w:rFonts w:ascii="Times New Roman" w:hAnsi="Times New Roman"/>
          <w:sz w:val="17"/>
        </w:rPr>
        <w:t xml:space="preserve">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CERTIFICATION PURSUANT TO SECTION 906 OF THE SARBANES-OXLEY ACT OF 2002</w:t>
      </w:r>
      <w:r>
        <w:rPr>
          <w:rFonts w:ascii="Times New Roman" w:hAnsi="Times New Roman"/>
          <w:sz w:val="17"/>
        </w:rPr>
        <w:t xml:space="preserve"> </w:t>
      </w:r>
    </w:p>
    <w:p>
      <w:pPr>
        <w:pStyle w:val="TextBody"/>
        <w:spacing w:lineRule="auto" w:line="276" w:before="0" w:after="120"/>
        <w:ind w:left="1440" w:right="1440" w:hanging="0"/>
        <w:jc w:val="center"/>
        <w:rPr>
          <w:rFonts w:ascii="Times New Roman" w:hAnsi="Times New Roman"/>
          <w:sz w:val="17"/>
        </w:rPr>
      </w:pPr>
      <w:r>
        <w:rPr>
          <w:rFonts w:ascii="Times New Roman" w:hAnsi="Times New Roman"/>
          <w:b/>
          <w:sz w:val="17"/>
        </w:rPr>
        <w:t>(18 U.S.C. SECTION 1350)</w:t>
      </w:r>
      <w:r>
        <w:rPr>
          <w:rFonts w:ascii="Times New Roman" w:hAnsi="Times New Roman"/>
          <w:sz w:val="17"/>
        </w:rPr>
        <w:t xml:space="preserve"> </w:t>
      </w:r>
    </w:p>
    <w:p>
      <w:pPr>
        <w:pStyle w:val="TextBody"/>
        <w:spacing w:before="0" w:after="0"/>
        <w:ind w:left="1440" w:right="1440" w:firstLine="720"/>
        <w:jc w:val="both"/>
        <w:rPr/>
      </w:pPr>
      <w:r>
        <w:rPr/>
        <w:t xml:space="preserve">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In connection with the accompanying Annual Report of Reading International, Inc. (the “Company”) on Form 10-K for the fiscal year ended December 31, 2012 (the “Report”), I, Andrzej Matyczynski, Chief Financial Officer of the Company, certify, pursuant to 18 U.S.C. §1350, as adopted pursuant to §906 of the Sarbanes-Oxley Act of 2002, that: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1. The Report fully complies with the requirements of Section 13(a) of the Securities Exchange Act of 1934; and </w:t>
      </w:r>
    </w:p>
    <w:p>
      <w:pPr>
        <w:pStyle w:val="TextBody"/>
        <w:spacing w:lineRule="auto" w:line="276" w:before="0" w:after="120"/>
        <w:ind w:left="1440" w:right="1440" w:firstLine="720"/>
        <w:jc w:val="both"/>
        <w:rPr>
          <w:rFonts w:ascii="Times New Roman" w:hAnsi="Times New Roman"/>
          <w:sz w:val="17"/>
        </w:rPr>
      </w:pPr>
      <w:r>
        <w:rPr>
          <w:rFonts w:ascii="Times New Roman" w:hAnsi="Times New Roman"/>
          <w:sz w:val="17"/>
        </w:rPr>
        <w:t xml:space="preserve">2. The information contained in the Report fairly presents, in all material respects, the financial condition and results of operations of the Company. </w:t>
      </w:r>
    </w:p>
    <w:p>
      <w:pPr>
        <w:pStyle w:val="TextBody"/>
        <w:spacing w:before="0" w:after="0"/>
        <w:ind w:left="1440" w:right="1440" w:hanging="0"/>
        <w:jc w:val="both"/>
        <w:rPr/>
      </w:pPr>
      <w:r>
        <w:rPr/>
        <w:t xml:space="preserve">  </w:t>
      </w:r>
    </w:p>
    <w:p>
      <w:pPr>
        <w:pStyle w:val="TextBody"/>
        <w:spacing w:lineRule="auto" w:line="276" w:before="0" w:after="120"/>
        <w:ind w:left="1440" w:right="1440" w:hanging="0"/>
        <w:jc w:val="both"/>
        <w:rPr>
          <w:rFonts w:ascii="Times New Roman" w:hAnsi="Times New Roman"/>
          <w:sz w:val="17"/>
          <w:u w:val="single"/>
        </w:rPr>
      </w:pPr>
      <w:r>
        <w:rPr>
          <w:rFonts w:ascii="Times New Roman" w:hAnsi="Times New Roman"/>
          <w:sz w:val="17"/>
          <w:u w:val="single"/>
        </w:rPr>
        <w:t xml:space="preserve">/s/ Andrzej Matyczynski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Andrzej Matyczynski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Chief Financial Officer </w:t>
      </w:r>
    </w:p>
    <w:p>
      <w:pPr>
        <w:pStyle w:val="TextBody"/>
        <w:spacing w:lineRule="auto" w:line="276" w:before="0" w:after="120"/>
        <w:ind w:left="1440" w:right="1440" w:hanging="0"/>
        <w:jc w:val="both"/>
        <w:rPr>
          <w:rFonts w:ascii="Times New Roman" w:hAnsi="Times New Roman"/>
          <w:sz w:val="17"/>
        </w:rPr>
      </w:pPr>
      <w:r>
        <w:rPr>
          <w:rFonts w:ascii="Times New Roman" w:hAnsi="Times New Roman"/>
          <w:sz w:val="17"/>
        </w:rPr>
        <w:t xml:space="preserve">March 19, 2013 </w:t>
      </w:r>
    </w:p>
    <w:p>
      <w:pPr>
        <w:pStyle w:val="HorizontalLine"/>
        <w:pBdr>
          <w:bottom w:val="double" w:sz="6" w:space="0" w:color="808080"/>
        </w:pBdr>
        <w:spacing w:before="0" w:after="283"/>
        <w:ind w:left="1440" w:right="144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Wingdings">
    <w:charset w:val="00"/>
    <w:family w:val="auto"/>
    <w:pitch w:val="default"/>
  </w:font>
  <w:font w:name="Times New Roman">
    <w:charset w:val="00"/>
    <w:family w:val="auto"/>
    <w:pitch w:val="default"/>
  </w:font>
  <w:font w:name="Arial">
    <w:charset w:val="00"/>
    <w:family w:val="auto"/>
    <w:pitch w:val="default"/>
  </w:font>
  <w:font w:name="Symbol">
    <w:charset w:val="00"/>
    <w:family w:val="auto"/>
    <w:pitch w:val="default"/>
  </w:font>
  <w:font w:name="Times New Roman Bold">
    <w:charset w:val="00"/>
    <w:family w:val="auto"/>
    <w:pitch w:val="default"/>
  </w:font>
  <w:font w:name="Courier New">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149</Pages>
  <Words>72176</Words>
  <CharactersWithSpaces>470355</CharactersWithSpaces>
  <Paragraphs>12958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