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59"/>
        <w:ind w:left="432" w:right="0" w:hanging="0"/>
        <w:jc w:val="center"/>
        <w:rPr>
          <w:rFonts w:ascii="Times New Roman;serif" w:hAnsi="Times New Roman;serif"/>
          <w:b/>
          <w:i w:val="false"/>
          <w:caps w:val="false"/>
          <w:smallCaps w:val="false"/>
          <w:sz w:val="20"/>
        </w:rPr>
      </w:pPr>
      <w:bookmarkStart w:id="0" w:name="rdi-20260515x8k.htm"/>
      <w:bookmarkStart w:id="1" w:name="ksrdi20260515x8k"/>
      <w:bookmarkEnd w:id="0"/>
      <w:bookmarkEnd w:id="1"/>
      <w:r>
        <w:rPr>
          <w:rFonts w:ascii="Times New Roman;serif" w:hAnsi="Times New Roman;serif"/>
          <w:b/>
          <w:i w:val="false"/>
          <w:caps w:val="false"/>
          <w:smallCaps w:val="false"/>
          <w:sz w:val="20"/>
        </w:rPr>
        <w:t>UNITED STATES</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SECURITIES AND EXCHANGE COMMISSION</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Washington, DC 20549</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FORM 8-K</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 REPORT</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Section 13 OR 15(d) of the Securities Exchange Act of 1934</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 of report (Date of earliest event reported): May 15, 2026</w:t>
      </w:r>
    </w:p>
    <w:p>
      <w:pPr>
        <w:pStyle w:val="TextBody"/>
        <w:bidi w:val="0"/>
        <w:spacing w:lineRule="auto" w:line="259"/>
        <w:jc w:val="center"/>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Reading International, Inc.</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(Exact Name of Registrant as Specified in its Charter)</w:t>
      </w:r>
    </w:p>
    <w:tbl>
      <w:tblPr>
        <w:tblW w:w="5986" w:type="dxa"/>
        <w:jc w:val="center"/>
        <w:tblInd w:w="0" w:type="dxa"/>
        <w:tblLayout w:type="fixed"/>
        <w:tblCellMar>
          <w:top w:w="0" w:type="dxa"/>
          <w:left w:w="0" w:type="dxa"/>
          <w:bottom w:w="0" w:type="dxa"/>
          <w:right w:w="0" w:type="dxa"/>
        </w:tblCellMar>
      </w:tblPr>
      <w:tblGrid>
        <w:gridCol w:w="2859"/>
        <w:gridCol w:w="1476"/>
        <w:gridCol w:w="1651"/>
      </w:tblGrid>
      <w:tr>
        <w:trPr/>
        <w:tc>
          <w:tcPr>
            <w:tcW w:w="285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59" w:type="dxa"/>
            <w:tcBorders/>
            <w:vAlign w:val="center"/>
          </w:tcPr>
          <w:p>
            <w:pPr>
              <w:pStyle w:val="TableContents"/>
              <w:bidi w:val="0"/>
              <w:spacing w:lineRule="auto" w:line="259" w:before="0" w:after="283"/>
              <w:jc w:val="center"/>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Nevada</w:t>
            </w:r>
          </w:p>
        </w:tc>
        <w:tc>
          <w:tcPr>
            <w:tcW w:w="1476" w:type="dxa"/>
            <w:tcBorders/>
            <w:vAlign w:val="center"/>
          </w:tcPr>
          <w:p>
            <w:pPr>
              <w:pStyle w:val="TableContents"/>
              <w:bidi w:val="0"/>
              <w:spacing w:lineRule="auto" w:line="259" w:before="0" w:after="283"/>
              <w:jc w:val="center"/>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1-8625</w:t>
            </w:r>
          </w:p>
        </w:tc>
        <w:tc>
          <w:tcPr>
            <w:tcW w:w="1651" w:type="dxa"/>
            <w:tcBorders/>
            <w:vAlign w:val="center"/>
          </w:tcPr>
          <w:p>
            <w:pPr>
              <w:pStyle w:val="TableContents"/>
              <w:bidi w:val="0"/>
              <w:spacing w:lineRule="auto" w:line="259" w:before="0" w:after="283"/>
              <w:jc w:val="center"/>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95-3885184</w:t>
            </w:r>
          </w:p>
        </w:tc>
      </w:tr>
      <w:tr>
        <w:trPr/>
        <w:tc>
          <w:tcPr>
            <w:tcW w:w="2859"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or Other Jurisdiction</w:t>
              <w:br/>
              <w:t>‎of Incorporation)</w:t>
            </w:r>
          </w:p>
        </w:tc>
        <w:tc>
          <w:tcPr>
            <w:tcW w:w="147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(Commission</w:t>
              <w:br/>
              <w:t>‎File Number)</w:t>
            </w:r>
          </w:p>
        </w:tc>
        <w:tc>
          <w:tcPr>
            <w:tcW w:w="165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(IRS Employer</w:t>
              <w:br/>
              <w:t>‎Identification No.)</w:t>
            </w:r>
          </w:p>
        </w:tc>
      </w:tr>
      <w:tr>
        <w:trPr/>
        <w:tc>
          <w:tcPr>
            <w:tcW w:w="285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lineRule="auto" w:line="259" w:before="0" w:after="283"/>
              <w:jc w:val="both"/>
              <w:rPr>
                <w:caps w:val="false"/>
                <w:smallCaps w:val="false"/>
              </w:rPr>
            </w:pPr>
            <w:r>
              <w:rPr>
                <w:caps w:val="false"/>
                <w:smallCaps w:val="false"/>
              </w:rPr>
              <w:t> </w:t>
            </w:r>
          </w:p>
        </w:tc>
        <w:tc>
          <w:tcPr>
            <w:tcW w:w="1651" w:type="dxa"/>
            <w:tcBorders/>
            <w:vAlign w:val="center"/>
          </w:tcPr>
          <w:p>
            <w:pPr>
              <w:pStyle w:val="TableContents"/>
              <w:bidi w:val="0"/>
              <w:spacing w:before="0" w:after="283"/>
              <w:jc w:val="left"/>
              <w:rPr>
                <w:sz w:val="4"/>
                <w:szCs w:val="4"/>
              </w:rPr>
            </w:pPr>
            <w:r>
              <w:rPr>
                <w:sz w:val="4"/>
                <w:szCs w:val="4"/>
              </w:rPr>
            </w:r>
          </w:p>
        </w:tc>
      </w:tr>
      <w:tr>
        <w:trPr/>
        <w:tc>
          <w:tcPr>
            <w:tcW w:w="4335" w:type="dxa"/>
            <w:gridSpan w:val="2"/>
            <w:tcBorders/>
            <w:vAlign w:val="center"/>
          </w:tcPr>
          <w:p>
            <w:pPr>
              <w:pStyle w:val="TableContents"/>
              <w:bidi w:val="0"/>
              <w:spacing w:lineRule="auto" w:line="259" w:before="0" w:after="283"/>
              <w:jc w:val="center"/>
              <w:rPr>
                <w:rFonts w:ascii="Times New Roman;serif" w:hAnsi="Times New Roman;serif"/>
                <w:sz w:val="20"/>
              </w:rPr>
            </w:pPr>
            <w:r>
              <w:rPr>
                <w:rFonts w:ascii="Times New Roman;serif" w:hAnsi="Times New Roman;serif"/>
                <w:b/>
                <w:i w:val="false"/>
                <w:caps w:val="false"/>
                <w:smallCaps w:val="false"/>
                <w:sz w:val="20"/>
                <w:u w:val="single"/>
              </w:rPr>
              <w:t>189 Second Avenue, Suite 2S</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u w:val="single"/>
              </w:rPr>
              <w:t>New York, New York</w:t>
            </w:r>
          </w:p>
        </w:tc>
        <w:tc>
          <w:tcPr>
            <w:tcW w:w="1651" w:type="dxa"/>
            <w:tcBorders/>
            <w:vAlign w:val="center"/>
          </w:tcPr>
          <w:p>
            <w:pPr>
              <w:pStyle w:val="TableContents"/>
              <w:bidi w:val="0"/>
              <w:spacing w:lineRule="auto" w:line="259" w:before="0" w:after="283"/>
              <w:jc w:val="center"/>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10003</w:t>
            </w:r>
          </w:p>
        </w:tc>
      </w:tr>
      <w:tr>
        <w:trPr/>
        <w:tc>
          <w:tcPr>
            <w:tcW w:w="4335" w:type="dxa"/>
            <w:gridSpan w:val="2"/>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(Address of Principal Executive Offices)</w:t>
            </w:r>
          </w:p>
        </w:tc>
        <w:tc>
          <w:tcPr>
            <w:tcW w:w="165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(Zip Code)</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xml:space="preserve">Registrant's telephone number, including area code: </w:t>
      </w:r>
      <w:r>
        <w:rPr>
          <w:rFonts w:ascii="Times New Roman;serif" w:hAnsi="Times New Roman;serif"/>
          <w:b/>
          <w:i w:val="false"/>
          <w:caps w:val="false"/>
          <w:smallCaps w:val="false"/>
          <w:sz w:val="20"/>
        </w:rPr>
        <w:t>(213) 235-2240</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N/A</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(Former Name or Former Address, if Changed Since Last Report)</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lineRule="auto" w:line="259"/>
        <w:ind w:left="0" w:right="0" w:firstLine="360"/>
        <w:jc w:val="both"/>
        <w:rPr/>
      </w:pPr>
      <w:r>
        <w:rPr>
          <w:caps w:val="false"/>
          <w:smallCaps w:val="false"/>
        </w:rPr>
        <w:t>☐   </w:t>
      </w:r>
      <w:r>
        <w:rPr>
          <w:rFonts w:ascii="Times New Roman;serif" w:hAnsi="Times New Roman;serif"/>
          <w:b w:val="false"/>
          <w:i w:val="false"/>
          <w:caps w:val="false"/>
          <w:smallCaps w:val="false"/>
          <w:sz w:val="20"/>
        </w:rPr>
        <w:t>Written communications pursuant to Rule 425 under the Securities Act (17 CFR 230.425)</w:t>
      </w:r>
    </w:p>
    <w:p>
      <w:pPr>
        <w:pStyle w:val="TextBody"/>
        <w:bidi w:val="0"/>
        <w:spacing w:lineRule="auto" w:line="259"/>
        <w:ind w:left="0" w:right="0" w:firstLine="360"/>
        <w:jc w:val="both"/>
        <w:rPr/>
      </w:pPr>
      <w:r>
        <w:rPr>
          <w:caps w:val="false"/>
          <w:smallCaps w:val="false"/>
        </w:rPr>
        <w:t>☐   </w:t>
      </w:r>
      <w:r>
        <w:rPr>
          <w:rFonts w:ascii="Times New Roman;serif" w:hAnsi="Times New Roman;serif"/>
          <w:b w:val="false"/>
          <w:i w:val="false"/>
          <w:caps w:val="false"/>
          <w:smallCaps w:val="false"/>
          <w:sz w:val="20"/>
        </w:rPr>
        <w:t>Soliciting material pursuant to Rule 14a-12 under the Exchange Act (17 CFR 240.14a-12)</w:t>
      </w:r>
    </w:p>
    <w:p>
      <w:pPr>
        <w:pStyle w:val="TextBody"/>
        <w:bidi w:val="0"/>
        <w:spacing w:lineRule="auto" w:line="259"/>
        <w:ind w:left="720" w:right="0" w:hanging="360"/>
        <w:jc w:val="both"/>
        <w:rPr/>
      </w:pPr>
      <w:r>
        <w:rPr>
          <w:caps w:val="false"/>
          <w:smallCaps w:val="false"/>
        </w:rPr>
        <w:t>☐   </w:t>
      </w:r>
      <w:r>
        <w:rPr>
          <w:rFonts w:ascii="Times New Roman;serif" w:hAnsi="Times New Roman;serif"/>
          <w:b w:val="false"/>
          <w:i w:val="false"/>
          <w:caps w:val="false"/>
          <w:smallCaps w:val="false"/>
          <w:sz w:val="20"/>
        </w:rPr>
        <w:t>Pre-commencement communications pursuant to Rule 14d-2(b) under the Exchange Act (17 CFR 240.14d-2(b))</w:t>
      </w:r>
    </w:p>
    <w:p>
      <w:pPr>
        <w:pStyle w:val="TextBody"/>
        <w:bidi w:val="0"/>
        <w:spacing w:lineRule="auto" w:line="259"/>
        <w:ind w:left="720" w:right="0" w:hanging="360"/>
        <w:jc w:val="both"/>
        <w:rPr/>
      </w:pPr>
      <w:r>
        <w:rPr>
          <w:caps w:val="false"/>
          <w:smallCaps w:val="false"/>
        </w:rPr>
        <w:t>☐   </w:t>
      </w:r>
      <w:r>
        <w:rPr>
          <w:rFonts w:ascii="Times New Roman;serif" w:hAnsi="Times New Roman;serif"/>
          <w:b w:val="false"/>
          <w:i w:val="false"/>
          <w:caps w:val="false"/>
          <w:smallCaps w:val="false"/>
          <w:sz w:val="20"/>
        </w:rPr>
        <w:t>Pre-commencement communications pursuant to Rule 13e-4(c) under the Exchange Act (17 CFR 240.13e-4(c))</w:t>
      </w:r>
    </w:p>
    <w:p>
      <w:pPr>
        <w:pStyle w:val="TextBody"/>
        <w:bidi w:val="0"/>
        <w:spacing w:lineRule="auto" w:line="288"/>
        <w:jc w:val="both"/>
        <w:rPr>
          <w:rFonts w:ascii="inherit" w:hAnsi="inherit"/>
          <w:b w:val="false"/>
          <w:i w:val="false"/>
          <w:caps w:val="false"/>
          <w:smallCaps w:val="false"/>
          <w:sz w:val="18"/>
        </w:rPr>
      </w:pPr>
      <w:r>
        <w:rPr>
          <w:rFonts w:ascii="inherit" w:hAnsi="inherit"/>
          <w:b w:val="false"/>
          <w:i w:val="false"/>
          <w:caps w:val="false"/>
          <w:smallCaps w:val="false"/>
          <w:sz w:val="18"/>
        </w:rPr>
        <w:t>Securities registered pursuant to Section 12(b) of the Act:</w:t>
      </w:r>
    </w:p>
    <w:tbl>
      <w:tblPr>
        <w:tblW w:w="10205" w:type="dxa"/>
        <w:jc w:val="center"/>
        <w:tblInd w:w="0" w:type="dxa"/>
        <w:tblLayout w:type="fixed"/>
        <w:tblCellMar>
          <w:top w:w="0" w:type="dxa"/>
          <w:left w:w="0" w:type="dxa"/>
          <w:bottom w:w="0" w:type="dxa"/>
          <w:right w:w="0" w:type="dxa"/>
        </w:tblCellMar>
      </w:tblPr>
      <w:tblGrid>
        <w:gridCol w:w="1966"/>
        <w:gridCol w:w="1705"/>
        <w:gridCol w:w="366"/>
        <w:gridCol w:w="146"/>
        <w:gridCol w:w="1724"/>
        <w:gridCol w:w="146"/>
        <w:gridCol w:w="590"/>
        <w:gridCol w:w="2806"/>
        <w:gridCol w:w="598"/>
        <w:gridCol w:w="158"/>
      </w:tblGrid>
      <w:tr>
        <w:trPr/>
        <w:tc>
          <w:tcPr>
            <w:tcW w:w="1966"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2972" w:type="dxa"/>
            <w:gridSpan w:val="5"/>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756" w:type="dxa"/>
            <w:gridSpan w:val="2"/>
            <w:tcBorders/>
            <w:vAlign w:val="center"/>
          </w:tcPr>
          <w:p>
            <w:pPr>
              <w:pStyle w:val="TableContents"/>
              <w:bidi w:val="0"/>
              <w:spacing w:before="0" w:after="283"/>
              <w:jc w:val="left"/>
              <w:rPr>
                <w:sz w:val="4"/>
                <w:szCs w:val="4"/>
              </w:rPr>
            </w:pPr>
            <w:r>
              <w:rPr>
                <w:sz w:val="4"/>
                <w:szCs w:val="4"/>
              </w:rPr>
            </w:r>
          </w:p>
        </w:tc>
      </w:tr>
      <w:tr>
        <w:trPr/>
        <w:tc>
          <w:tcPr>
            <w:tcW w:w="4037" w:type="dxa"/>
            <w:gridSpan w:val="3"/>
            <w:tcBorders>
              <w:bottom w:val="single" w:sz="8" w:space="0" w:color="000000"/>
            </w:tcBorders>
            <w:tcMar>
              <w:bottom w:w="28" w:type="dxa"/>
            </w:tcMar>
            <w:vAlign w:val="center"/>
          </w:tcPr>
          <w:p>
            <w:pPr>
              <w:pStyle w:val="TableContents"/>
              <w:bidi w:val="0"/>
              <w:spacing w:lineRule="auto" w:line="276" w:before="0" w:after="283"/>
              <w:jc w:val="center"/>
              <w:rPr>
                <w:rFonts w:ascii="inherit" w:hAnsi="inherit"/>
                <w:b w:val="false"/>
                <w:i w:val="false"/>
                <w:caps w:val="false"/>
                <w:smallCaps w:val="false"/>
                <w:sz w:val="18"/>
              </w:rPr>
            </w:pPr>
            <w:r>
              <w:rPr>
                <w:rFonts w:ascii="inherit" w:hAnsi="inherit"/>
                <w:b w:val="false"/>
                <w:i w:val="false"/>
                <w:caps w:val="false"/>
                <w:smallCaps w:val="false"/>
                <w:sz w:val="18"/>
              </w:rPr>
              <w:t>Title of each class</w:t>
            </w:r>
          </w:p>
        </w:tc>
        <w:tc>
          <w:tcPr>
            <w:tcW w:w="146" w:type="dxa"/>
            <w:tcBorders/>
            <w:vAlign w:val="center"/>
          </w:tcPr>
          <w:p>
            <w:pPr>
              <w:pStyle w:val="TableContents"/>
              <w:bidi w:val="0"/>
              <w:spacing w:lineRule="auto" w:line="276" w:before="0" w:after="283"/>
              <w:jc w:val="both"/>
              <w:rPr>
                <w:caps w:val="false"/>
                <w:smallCaps w:val="false"/>
              </w:rPr>
            </w:pPr>
            <w:r>
              <w:rPr>
                <w:caps w:val="false"/>
                <w:smallCaps w:val="false"/>
              </w:rPr>
              <w:t> </w:t>
            </w:r>
          </w:p>
        </w:tc>
        <w:tc>
          <w:tcPr>
            <w:tcW w:w="1724" w:type="dxa"/>
            <w:tcBorders>
              <w:bottom w:val="single" w:sz="8" w:space="0" w:color="000000"/>
            </w:tcBorders>
            <w:tcMar>
              <w:bottom w:w="28" w:type="dxa"/>
            </w:tcMar>
            <w:vAlign w:val="center"/>
          </w:tcPr>
          <w:p>
            <w:pPr>
              <w:pStyle w:val="TableContents"/>
              <w:bidi w:val="0"/>
              <w:spacing w:lineRule="auto" w:line="276" w:before="0" w:after="283"/>
              <w:jc w:val="center"/>
              <w:rPr>
                <w:rFonts w:ascii="inherit" w:hAnsi="inherit"/>
                <w:b w:val="false"/>
                <w:i w:val="false"/>
                <w:caps w:val="false"/>
                <w:smallCaps w:val="false"/>
                <w:sz w:val="18"/>
              </w:rPr>
            </w:pPr>
            <w:r>
              <w:rPr>
                <w:rFonts w:ascii="inherit" w:hAnsi="inherit"/>
                <w:b w:val="false"/>
                <w:i w:val="false"/>
                <w:caps w:val="false"/>
                <w:smallCaps w:val="false"/>
                <w:sz w:val="18"/>
              </w:rPr>
              <w:t>Trading Symbol(s)</w:t>
            </w:r>
          </w:p>
        </w:tc>
        <w:tc>
          <w:tcPr>
            <w:tcW w:w="146" w:type="dxa"/>
            <w:tcBorders/>
            <w:vAlign w:val="center"/>
          </w:tcPr>
          <w:p>
            <w:pPr>
              <w:pStyle w:val="TableContents"/>
              <w:bidi w:val="0"/>
              <w:spacing w:lineRule="auto" w:line="276" w:before="0" w:after="283"/>
              <w:jc w:val="both"/>
              <w:rPr>
                <w:caps w:val="false"/>
                <w:smallCaps w:val="false"/>
              </w:rPr>
            </w:pPr>
            <w:r>
              <w:rPr>
                <w:caps w:val="false"/>
                <w:smallCaps w:val="false"/>
              </w:rPr>
              <w:t> </w:t>
            </w:r>
          </w:p>
        </w:tc>
        <w:tc>
          <w:tcPr>
            <w:tcW w:w="3994" w:type="dxa"/>
            <w:gridSpan w:val="3"/>
            <w:tcBorders>
              <w:bottom w:val="single" w:sz="8" w:space="0" w:color="000000"/>
            </w:tcBorders>
            <w:tcMar>
              <w:bottom w:w="28" w:type="dxa"/>
            </w:tcMar>
            <w:vAlign w:val="center"/>
          </w:tcPr>
          <w:p>
            <w:pPr>
              <w:pStyle w:val="TableContents"/>
              <w:bidi w:val="0"/>
              <w:spacing w:lineRule="auto" w:line="276" w:before="0" w:after="283"/>
              <w:jc w:val="center"/>
              <w:rPr>
                <w:rFonts w:ascii="inherit" w:hAnsi="inherit"/>
                <w:b w:val="false"/>
                <w:i w:val="false"/>
                <w:caps w:val="false"/>
                <w:smallCaps w:val="false"/>
                <w:sz w:val="18"/>
              </w:rPr>
            </w:pPr>
            <w:r>
              <w:rPr>
                <w:rFonts w:ascii="inherit" w:hAnsi="inherit"/>
                <w:b w:val="false"/>
                <w:i w:val="false"/>
                <w:caps w:val="false"/>
                <w:smallCaps w:val="false"/>
                <w:sz w:val="18"/>
              </w:rPr>
              <w:t>Name of each exchange on which registered</w:t>
            </w:r>
          </w:p>
        </w:tc>
        <w:tc>
          <w:tcPr>
            <w:tcW w:w="15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037" w:type="dxa"/>
            <w:gridSpan w:val="3"/>
            <w:tcBorders/>
            <w:vAlign w:val="center"/>
          </w:tcPr>
          <w:p>
            <w:pPr>
              <w:pStyle w:val="TableContents"/>
              <w:bidi w:val="0"/>
              <w:spacing w:lineRule="auto" w:line="276" w:before="0" w:after="283"/>
              <w:jc w:val="center"/>
              <w:rPr>
                <w:rFonts w:ascii="Times New Roman;serif" w:hAnsi="Times New Roman;serif"/>
                <w:sz w:val="18"/>
              </w:rPr>
            </w:pPr>
            <w:r>
              <w:rPr>
                <w:rFonts w:ascii="inherit" w:hAnsi="inherit"/>
                <w:b/>
                <w:i w:val="false"/>
                <w:caps w:val="false"/>
                <w:smallCaps w:val="false"/>
                <w:sz w:val="18"/>
              </w:rPr>
              <w:t>Class A Common Stock, $0.01 par value</w:t>
            </w:r>
            <w:r>
              <w:rPr>
                <w:rFonts w:ascii="Times New Roman;serif" w:hAnsi="Times New Roman;serif"/>
                <w:caps w:val="false"/>
                <w:smallCaps w:val="false"/>
                <w:sz w:val="18"/>
              </w:rPr>
              <w:t xml:space="preserve"> </w:t>
            </w:r>
          </w:p>
        </w:tc>
        <w:tc>
          <w:tcPr>
            <w:tcW w:w="146" w:type="dxa"/>
            <w:tcBorders/>
            <w:vAlign w:val="center"/>
          </w:tcPr>
          <w:p>
            <w:pPr>
              <w:pStyle w:val="TableContents"/>
              <w:bidi w:val="0"/>
              <w:spacing w:lineRule="auto" w:line="276" w:before="0" w:after="283"/>
              <w:jc w:val="both"/>
              <w:rPr>
                <w:caps w:val="false"/>
                <w:smallCaps w:val="false"/>
              </w:rPr>
            </w:pPr>
            <w:r>
              <w:rPr>
                <w:caps w:val="false"/>
                <w:smallCaps w:val="false"/>
              </w:rPr>
              <w:t> </w:t>
            </w:r>
          </w:p>
        </w:tc>
        <w:tc>
          <w:tcPr>
            <w:tcW w:w="1724" w:type="dxa"/>
            <w:tcBorders/>
            <w:vAlign w:val="center"/>
          </w:tcPr>
          <w:p>
            <w:pPr>
              <w:pStyle w:val="TableContents"/>
              <w:bidi w:val="0"/>
              <w:spacing w:lineRule="auto" w:line="276" w:before="0" w:after="283"/>
              <w:jc w:val="center"/>
              <w:rPr>
                <w:rFonts w:ascii="Times New Roman;serif" w:hAnsi="Times New Roman;serif"/>
                <w:sz w:val="18"/>
              </w:rPr>
            </w:pPr>
            <w:r>
              <w:rPr>
                <w:rFonts w:ascii="inherit" w:hAnsi="inherit"/>
                <w:b/>
                <w:i w:val="false"/>
                <w:caps w:val="false"/>
                <w:smallCaps w:val="false"/>
                <w:sz w:val="18"/>
              </w:rPr>
              <w:t>RDI</w:t>
            </w:r>
            <w:r>
              <w:rPr>
                <w:rFonts w:ascii="Times New Roman;serif" w:hAnsi="Times New Roman;serif"/>
                <w:caps w:val="false"/>
                <w:smallCaps w:val="false"/>
                <w:sz w:val="18"/>
              </w:rPr>
              <w:t xml:space="preserve"> </w:t>
            </w:r>
          </w:p>
        </w:tc>
        <w:tc>
          <w:tcPr>
            <w:tcW w:w="146" w:type="dxa"/>
            <w:tcBorders/>
            <w:vAlign w:val="center"/>
          </w:tcPr>
          <w:p>
            <w:pPr>
              <w:pStyle w:val="TableContents"/>
              <w:bidi w:val="0"/>
              <w:spacing w:lineRule="auto" w:line="276" w:before="0" w:after="283"/>
              <w:jc w:val="both"/>
              <w:rPr>
                <w:caps w:val="false"/>
                <w:smallCaps w:val="false"/>
              </w:rPr>
            </w:pPr>
            <w:r>
              <w:rPr>
                <w:caps w:val="false"/>
                <w:smallCaps w:val="false"/>
              </w:rPr>
              <w:t> </w:t>
            </w:r>
          </w:p>
        </w:tc>
        <w:tc>
          <w:tcPr>
            <w:tcW w:w="3994" w:type="dxa"/>
            <w:gridSpan w:val="3"/>
            <w:tcBorders/>
            <w:vAlign w:val="center"/>
          </w:tcPr>
          <w:p>
            <w:pPr>
              <w:pStyle w:val="TableContents"/>
              <w:bidi w:val="0"/>
              <w:spacing w:lineRule="auto" w:line="276" w:before="0" w:after="283"/>
              <w:jc w:val="center"/>
              <w:rPr>
                <w:rFonts w:ascii="Times New Roman;serif" w:hAnsi="Times New Roman;serif"/>
                <w:sz w:val="18"/>
              </w:rPr>
            </w:pPr>
            <w:r>
              <w:rPr>
                <w:rFonts w:ascii="inherit" w:hAnsi="inherit"/>
                <w:b/>
                <w:i w:val="false"/>
                <w:caps w:val="false"/>
                <w:smallCaps w:val="false"/>
                <w:sz w:val="18"/>
              </w:rPr>
              <w:t>The NASDAQ</w:t>
            </w:r>
            <w:r>
              <w:rPr>
                <w:rFonts w:ascii="Times New Roman;serif" w:hAnsi="Times New Roman;serif"/>
                <w:caps w:val="false"/>
                <w:smallCaps w:val="false"/>
                <w:sz w:val="18"/>
              </w:rPr>
              <w:t xml:space="preserve"> </w:t>
            </w:r>
            <w:r>
              <w:rPr>
                <w:rFonts w:ascii="inherit" w:hAnsi="inherit"/>
                <w:b/>
                <w:i w:val="false"/>
                <w:caps w:val="false"/>
                <w:smallCaps w:val="false"/>
                <w:sz w:val="18"/>
              </w:rPr>
              <w:t xml:space="preserve">Stock Market LLC </w:t>
            </w:r>
          </w:p>
        </w:tc>
        <w:tc>
          <w:tcPr>
            <w:tcW w:w="15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037" w:type="dxa"/>
            <w:gridSpan w:val="3"/>
            <w:tcBorders/>
            <w:vAlign w:val="center"/>
          </w:tcPr>
          <w:p>
            <w:pPr>
              <w:pStyle w:val="TableContents"/>
              <w:bidi w:val="0"/>
              <w:spacing w:lineRule="auto" w:line="276" w:before="0" w:after="283"/>
              <w:jc w:val="center"/>
              <w:rPr>
                <w:rFonts w:ascii="inherit" w:hAnsi="inherit"/>
                <w:sz w:val="18"/>
              </w:rPr>
            </w:pPr>
            <w:r>
              <w:rPr>
                <w:rFonts w:ascii="inherit" w:hAnsi="inherit"/>
                <w:b/>
                <w:i w:val="false"/>
                <w:caps w:val="false"/>
                <w:smallCaps w:val="false"/>
                <w:sz w:val="18"/>
              </w:rPr>
              <w:t>Class B Common Stock, $0.01 par value</w:t>
            </w:r>
            <w:r>
              <w:rPr>
                <w:rFonts w:ascii="inherit" w:hAnsi="inherit"/>
                <w:caps w:val="false"/>
                <w:smallCaps w:val="false"/>
                <w:sz w:val="18"/>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lineRule="auto" w:line="276" w:before="0" w:after="283"/>
              <w:jc w:val="center"/>
              <w:rPr>
                <w:rFonts w:ascii="inherit" w:hAnsi="inherit"/>
                <w:sz w:val="18"/>
              </w:rPr>
            </w:pPr>
            <w:r>
              <w:rPr>
                <w:rFonts w:ascii="inherit" w:hAnsi="inherit"/>
                <w:b/>
                <w:i w:val="false"/>
                <w:caps w:val="false"/>
                <w:smallCaps w:val="false"/>
                <w:sz w:val="18"/>
              </w:rPr>
              <w:t>RDIB</w:t>
            </w:r>
            <w:r>
              <w:rPr>
                <w:rFonts w:ascii="inherit" w:hAnsi="inherit"/>
                <w:caps w:val="false"/>
                <w:smallCaps w:val="false"/>
                <w:sz w:val="18"/>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3994" w:type="dxa"/>
            <w:gridSpan w:val="3"/>
            <w:tcBorders/>
            <w:vAlign w:val="center"/>
          </w:tcPr>
          <w:p>
            <w:pPr>
              <w:pStyle w:val="TableContents"/>
              <w:bidi w:val="0"/>
              <w:spacing w:lineRule="auto" w:line="276" w:before="0" w:after="283"/>
              <w:jc w:val="center"/>
              <w:rPr>
                <w:rFonts w:ascii="inherit" w:hAnsi="inherit"/>
                <w:sz w:val="18"/>
              </w:rPr>
            </w:pPr>
            <w:r>
              <w:rPr>
                <w:rFonts w:ascii="inherit" w:hAnsi="inherit"/>
                <w:b/>
                <w:i w:val="false"/>
                <w:caps w:val="false"/>
                <w:smallCaps w:val="false"/>
                <w:sz w:val="18"/>
              </w:rPr>
              <w:t>The NASDAQ</w:t>
            </w:r>
            <w:r>
              <w:rPr>
                <w:rFonts w:ascii="inherit" w:hAnsi="inherit"/>
                <w:caps w:val="false"/>
                <w:smallCaps w:val="false"/>
                <w:sz w:val="18"/>
              </w:rPr>
              <w:t xml:space="preserve"> </w:t>
            </w:r>
            <w:r>
              <w:rPr>
                <w:rFonts w:ascii="inherit" w:hAnsi="inherit"/>
                <w:b/>
                <w:i w:val="false"/>
                <w:caps w:val="false"/>
                <w:smallCaps w:val="false"/>
                <w:sz w:val="18"/>
              </w:rPr>
              <w:t xml:space="preserve">Stock Market LLC </w:t>
            </w:r>
          </w:p>
        </w:tc>
        <w:tc>
          <w:tcPr>
            <w:tcW w:w="15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Indicate by check mark whether the registrant is an emerging growth company as defined in as defined in Rule 405 of the Securities Act of 1933 (§230.405 of this chapter) or Rule 12b-2 of the Securities Exchange Act of 1934 (§240.12b-2 of this chapter). </w:t>
      </w:r>
    </w:p>
    <w:p>
      <w:pPr>
        <w:pStyle w:val="TextBody"/>
        <w:bidi w:val="0"/>
        <w:spacing w:lineRule="auto" w:line="259"/>
        <w:ind w:left="720" w:right="0" w:firstLine="720"/>
        <w:rPr>
          <w:rFonts w:ascii="Times New Roman;serif" w:hAnsi="Times New Roman;serif"/>
          <w:sz w:val="20"/>
        </w:rPr>
      </w:pPr>
      <w:r>
        <w:rPr>
          <w:rFonts w:ascii="Times New Roman;serif" w:hAnsi="Times New Roman;serif"/>
          <w:b w:val="false"/>
          <w:i w:val="false"/>
          <w:caps w:val="false"/>
          <w:smallCaps w:val="false"/>
          <w:color w:val="000000"/>
          <w:sz w:val="20"/>
        </w:rPr>
        <w:t>Emerging growth company  </w:t>
      </w:r>
      <w:r>
        <w:rPr>
          <w:rFonts w:ascii="Times New Roman;serif" w:hAnsi="Times New Roman;serif"/>
          <w:caps w:val="false"/>
          <w:smallCaps w:val="false"/>
          <w:color w:val="000000"/>
          <w:sz w:val="20"/>
        </w:rPr>
        <w:t>☐</w:t>
      </w:r>
    </w:p>
    <w:p>
      <w:pPr>
        <w:pStyle w:val="TextBody"/>
        <w:bidi w:val="0"/>
        <w:spacing w:lineRule="auto" w:line="276" w:before="0" w:after="200"/>
        <w:jc w:val="left"/>
        <w:rPr>
          <w:rFonts w:ascii="Times New Roman;serif" w:hAnsi="Times New Roman;serif"/>
          <w:sz w:val="20"/>
        </w:rPr>
      </w:pPr>
      <w:r>
        <w:rPr>
          <w:rFonts w:ascii="Times New Roman;serif" w:hAnsi="Times New Roman;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serif" w:hAnsi="Times New Roman;serif"/>
          <w:caps w:val="false"/>
          <w:smallCaps w:val="false"/>
          <w:sz w:val="20"/>
        </w:rPr>
        <w:t>☐</w:t>
      </w:r>
    </w:p>
    <w:p>
      <w:pPr>
        <w:pStyle w:val="TextBody"/>
        <w:bidi w:val="0"/>
        <w:spacing w:lineRule="auto" w:line="276" w:before="0" w:after="200"/>
        <w:jc w:val="left"/>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HorizontalLine"/>
        <w:pBdr>
          <w:bottom w:val="double" w:sz="2" w:space="0" w:color="808080"/>
        </w:pBdr>
        <w:bidi w:val="0"/>
        <w:spacing w:before="0" w:after="283"/>
        <w:jc w:val="left"/>
        <w:rPr/>
      </w:pPr>
      <w:r>
        <w:rPr/>
      </w:r>
    </w:p>
    <w:p>
      <w:pPr>
        <w:pStyle w:val="TextBody"/>
        <w:bidi w:val="0"/>
        <w:spacing w:lineRule="auto" w:line="276" w:before="0" w:after="20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2.02 Results of Operations and Financial Condition.</w:t>
      </w:r>
    </w:p>
    <w:p>
      <w:pPr>
        <w:pStyle w:val="TextBody"/>
        <w:bidi w:val="0"/>
        <w:spacing w:lineRule="auto" w:line="259"/>
        <w:ind w:left="0" w:right="0" w:firstLine="49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May 15, 2026, Reading International, Inc. issued a press release announcing information regarding its results of operations and financial condition for the quarter ended March 31, 2026, a copy of which is attached as Exhibit 99.1. </w:t>
      </w:r>
    </w:p>
    <w:p>
      <w:pPr>
        <w:pStyle w:val="TextBody"/>
        <w:bidi w:val="0"/>
        <w:spacing w:lineRule="auto" w:line="259"/>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Item 9.01 Financial Statements and Exhibits. </w:t>
      </w:r>
    </w:p>
    <w:tbl>
      <w:tblPr>
        <w:tblW w:w="7082" w:type="dxa"/>
        <w:jc w:val="left"/>
        <w:tblInd w:w="0" w:type="dxa"/>
        <w:tblLayout w:type="fixed"/>
        <w:tblCellMar>
          <w:top w:w="0" w:type="dxa"/>
          <w:left w:w="0" w:type="dxa"/>
          <w:bottom w:w="0" w:type="dxa"/>
          <w:right w:w="0" w:type="dxa"/>
        </w:tblCellMar>
      </w:tblPr>
      <w:tblGrid>
        <w:gridCol w:w="481"/>
        <w:gridCol w:w="6601"/>
      </w:tblGrid>
      <w:tr>
        <w:trPr/>
        <w:tc>
          <w:tcPr>
            <w:tcW w:w="481"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481"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99.1</w:t>
            </w:r>
          </w:p>
        </w:tc>
        <w:tc>
          <w:tcPr>
            <w:tcW w:w="6601" w:type="dxa"/>
            <w:tcBorders/>
            <w:vAlign w:val="center"/>
          </w:tcPr>
          <w:p>
            <w:pPr>
              <w:pStyle w:val="TableContents"/>
              <w:bidi w:val="0"/>
              <w:spacing w:lineRule="auto" w:line="259" w:before="0" w:after="283"/>
              <w:jc w:val="both"/>
              <w:rPr/>
            </w:pPr>
            <w:hyperlink w:anchor="rdi-20260515xex99_1.htm">
              <w:r>
                <w:rPr>
                  <w:rStyle w:val="InternetLink"/>
                  <w:rFonts w:ascii="Times New Roman;serif" w:hAnsi="Times New Roman;serif"/>
                  <w:b w:val="false"/>
                  <w:i w:val="false"/>
                  <w:caps w:val="false"/>
                  <w:smallCaps w:val="false"/>
                  <w:color w:val="0000FF"/>
                  <w:sz w:val="20"/>
                  <w:u w:val="single"/>
                </w:rPr>
                <w:t>Press release issued by Reading International, Inc. dated May 15, 2026</w:t>
              </w:r>
            </w:hyperlink>
          </w:p>
        </w:tc>
      </w:tr>
      <w:tr>
        <w:trPr/>
        <w:tc>
          <w:tcPr>
            <w:tcW w:w="481"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w:t>
            </w:r>
          </w:p>
        </w:tc>
        <w:tc>
          <w:tcPr>
            <w:tcW w:w="6601"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Cover Page Interactive Data File (embedded within the Inline XBRL document)</w:t>
            </w:r>
          </w:p>
        </w:tc>
      </w:tr>
    </w:tbl>
    <w:p>
      <w:pPr>
        <w:pStyle w:val="TextBody"/>
        <w:bidi w:val="0"/>
        <w:spacing w:lineRule="auto" w:line="276" w:before="0" w:after="200"/>
        <w:ind w:left="720" w:right="0" w:hanging="720"/>
        <w:jc w:val="left"/>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HorizontalLine"/>
        <w:pBdr>
          <w:bottom w:val="double" w:sz="2" w:space="0" w:color="808080"/>
        </w:pBdr>
        <w:bidi w:val="0"/>
        <w:spacing w:before="0" w:after="283"/>
        <w:jc w:val="left"/>
        <w:rPr/>
      </w:pPr>
      <w:r>
        <w:rPr/>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SIGNATURES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requirements of the Securities Exchange Act of 1934, the registrant has duly caused this report to be signed on its behalf by the undersigned hereunto duly authorized.</w:t>
      </w:r>
    </w:p>
    <w:tbl>
      <w:tblPr>
        <w:tblW w:w="7653" w:type="dxa"/>
        <w:jc w:val="left"/>
        <w:tblInd w:w="0" w:type="dxa"/>
        <w:tblLayout w:type="fixed"/>
        <w:tblCellMar>
          <w:top w:w="0" w:type="dxa"/>
          <w:left w:w="0" w:type="dxa"/>
          <w:bottom w:w="0" w:type="dxa"/>
          <w:right w:w="0" w:type="dxa"/>
        </w:tblCellMar>
      </w:tblPr>
      <w:tblGrid>
        <w:gridCol w:w="1741"/>
        <w:gridCol w:w="631"/>
        <w:gridCol w:w="5281"/>
      </w:tblGrid>
      <w:tr>
        <w:trPr/>
        <w:tc>
          <w:tcPr>
            <w:tcW w:w="174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sz w:val="4"/>
                <w:szCs w:val="4"/>
              </w:rPr>
            </w:pPr>
            <w:r>
              <w:rPr>
                <w:sz w:val="4"/>
                <w:szCs w:val="4"/>
              </w:rPr>
            </w:r>
          </w:p>
        </w:tc>
        <w:tc>
          <w:tcPr>
            <w:tcW w:w="5912" w:type="dxa"/>
            <w:gridSpan w:val="2"/>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READING INTERNATIONAL, INC.</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17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 May 15, 2026</w:t>
            </w:r>
          </w:p>
        </w:tc>
        <w:tc>
          <w:tcPr>
            <w:tcW w:w="6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By:</w:t>
            </w:r>
          </w:p>
        </w:tc>
        <w:tc>
          <w:tcPr>
            <w:tcW w:w="528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Gilbert Avanes</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Name:</w:t>
            </w:r>
          </w:p>
        </w:tc>
        <w:tc>
          <w:tcPr>
            <w:tcW w:w="52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Gilbert Avanes</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Title:</w:t>
            </w:r>
          </w:p>
        </w:tc>
        <w:tc>
          <w:tcPr>
            <w:tcW w:w="52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Executive Vice President, Chief Financial Officer and Treasurer</w:t>
            </w:r>
          </w:p>
        </w:tc>
      </w:tr>
    </w:tbl>
    <w:p>
      <w:pPr>
        <w:pStyle w:val="Normal"/>
        <w:bidi w:val="0"/>
        <w:spacing w:before="0" w:after="0"/>
        <w:ind w:left="720" w:right="720" w:hanging="0"/>
        <w:jc w:val="left"/>
        <w:rPr>
          <w:sz w:val="4"/>
          <w:szCs w:val="4"/>
        </w:rPr>
      </w:pPr>
      <w:r>
        <w:rPr>
          <w:sz w:val="4"/>
          <w:szCs w:val="4"/>
        </w:rPr>
      </w:r>
      <w:bookmarkStart w:id="2" w:name="rdi-20260515xex99_1.htm"/>
      <w:bookmarkStart w:id="3" w:name="ksrdi20260515xex99_1"/>
      <w:bookmarkStart w:id="4" w:name="rdi-20260515xex99_1.htm"/>
      <w:bookmarkStart w:id="5" w:name="ksrdi20260515xex99_1"/>
      <w:bookmarkEnd w:id="4"/>
      <w:bookmarkEnd w:id="5"/>
      <w:r>
        <w:br w:type="page"/>
      </w:r>
    </w:p>
    <w:tbl>
      <w:tblPr>
        <w:tblW w:w="6669" w:type="dxa"/>
        <w:jc w:val="left"/>
        <w:tblInd w:w="720" w:type="dxa"/>
        <w:tblLayout w:type="fixed"/>
        <w:tblCellMar>
          <w:top w:w="0" w:type="dxa"/>
          <w:left w:w="0" w:type="dxa"/>
          <w:bottom w:w="0" w:type="dxa"/>
          <w:right w:w="0" w:type="dxa"/>
        </w:tblCellMar>
      </w:tblPr>
      <w:tblGrid>
        <w:gridCol w:w="3154"/>
        <w:gridCol w:w="60"/>
        <w:gridCol w:w="3455"/>
      </w:tblGrid>
      <w:tr>
        <w:trPr/>
        <w:tc>
          <w:tcPr>
            <w:tcW w:w="315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60" w:type="dxa"/>
            <w:tcBorders/>
          </w:tcPr>
          <w:p>
            <w:pPr>
              <w:pStyle w:val="TableContents"/>
              <w:bidi w:val="0"/>
              <w:spacing w:before="0" w:after="0"/>
              <w:ind w:left="0" w:right="0" w:hanging="0"/>
              <w:jc w:val="left"/>
              <w:rPr/>
            </w:pPr>
            <w:r>
              <w:rPr/>
              <w:t> </w:t>
            </w:r>
          </w:p>
        </w:tc>
        <w:tc>
          <w:tcPr>
            <w:tcW w:w="3455" w:type="dxa"/>
            <w:tcBorders/>
          </w:tcPr>
          <w:p>
            <w:pPr>
              <w:pStyle w:val="TableContents"/>
              <w:bidi w:val="0"/>
              <w:spacing w:before="0" w:after="0"/>
              <w:ind w:left="0" w:right="0" w:hanging="0"/>
              <w:jc w:val="left"/>
              <w:rPr/>
            </w:pPr>
            <w:r>
              <w:rPr/>
              <w:t> </w:t>
            </w:r>
          </w:p>
        </w:tc>
      </w:tr>
      <w:tr>
        <w:trPr/>
        <w:tc>
          <w:tcPr>
            <w:tcW w:w="3154" w:type="dxa"/>
            <w:tcBorders/>
          </w:tcPr>
          <w:p>
            <w:pPr>
              <w:pStyle w:val="TableContents"/>
              <w:bidi w:val="0"/>
              <w:spacing w:before="0" w:after="0"/>
              <w:ind w:left="0" w:right="0" w:hanging="0"/>
              <w:jc w:val="left"/>
              <w:rPr/>
            </w:pPr>
            <w:r>
              <w:rPr/>
              <w:drawing>
                <wp:inline distT="0" distB="0" distL="0" distR="0">
                  <wp:extent cx="1993265" cy="91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93265" cy="914400"/>
                          </a:xfrm>
                          <a:prstGeom prst="rect">
                            <a:avLst/>
                          </a:prstGeom>
                        </pic:spPr>
                      </pic:pic>
                    </a:graphicData>
                  </a:graphic>
                </wp:inline>
              </w:drawing>
            </w:r>
          </w:p>
        </w:tc>
        <w:tc>
          <w:tcPr>
            <w:tcW w:w="60" w:type="dxa"/>
            <w:tcBorders/>
          </w:tcPr>
          <w:p>
            <w:pPr>
              <w:pStyle w:val="TableContents"/>
              <w:bidi w:val="0"/>
              <w:spacing w:before="0" w:after="0"/>
              <w:ind w:left="0" w:right="0" w:hanging="0"/>
              <w:jc w:val="center"/>
              <w:rPr/>
            </w:pPr>
            <w:r>
              <w:rPr/>
              <w:t> </w:t>
            </w:r>
          </w:p>
        </w:tc>
        <w:tc>
          <w:tcPr>
            <w:tcW w:w="3455" w:type="dxa"/>
            <w:tcBorders/>
          </w:tcPr>
          <w:p>
            <w:pPr>
              <w:pStyle w:val="TableContents"/>
              <w:bidi w:val="0"/>
              <w:spacing w:before="0" w:after="0"/>
              <w:ind w:left="0" w:right="0" w:hanging="0"/>
              <w:jc w:val="right"/>
              <w:rPr>
                <w:rFonts w:ascii="Times New Roman" w:hAnsi="Times New Roman"/>
                <w:sz w:val="20"/>
              </w:rPr>
            </w:pPr>
            <w:r>
              <w:rPr>
                <w:rFonts w:ascii="Times New Roman" w:hAnsi="Times New Roman"/>
                <w:sz w:val="20"/>
              </w:rPr>
              <w:t>For more information, contact:</w:t>
            </w:r>
          </w:p>
          <w:p>
            <w:pPr>
              <w:pStyle w:val="TableContents"/>
              <w:bidi w:val="0"/>
              <w:spacing w:before="0" w:after="0"/>
              <w:ind w:left="0" w:right="0" w:hanging="0"/>
              <w:jc w:val="right"/>
              <w:rPr>
                <w:rFonts w:ascii="Times New Roman" w:hAnsi="Times New Roman"/>
                <w:sz w:val="20"/>
              </w:rPr>
            </w:pPr>
            <w:r>
              <w:rPr>
                <w:rFonts w:ascii="Times New Roman" w:hAnsi="Times New Roman"/>
                <w:sz w:val="20"/>
              </w:rPr>
              <w:t>Gilbert Avanes – EVP, CFO, and Treasurer</w:t>
            </w:r>
          </w:p>
          <w:p>
            <w:pPr>
              <w:pStyle w:val="TableContents"/>
              <w:bidi w:val="0"/>
              <w:spacing w:before="0" w:after="0"/>
              <w:ind w:left="0" w:right="0" w:hanging="0"/>
              <w:jc w:val="right"/>
              <w:rPr>
                <w:rFonts w:ascii="Times New Roman" w:hAnsi="Times New Roman"/>
                <w:sz w:val="20"/>
              </w:rPr>
            </w:pPr>
            <w:r>
              <w:rPr>
                <w:rFonts w:ascii="Times New Roman" w:hAnsi="Times New Roman"/>
                <w:sz w:val="20"/>
              </w:rPr>
              <w:t>(213) 235-2240</w:t>
            </w:r>
          </w:p>
          <w:p>
            <w:pPr>
              <w:pStyle w:val="TableContents"/>
              <w:bidi w:val="0"/>
              <w:spacing w:before="0" w:after="0"/>
              <w:ind w:left="0" w:right="0" w:hanging="0"/>
              <w:jc w:val="center"/>
              <w:rPr/>
            </w:pPr>
            <w:r>
              <w:rPr/>
              <w:t> </w:t>
            </w:r>
          </w:p>
        </w:tc>
      </w:tr>
    </w:tbl>
    <w:p>
      <w:pPr>
        <w:pStyle w:val="TextBody"/>
        <w:pBdr>
          <w:bottom w:val="single" w:sz="12" w:space="1" w:color="000000"/>
        </w:pBdr>
        <w:bidi w:val="0"/>
        <w:spacing w:before="0" w:after="0"/>
        <w:ind w:left="720" w:right="720" w:hanging="0"/>
        <w:jc w:val="center"/>
        <w:rPr>
          <w:rFonts w:ascii="Times New Roman" w:hAnsi="Times New Roman"/>
          <w:sz w:val="32"/>
        </w:rPr>
      </w:pPr>
      <w:r>
        <w:rPr>
          <w:rFonts w:ascii="Times New Roman" w:hAnsi="Times New Roman"/>
          <w:b/>
          <w:color w:val="000000"/>
          <w:sz w:val="32"/>
        </w:rPr>
        <w:t>Reading International Reports First</w:t>
      </w:r>
      <w:r>
        <w:rPr>
          <w:rFonts w:ascii="Times New Roman" w:hAnsi="Times New Roman"/>
          <w:color w:val="000000"/>
          <w:sz w:val="32"/>
        </w:rPr>
        <w:t xml:space="preserve"> </w:t>
      </w:r>
      <w:r>
        <w:rPr>
          <w:rFonts w:ascii="Times New Roman" w:hAnsi="Times New Roman"/>
          <w:b/>
          <w:color w:val="000000"/>
          <w:sz w:val="32"/>
        </w:rPr>
        <w:t>Quarter 2026</w:t>
      </w:r>
      <w:r>
        <w:rPr>
          <w:rFonts w:ascii="Times New Roman" w:hAnsi="Times New Roman"/>
          <w:color w:val="000000"/>
          <w:sz w:val="32"/>
        </w:rPr>
        <w:t xml:space="preserve"> </w:t>
      </w:r>
      <w:r>
        <w:rPr>
          <w:rFonts w:ascii="Times New Roman" w:hAnsi="Times New Roman"/>
          <w:b/>
          <w:color w:val="000000"/>
          <w:sz w:val="32"/>
        </w:rPr>
        <w:t xml:space="preserve">Results </w:t>
      </w:r>
    </w:p>
    <w:p>
      <w:pPr>
        <w:pStyle w:val="TextBody"/>
        <w:bidi w:val="0"/>
        <w:spacing w:before="0" w:after="0"/>
        <w:ind w:left="720" w:right="720" w:hanging="0"/>
        <w:jc w:val="center"/>
        <w:rPr>
          <w:rFonts w:ascii="Times New Roman" w:hAnsi="Times New Roman"/>
          <w:sz w:val="22"/>
        </w:rPr>
      </w:pPr>
      <w:r>
        <w:rPr>
          <w:rFonts w:ascii="Times New Roman" w:hAnsi="Times New Roman"/>
          <w:i/>
          <w:color w:val="000000"/>
          <w:sz w:val="22"/>
        </w:rPr>
        <w:t>Earnings Call Webcast to Discuss</w:t>
      </w:r>
      <w:r>
        <w:rPr>
          <w:rFonts w:ascii="Times New Roman" w:hAnsi="Times New Roman"/>
          <w:color w:val="000000"/>
          <w:sz w:val="22"/>
        </w:rPr>
        <w:t> </w:t>
      </w:r>
      <w:r>
        <w:rPr>
          <w:rFonts w:ascii="Times New Roman" w:hAnsi="Times New Roman"/>
          <w:i/>
          <w:color w:val="000000"/>
          <w:sz w:val="22"/>
        </w:rPr>
        <w:t>First</w:t>
      </w:r>
      <w:r>
        <w:rPr>
          <w:rFonts w:ascii="Times New Roman" w:hAnsi="Times New Roman"/>
          <w:color w:val="000000"/>
          <w:sz w:val="22"/>
        </w:rPr>
        <w:t xml:space="preserve"> </w:t>
      </w:r>
      <w:r>
        <w:rPr>
          <w:rFonts w:ascii="Times New Roman" w:hAnsi="Times New Roman"/>
          <w:i/>
          <w:color w:val="000000"/>
          <w:sz w:val="22"/>
        </w:rPr>
        <w:t>Quarter</w:t>
      </w:r>
      <w:r>
        <w:rPr>
          <w:rFonts w:ascii="Times New Roman" w:hAnsi="Times New Roman"/>
          <w:color w:val="000000"/>
          <w:sz w:val="22"/>
        </w:rPr>
        <w:t> </w:t>
      </w:r>
      <w:r>
        <w:rPr>
          <w:rFonts w:ascii="Times New Roman" w:hAnsi="Times New Roman"/>
          <w:i/>
          <w:color w:val="000000"/>
          <w:sz w:val="22"/>
        </w:rPr>
        <w:t xml:space="preserve">Financial Results </w:t>
      </w:r>
    </w:p>
    <w:p>
      <w:pPr>
        <w:pStyle w:val="TextBody"/>
        <w:bidi w:val="0"/>
        <w:spacing w:before="0" w:after="0"/>
        <w:ind w:left="720" w:right="720" w:hanging="0"/>
        <w:jc w:val="center"/>
        <w:rPr>
          <w:rFonts w:ascii="Times New Roman" w:hAnsi="Times New Roman"/>
          <w:sz w:val="22"/>
        </w:rPr>
      </w:pPr>
      <w:r>
        <w:rPr>
          <w:rFonts w:ascii="Times New Roman" w:hAnsi="Times New Roman"/>
          <w:i/>
          <w:color w:val="000000"/>
          <w:sz w:val="22"/>
        </w:rPr>
        <w:t xml:space="preserve">Scheduled to Post to Corporate Website on </w:t>
      </w:r>
      <w:r>
        <w:rPr>
          <w:rFonts w:ascii="Times New Roman" w:hAnsi="Times New Roman"/>
          <w:b/>
          <w:i/>
          <w:color w:val="000000"/>
          <w:sz w:val="22"/>
        </w:rPr>
        <w:t>Tuesday,  May 19, 2026</w:t>
      </w:r>
      <w:r>
        <w:rPr>
          <w:rFonts w:ascii="Times New Roman" w:hAnsi="Times New Roman"/>
          <w:sz w:val="22"/>
        </w:rPr>
        <w:t xml:space="preserve"> </w:t>
      </w:r>
    </w:p>
    <w:p>
      <w:pPr>
        <w:pStyle w:val="TextBody"/>
        <w:bidi w:val="0"/>
        <w:spacing w:before="0" w:after="0"/>
        <w:ind w:left="1080" w:right="720" w:hanging="0"/>
        <w:jc w:val="both"/>
        <w:rPr>
          <w:rFonts w:cs="Times New Roman"/>
          <w:szCs w:val="20"/>
        </w:rPr>
      </w:pPr>
      <w:r>
        <w:rPr>
          <w:rFonts w:cs="Times New Roman"/>
          <w:color w:val="000000"/>
          <w:szCs w:val="20"/>
        </w:rPr>
        <w:t>﻿</w:t>
      </w:r>
      <w:r>
        <w:rPr>
          <w:rFonts w:cs="Times New Roman"/>
          <w:szCs w:val="20"/>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b/>
          <w:color w:val="000000"/>
          <w:sz w:val="22"/>
        </w:rPr>
        <w:t>NEW YORK - May 15, 2026</w:t>
      </w:r>
      <w:r>
        <w:rPr>
          <w:rFonts w:ascii="Times New Roman" w:hAnsi="Times New Roman"/>
          <w:color w:val="000000"/>
          <w:sz w:val="22"/>
        </w:rPr>
        <w:t xml:space="preserve"> - Reading International, Inc. (NASDAQ: RDI) (“Reading” or our “Company”),</w:t>
      </w:r>
      <w:r>
        <w:rPr>
          <w:rFonts w:ascii="Times New Roman" w:hAnsi="Times New Roman"/>
          <w:sz w:val="22"/>
        </w:rPr>
        <w:t> </w:t>
      </w:r>
      <w:r>
        <w:rPr>
          <w:rFonts w:ascii="Times New Roman" w:hAnsi="Times New Roman"/>
          <w:color w:val="000000"/>
          <w:sz w:val="22"/>
        </w:rPr>
        <w:t>an internationally diversified cinema and real estate company with operations and assets in the United States, Australia, and New Zealand, today announced its results for the First Quarter ended March 31, 2026.</w:t>
      </w:r>
      <w:r>
        <w:rPr>
          <w:rFonts w:ascii="Times New Roman" w:hAnsi="Times New Roman"/>
          <w:sz w:val="22"/>
        </w:rPr>
        <w:t xml:space="preserve"> </w:t>
      </w:r>
    </w:p>
    <w:p>
      <w:pPr>
        <w:pStyle w:val="TextBody"/>
        <w:bidi w:val="0"/>
        <w:spacing w:before="0" w:after="0"/>
        <w:ind w:left="720" w:right="720" w:hanging="0"/>
        <w:jc w:val="both"/>
        <w:rPr>
          <w:rFonts w:cs="Times New Roman"/>
          <w:szCs w:val="20"/>
        </w:rPr>
      </w:pPr>
      <w:r>
        <w:rPr>
          <w:rFonts w:cs="Times New Roman"/>
          <w:color w:val="000000"/>
          <w:szCs w:val="20"/>
        </w:rPr>
        <w:t>﻿</w:t>
      </w:r>
      <w:r>
        <w:rPr>
          <w:rFonts w:cs="Times New Roman"/>
          <w:szCs w:val="20"/>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b/>
          <w:sz w:val="22"/>
          <w:u w:val="single"/>
        </w:rPr>
        <w:t>Key Financial Summary Results –First</w:t>
      </w:r>
      <w:r>
        <w:rPr>
          <w:rFonts w:ascii="Times New Roman" w:hAnsi="Times New Roman"/>
          <w:sz w:val="22"/>
          <w:u w:val="single"/>
        </w:rPr>
        <w:t xml:space="preserve"> </w:t>
      </w:r>
      <w:r>
        <w:rPr>
          <w:rFonts w:ascii="Times New Roman" w:hAnsi="Times New Roman"/>
          <w:b/>
          <w:sz w:val="22"/>
          <w:u w:val="single"/>
        </w:rPr>
        <w:t>Quarter 2026</w:t>
      </w:r>
      <w:r>
        <w:rPr>
          <w:rFonts w:ascii="Times New Roman" w:hAnsi="Times New Roman"/>
          <w:sz w:val="22"/>
        </w:rPr>
        <w:t xml:space="preserve"> </w:t>
      </w:r>
    </w:p>
    <w:p>
      <w:pPr>
        <w:pStyle w:val="TextBody"/>
        <w:bidi w:val="0"/>
        <w:spacing w:before="0" w:after="0"/>
        <w:ind w:left="720" w:right="720" w:hanging="0"/>
        <w:jc w:val="both"/>
        <w:rPr>
          <w:rFonts w:cs="Times New Roman"/>
          <w:szCs w:val="20"/>
        </w:rPr>
      </w:pPr>
      <w:r>
        <w:rPr>
          <w:rFonts w:cs="Times New Roman"/>
          <w:bCs/>
          <w:szCs w:val="20"/>
          <w:u w:val="single"/>
        </w:rPr>
        <w:t>﻿</w:t>
      </w:r>
      <w:r>
        <w:rPr>
          <w:rFonts w:cs="Times New Roman"/>
          <w:szCs w:val="20"/>
        </w:rPr>
        <w:t xml:space="preserve"> </w:t>
      </w:r>
    </w:p>
    <w:tbl>
      <w:tblPr>
        <w:tblW w:w="8036" w:type="dxa"/>
        <w:jc w:val="left"/>
        <w:tblInd w:w="720" w:type="dxa"/>
        <w:tblLayout w:type="fixed"/>
        <w:tblCellMar>
          <w:top w:w="0" w:type="dxa"/>
          <w:left w:w="0" w:type="dxa"/>
          <w:bottom w:w="0" w:type="dxa"/>
          <w:right w:w="0" w:type="dxa"/>
        </w:tblCellMar>
      </w:tblPr>
      <w:tblGrid>
        <w:gridCol w:w="38"/>
        <w:gridCol w:w="170"/>
        <w:gridCol w:w="23"/>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52" w:before="0" w:after="16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805" w:type="dxa"/>
            <w:tcBorders/>
          </w:tcPr>
          <w:p>
            <w:pPr>
              <w:pStyle w:val="TableContents"/>
              <w:bidi w:val="0"/>
              <w:spacing w:lineRule="auto" w:line="252" w:before="0" w:after="160"/>
              <w:ind w:left="0" w:right="0" w:hanging="0"/>
              <w:jc w:val="both"/>
              <w:rPr>
                <w:rFonts w:ascii="Times New Roman" w:hAnsi="Times New Roman"/>
                <w:color w:val="000000"/>
                <w:sz w:val="22"/>
              </w:rPr>
            </w:pPr>
            <w:bookmarkStart w:id="6" w:name="_Hlk212454524"/>
            <w:bookmarkEnd w:id="6"/>
            <w:r>
              <w:rPr>
                <w:rFonts w:ascii="Times New Roman" w:hAnsi="Times New Roman"/>
                <w:color w:val="000000"/>
                <w:sz w:val="22"/>
              </w:rPr>
              <w:t>Total Revenues of $45.1 million increased by 12% from $40.2 million in Q1 2025.</w:t>
            </w:r>
          </w:p>
        </w:tc>
      </w:tr>
    </w:tbl>
    <w:tbl>
      <w:tblPr>
        <w:tblW w:w="8765" w:type="dxa"/>
        <w:jc w:val="left"/>
        <w:tblInd w:w="720" w:type="dxa"/>
        <w:tblLayout w:type="fixed"/>
        <w:tblCellMar>
          <w:top w:w="0" w:type="dxa"/>
          <w:left w:w="0" w:type="dxa"/>
          <w:bottom w:w="0" w:type="dxa"/>
          <w:right w:w="0" w:type="dxa"/>
        </w:tblCellMar>
      </w:tblPr>
      <w:tblGrid>
        <w:gridCol w:w="38"/>
        <w:gridCol w:w="135"/>
        <w:gridCol w:w="23"/>
        <w:gridCol w:w="8569"/>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tcPr>
          <w:p>
            <w:pPr>
              <w:pStyle w:val="TableContents"/>
              <w:bidi w:val="0"/>
              <w:spacing w:lineRule="auto" w:line="252" w:before="0" w:after="16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69" w:type="dxa"/>
            <w:tcBorders/>
          </w:tcPr>
          <w:p>
            <w:pPr>
              <w:pStyle w:val="TableContents"/>
              <w:bidi w:val="0"/>
              <w:spacing w:lineRule="auto" w:line="252" w:before="0" w:after="160"/>
              <w:ind w:left="0" w:right="0" w:hanging="0"/>
              <w:jc w:val="both"/>
              <w:rPr>
                <w:rFonts w:ascii="Times New Roman" w:hAnsi="Times New Roman"/>
                <w:color w:val="000000"/>
                <w:sz w:val="22"/>
              </w:rPr>
            </w:pPr>
            <w:r>
              <w:rPr>
                <w:rFonts w:ascii="Times New Roman" w:hAnsi="Times New Roman"/>
                <w:color w:val="000000"/>
                <w:sz w:val="22"/>
              </w:rPr>
              <w:t>Representing the best result for this metric since Q1 2019, a reported Operating Loss of $3.6 million marks a 47% improvement from a $6.9 million Operating Loss reported in Q1 2025.  </w:t>
            </w:r>
          </w:p>
        </w:tc>
      </w:tr>
    </w:tbl>
    <w:tbl>
      <w:tblPr>
        <w:tblW w:w="8765" w:type="dxa"/>
        <w:jc w:val="left"/>
        <w:tblInd w:w="720" w:type="dxa"/>
        <w:tblLayout w:type="fixed"/>
        <w:tblCellMar>
          <w:top w:w="0" w:type="dxa"/>
          <w:left w:w="0" w:type="dxa"/>
          <w:bottom w:w="0" w:type="dxa"/>
          <w:right w:w="0" w:type="dxa"/>
        </w:tblCellMar>
      </w:tblPr>
      <w:tblGrid>
        <w:gridCol w:w="38"/>
        <w:gridCol w:w="130"/>
        <w:gridCol w:w="23"/>
        <w:gridCol w:w="8574"/>
      </w:tblGrid>
      <w:tr>
        <w:trPr/>
        <w:tc>
          <w:tcPr>
            <w:tcW w:w="38" w:type="dxa"/>
            <w:tcBorders/>
            <w:vAlign w:val="center"/>
          </w:tcPr>
          <w:p>
            <w:pPr>
              <w:pStyle w:val="TableContents"/>
              <w:bidi w:val="0"/>
              <w:spacing w:before="0" w:after="283"/>
              <w:jc w:val="left"/>
              <w:rPr>
                <w:sz w:val="4"/>
                <w:szCs w:val="4"/>
              </w:rPr>
            </w:pPr>
            <w:r>
              <w:rPr>
                <w:sz w:val="4"/>
                <w:szCs w:val="4"/>
              </w:rPr>
            </w:r>
          </w:p>
        </w:tc>
        <w:tc>
          <w:tcPr>
            <w:tcW w:w="130" w:type="dxa"/>
            <w:tcBorders/>
          </w:tcPr>
          <w:p>
            <w:pPr>
              <w:pStyle w:val="TableContents"/>
              <w:bidi w:val="0"/>
              <w:spacing w:lineRule="auto" w:line="252" w:before="0" w:after="16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74" w:type="dxa"/>
            <w:tcBorders/>
          </w:tcPr>
          <w:p>
            <w:pPr>
              <w:pStyle w:val="TableContents"/>
              <w:bidi w:val="0"/>
              <w:spacing w:lineRule="auto" w:line="252" w:before="0" w:after="160"/>
              <w:ind w:left="0" w:right="0" w:hanging="0"/>
              <w:jc w:val="both"/>
              <w:rPr>
                <w:rFonts w:ascii="Times New Roman" w:hAnsi="Times New Roman"/>
                <w:color w:val="000000"/>
                <w:sz w:val="22"/>
              </w:rPr>
            </w:pPr>
            <w:r>
              <w:rPr>
                <w:rFonts w:ascii="Times New Roman" w:hAnsi="Times New Roman"/>
                <w:color w:val="000000"/>
                <w:sz w:val="22"/>
              </w:rPr>
              <w:t>EBITDA decreased to a negative EBITDA of $0.8 million compared to a positive EBITDA of $2.9 million in Q1 2025, which 2025 quarter reflected a gain on sale of $6.6 million from the sale of our real estate assets in Wellington, New Zealand. </w:t>
            </w:r>
          </w:p>
        </w:tc>
      </w:tr>
    </w:tbl>
    <w:tbl>
      <w:tblPr>
        <w:tblW w:w="8765" w:type="dxa"/>
        <w:jc w:val="left"/>
        <w:tblInd w:w="720" w:type="dxa"/>
        <w:tblLayout w:type="fixed"/>
        <w:tblCellMar>
          <w:top w:w="0" w:type="dxa"/>
          <w:left w:w="0" w:type="dxa"/>
          <w:bottom w:w="0" w:type="dxa"/>
          <w:right w:w="0" w:type="dxa"/>
        </w:tblCellMar>
      </w:tblPr>
      <w:tblGrid>
        <w:gridCol w:w="38"/>
        <w:gridCol w:w="143"/>
        <w:gridCol w:w="23"/>
        <w:gridCol w:w="8561"/>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tcPr>
          <w:p>
            <w:pPr>
              <w:pStyle w:val="TableContents"/>
              <w:bidi w:val="0"/>
              <w:spacing w:lineRule="auto" w:line="252" w:before="0" w:after="16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61" w:type="dxa"/>
            <w:tcBorders/>
          </w:tcPr>
          <w:p>
            <w:pPr>
              <w:pStyle w:val="TableContents"/>
              <w:bidi w:val="0"/>
              <w:spacing w:lineRule="auto" w:line="252" w:before="0" w:after="160"/>
              <w:ind w:left="0" w:right="0" w:hanging="0"/>
              <w:jc w:val="both"/>
              <w:rPr>
                <w:rFonts w:ascii="Times New Roman" w:hAnsi="Times New Roman"/>
                <w:color w:val="000000"/>
                <w:sz w:val="22"/>
              </w:rPr>
            </w:pPr>
            <w:r>
              <w:rPr>
                <w:rFonts w:ascii="Times New Roman" w:hAnsi="Times New Roman"/>
                <w:color w:val="000000"/>
                <w:sz w:val="22"/>
              </w:rPr>
              <w:t>Taking into account that Q1 2025 gain on sale, our Basic Loss per Share of $0.36 declined by 69% compared to a Basic Loss per Share of $0.21 in Q1 2025.</w:t>
            </w:r>
          </w:p>
        </w:tc>
      </w:tr>
    </w:tbl>
    <w:tbl>
      <w:tblPr>
        <w:tblW w:w="8765" w:type="dxa"/>
        <w:jc w:val="left"/>
        <w:tblInd w:w="720" w:type="dxa"/>
        <w:tblLayout w:type="fixed"/>
        <w:tblCellMar>
          <w:top w:w="0" w:type="dxa"/>
          <w:left w:w="0" w:type="dxa"/>
          <w:bottom w:w="0" w:type="dxa"/>
          <w:right w:w="0" w:type="dxa"/>
        </w:tblCellMar>
      </w:tblPr>
      <w:tblGrid>
        <w:gridCol w:w="38"/>
        <w:gridCol w:w="140"/>
        <w:gridCol w:w="23"/>
        <w:gridCol w:w="8564"/>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tcPr>
          <w:p>
            <w:pPr>
              <w:pStyle w:val="TableContents"/>
              <w:bidi w:val="0"/>
              <w:spacing w:lineRule="auto" w:line="252" w:before="0" w:after="16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64" w:type="dxa"/>
            <w:tcBorders/>
          </w:tcPr>
          <w:p>
            <w:pPr>
              <w:pStyle w:val="TableContents"/>
              <w:bidi w:val="0"/>
              <w:spacing w:lineRule="auto" w:line="252" w:before="0" w:after="160"/>
              <w:ind w:left="0" w:right="0" w:hanging="0"/>
              <w:jc w:val="both"/>
              <w:rPr>
                <w:rFonts w:ascii="Times New Roman" w:hAnsi="Times New Roman"/>
                <w:color w:val="000000"/>
                <w:sz w:val="22"/>
              </w:rPr>
            </w:pPr>
            <w:r>
              <w:rPr>
                <w:rFonts w:ascii="Times New Roman" w:hAnsi="Times New Roman"/>
                <w:color w:val="000000"/>
                <w:sz w:val="22"/>
              </w:rPr>
              <w:t>Taking into account that Q1 2025 gain on sale, our Net Loss Attributable to Reading of $8.1 million weakened by 71% compared to a loss of $4.8 million in Q1 2025.</w:t>
            </w:r>
          </w:p>
        </w:tc>
      </w:tr>
    </w:tbl>
    <w:p>
      <w:pPr>
        <w:pStyle w:val="TextBody"/>
        <w:bidi w:val="0"/>
        <w:spacing w:before="0" w:after="0"/>
        <w:ind w:left="720" w:right="720" w:hanging="0"/>
        <w:jc w:val="both"/>
        <w:rPr>
          <w:rFonts w:ascii="Times New Roman" w:hAnsi="Times New Roman"/>
          <w:sz w:val="22"/>
        </w:rPr>
      </w:pPr>
      <w:r>
        <w:rPr>
          <w:rFonts w:ascii="Times New Roman" w:hAnsi="Times New Roman"/>
          <w:color w:val="000000"/>
          <w:sz w:val="22"/>
        </w:rPr>
        <w:t>In Q1 2026, both the Australian and New Zealand dollar average exchange rates strengthened against the U.S. dollar by 10.8% and 3.9%, respectively, compared to Q1 2025. With 53% of our Total Revenues being generated by our Australian and New Zealand businesses this quarter, the stronger currency positively impacted our U.S. reported operating results. This exchange ratio improvement trend has continued since the end of the quarter.    </w:t>
      </w:r>
      <w:r>
        <w:rPr>
          <w:rFonts w:ascii="Times New Roman" w:hAnsi="Times New Roman"/>
          <w:sz w:val="22"/>
        </w:rPr>
        <w:t xml:space="preserve"> </w:t>
      </w:r>
    </w:p>
    <w:p>
      <w:pPr>
        <w:pStyle w:val="TextBody"/>
        <w:bidi w:val="0"/>
        <w:spacing w:before="0" w:after="0"/>
        <w:ind w:left="720" w:right="7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720" w:right="720" w:hanging="0"/>
        <w:jc w:val="both"/>
        <w:rPr>
          <w:rFonts w:ascii="Times New Roman" w:hAnsi="Times New Roman"/>
          <w:sz w:val="22"/>
        </w:rPr>
      </w:pPr>
      <w:bookmarkStart w:id="7" w:name="_Hlk213852609"/>
      <w:bookmarkEnd w:id="7"/>
      <w:r>
        <w:rPr>
          <w:rFonts w:ascii="Times New Roman" w:hAnsi="Times New Roman"/>
          <w:color w:val="000000"/>
          <w:sz w:val="22"/>
        </w:rPr>
        <w:t>President and Chief Executive Officer, Ellen Cotter said, “We’re pleased to report that the Company achieved its strongest first quarter Operating Income result since 2019 pre-pandemic. This strong performance was powered by a 14% increase in our global cinema revenue, attributable to a stronger movie line-up from movies like </w:t>
      </w:r>
      <w:r>
        <w:rPr>
          <w:rFonts w:ascii="Times New Roman" w:hAnsi="Times New Roman"/>
          <w:i/>
          <w:color w:val="000000"/>
          <w:sz w:val="22"/>
        </w:rPr>
        <w:t>Project Hail Mary</w:t>
      </w:r>
      <w:r>
        <w:rPr>
          <w:rFonts w:ascii="Times New Roman" w:hAnsi="Times New Roman"/>
          <w:color w:val="000000"/>
          <w:sz w:val="22"/>
        </w:rPr>
        <w:t>,  </w:t>
      </w:r>
      <w:r>
        <w:rPr>
          <w:rFonts w:ascii="Times New Roman" w:hAnsi="Times New Roman"/>
          <w:i/>
          <w:color w:val="000000"/>
          <w:sz w:val="22"/>
        </w:rPr>
        <w:t>Wuthering Heights</w:t>
      </w:r>
      <w:r>
        <w:rPr>
          <w:rFonts w:ascii="Times New Roman" w:hAnsi="Times New Roman"/>
          <w:color w:val="000000"/>
          <w:sz w:val="22"/>
        </w:rPr>
        <w:t xml:space="preserve">, </w:t>
      </w:r>
      <w:r>
        <w:rPr>
          <w:rFonts w:ascii="Times New Roman" w:hAnsi="Times New Roman"/>
          <w:i/>
          <w:color w:val="000000"/>
          <w:sz w:val="22"/>
        </w:rPr>
        <w:t>GOAT, </w:t>
      </w:r>
      <w:r>
        <w:rPr>
          <w:rFonts w:ascii="Times New Roman" w:hAnsi="Times New Roman"/>
          <w:color w:val="000000"/>
          <w:sz w:val="22"/>
        </w:rPr>
        <w:t xml:space="preserve">and </w:t>
      </w:r>
      <w:r>
        <w:rPr>
          <w:rFonts w:ascii="Times New Roman" w:hAnsi="Times New Roman"/>
          <w:i/>
          <w:color w:val="000000"/>
          <w:sz w:val="22"/>
        </w:rPr>
        <w:t>Hoppers,</w:t>
      </w:r>
      <w:r>
        <w:rPr>
          <w:rFonts w:ascii="Times New Roman" w:hAnsi="Times New Roman"/>
          <w:color w:val="000000"/>
          <w:sz w:val="22"/>
        </w:rPr>
        <w:t xml:space="preserve"> along with solid Q4 2025 holdovers like </w:t>
      </w:r>
      <w:r>
        <w:rPr>
          <w:rFonts w:ascii="Times New Roman" w:hAnsi="Times New Roman"/>
          <w:i/>
          <w:color w:val="000000"/>
          <w:sz w:val="22"/>
        </w:rPr>
        <w:t>Avatar: Fire and Ash</w:t>
      </w:r>
      <w:r>
        <w:rPr>
          <w:rFonts w:ascii="Times New Roman" w:hAnsi="Times New Roman"/>
          <w:color w:val="000000"/>
          <w:sz w:val="22"/>
        </w:rPr>
        <w:t xml:space="preserve"> and </w:t>
      </w:r>
      <w:r>
        <w:rPr>
          <w:rFonts w:ascii="Times New Roman" w:hAnsi="Times New Roman"/>
          <w:i/>
          <w:color w:val="000000"/>
          <w:sz w:val="22"/>
        </w:rPr>
        <w:t>Zootopia 2</w:t>
      </w:r>
      <w:r>
        <w:rPr>
          <w:rFonts w:ascii="Times New Roman" w:hAnsi="Times New Roman"/>
          <w:color w:val="000000"/>
          <w:sz w:val="22"/>
        </w:rPr>
        <w:t xml:space="preserve">. Also, reflective of the successful execution of our key strategic initiatives, each of our cinema divisions delivered improved operating income results, with our Australian cinemas delivering a much improved first quarter. In addition to our U.S. and Australian cinema divisions reporting the highest ever first quarter Food &amp; Beverage spend per head, all cinema divisions continued to add members to their loyalty programs through creative initiatives. We expect our positive momentum to continue through 2026 as the remaining movie slate looks extremely promising with titles like </w:t>
      </w:r>
      <w:r>
        <w:rPr>
          <w:rFonts w:ascii="Times New Roman" w:hAnsi="Times New Roman"/>
          <w:i/>
          <w:color w:val="000000"/>
          <w:sz w:val="22"/>
        </w:rPr>
        <w:t>Toy Story 5, Moana, Minions &amp; Monsters, The Odyssey, Spider-Man: Brand New Day, Avengers: Doomsday</w:t>
      </w:r>
      <w:r>
        <w:rPr>
          <w:rFonts w:ascii="Times New Roman" w:hAnsi="Times New Roman"/>
          <w:color w:val="000000"/>
          <w:sz w:val="22"/>
        </w:rPr>
        <w:t xml:space="preserve"> and </w:t>
      </w:r>
      <w:r>
        <w:rPr>
          <w:rFonts w:ascii="Times New Roman" w:hAnsi="Times New Roman"/>
          <w:i/>
          <w:color w:val="000000"/>
          <w:sz w:val="22"/>
        </w:rPr>
        <w:t>Dune: Part Three</w:t>
      </w:r>
      <w:r>
        <w:rPr>
          <w:rFonts w:ascii="Times New Roman" w:hAnsi="Times New Roman"/>
          <w:color w:val="000000"/>
          <w:sz w:val="22"/>
        </w:rPr>
        <w:t>.</w:t>
      </w:r>
      <w:r>
        <w:rPr>
          <w:rFonts w:ascii="Times New Roman" w:hAnsi="Times New Roman"/>
          <w:sz w:val="22"/>
        </w:rPr>
        <w:t xml:space="preserve"> </w:t>
      </w:r>
    </w:p>
    <w:p>
      <w:pPr>
        <w:pStyle w:val="TextBody"/>
        <w:bidi w:val="0"/>
        <w:spacing w:before="0" w:after="0"/>
        <w:ind w:left="720" w:right="7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color w:val="000000"/>
          <w:sz w:val="22"/>
        </w:rPr>
        <w:t>Our Q1 2026 global Real Estate division segment revenues and operating income decreased against Q1 2025. The performance reflects the execution of our strategy to raise liquidity through select asset monetization, most notably the 2025 sales of our real estate assets in Wellington, New Zealand and Townsville, Australia. Our U.S. Real Estate business supported the global Real Estate division by reporting its highest ever first quarter U.S. Real Estate revenue, led by strengthening in our Live Theatre revenue.</w:t>
      </w:r>
      <w:r>
        <w:rPr>
          <w:rFonts w:ascii="Times New Roman" w:hAnsi="Times New Roman"/>
          <w:sz w:val="22"/>
        </w:rPr>
        <w:t xml:space="preserve"> </w:t>
      </w:r>
    </w:p>
    <w:p>
      <w:pPr>
        <w:pStyle w:val="TextBody"/>
        <w:bidi w:val="0"/>
        <w:spacing w:before="0" w:after="0"/>
        <w:ind w:left="720" w:right="7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720" w:right="720" w:hanging="0"/>
        <w:jc w:val="both"/>
        <w:rPr>
          <w:rFonts w:ascii="Times New Roman" w:hAnsi="Times New Roman"/>
          <w:color w:val="000000"/>
          <w:sz w:val="22"/>
        </w:rPr>
      </w:pPr>
      <w:r>
        <w:rPr>
          <w:rFonts w:ascii="Times New Roman" w:hAnsi="Times New Roman"/>
          <w:color w:val="000000"/>
          <w:sz w:val="22"/>
        </w:rPr>
        <w:t xml:space="preserve">Lastly, our improved Q1 2026 Operating Loss also reflects an 8% reduction in our global General &amp; Administrative costs.” </w:t>
      </w:r>
    </w:p>
    <w:p>
      <w:pPr>
        <w:pStyle w:val="TextBody"/>
        <w:bidi w:val="0"/>
        <w:spacing w:before="0" w:after="0"/>
        <w:ind w:left="720" w:right="720" w:hanging="0"/>
        <w:jc w:val="both"/>
        <w:rPr>
          <w:rFonts w:cs="Times New Roman"/>
          <w:szCs w:val="22"/>
        </w:rPr>
      </w:pPr>
      <w:r>
        <w:rPr>
          <w:rFonts w:cs="Times New Roman"/>
          <w:color w:val="000000"/>
          <w:szCs w:val="22"/>
        </w:rPr>
        <w:t>﻿</w:t>
      </w:r>
      <w:bookmarkStart w:id="8" w:name="_Hlk213768786"/>
      <w:bookmarkEnd w:id="8"/>
      <w:r>
        <w:rPr>
          <w:rFonts w:cs="Times New Roman"/>
          <w:szCs w:val="22"/>
        </w:rPr>
        <w:t xml:space="preserve"> </w:t>
      </w:r>
    </w:p>
    <w:p>
      <w:pPr>
        <w:pStyle w:val="TextBody"/>
        <w:bidi w:val="0"/>
        <w:spacing w:before="0" w:after="0"/>
        <w:ind w:left="720" w:right="720" w:hanging="0"/>
        <w:jc w:val="both"/>
        <w:rPr>
          <w:rFonts w:ascii="Times New Roman" w:hAnsi="Times New Roman"/>
          <w:color w:val="000000"/>
          <w:sz w:val="22"/>
        </w:rPr>
      </w:pPr>
      <w:r>
        <w:rPr>
          <w:rFonts w:ascii="Times New Roman" w:hAnsi="Times New Roman"/>
          <w:color w:val="000000"/>
          <w:sz w:val="22"/>
        </w:rPr>
        <w:t xml:space="preserve">Cotter continued, “During the first quarter 2026, in an effort to bolster our liquidity, our Board directed Management to begin efforts to sell the Cinemas 1,2,3 building in NYC.  And, as of the date of this Release, we are under contract to sell our Napier property in New Zealand with an expected cinema lease back. </w:t>
      </w:r>
    </w:p>
    <w:p>
      <w:pPr>
        <w:pStyle w:val="TextBody"/>
        <w:bidi w:val="0"/>
        <w:spacing w:before="0" w:after="0"/>
        <w:ind w:left="720" w:right="7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color w:val="000000"/>
          <w:sz w:val="22"/>
        </w:rPr>
        <w:t>With a solid first quarter operational start, a balance sheet which continues to be anchored by a strong real estate portfolio, and our global cinemas poised to capitalize on an exciting and robust movie slate through the remainder of the year, while no assurances can be given, we believe our Company is well-positioned to deliver a strong 2026.”</w:t>
      </w:r>
      <w:r>
        <w:rPr>
          <w:rFonts w:ascii="Times New Roman" w:hAnsi="Times New Roman"/>
          <w:sz w:val="22"/>
        </w:rPr>
        <w:t xml:space="preserve"> </w:t>
      </w:r>
    </w:p>
    <w:p>
      <w:pPr>
        <w:pStyle w:val="TextBody"/>
        <w:bidi w:val="0"/>
        <w:spacing w:before="0" w:after="0"/>
        <w:ind w:left="720" w:right="7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720" w:right="720" w:hanging="0"/>
        <w:jc w:val="both"/>
        <w:rPr>
          <w:rFonts w:ascii="Times New Roman" w:hAnsi="Times New Roman"/>
          <w:b/>
          <w:color w:val="000000"/>
          <w:sz w:val="22"/>
          <w:u w:val="single"/>
        </w:rPr>
      </w:pPr>
      <w:r>
        <w:rPr>
          <w:rFonts w:ascii="Times New Roman" w:hAnsi="Times New Roman"/>
          <w:b/>
          <w:color w:val="000000"/>
          <w:sz w:val="22"/>
          <w:u w:val="single"/>
        </w:rPr>
        <w:t xml:space="preserve">Cinema Business </w:t>
      </w:r>
    </w:p>
    <w:p>
      <w:pPr>
        <w:pStyle w:val="TextBody"/>
        <w:bidi w:val="0"/>
        <w:spacing w:before="0" w:after="0"/>
        <w:ind w:left="720" w:right="720" w:hanging="0"/>
        <w:jc w:val="both"/>
        <w:rPr>
          <w:rFonts w:cs="Times New Roman"/>
          <w:szCs w:val="22"/>
        </w:rPr>
      </w:pPr>
      <w:r>
        <w:rPr>
          <w:rFonts w:cs="Times New Roman"/>
          <w:color w:val="000000"/>
          <w:szCs w:val="22"/>
        </w:rPr>
        <w:t>﻿</w:t>
      </w: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32"/>
        <w:gridCol w:w="23"/>
        <w:gridCol w:w="8572"/>
      </w:tblGrid>
      <w:tr>
        <w:trPr/>
        <w:tc>
          <w:tcPr>
            <w:tcW w:w="38" w:type="dxa"/>
            <w:tcBorders/>
            <w:vAlign w:val="center"/>
          </w:tcPr>
          <w:p>
            <w:pPr>
              <w:pStyle w:val="TableContents"/>
              <w:bidi w:val="0"/>
              <w:spacing w:before="0" w:after="283"/>
              <w:jc w:val="left"/>
              <w:rPr>
                <w:sz w:val="4"/>
                <w:szCs w:val="4"/>
              </w:rPr>
            </w:pPr>
            <w:r>
              <w:rPr>
                <w:sz w:val="4"/>
                <w:szCs w:val="4"/>
              </w:rPr>
            </w:r>
          </w:p>
        </w:tc>
        <w:tc>
          <w:tcPr>
            <w:tcW w:w="132" w:type="dxa"/>
            <w:tcBorders/>
          </w:tcPr>
          <w:p>
            <w:pPr>
              <w:pStyle w:val="TableContents"/>
              <w:bidi w:val="0"/>
              <w:spacing w:before="0" w:after="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72" w:type="dxa"/>
            <w:tcBorders/>
          </w:tcPr>
          <w:p>
            <w:pPr>
              <w:pStyle w:val="TableContents"/>
              <w:bidi w:val="0"/>
              <w:spacing w:before="0" w:after="0"/>
              <w:ind w:left="0" w:right="0" w:hanging="0"/>
              <w:jc w:val="both"/>
              <w:rPr>
                <w:rFonts w:ascii="Times New Roman" w:hAnsi="Times New Roman"/>
                <w:sz w:val="22"/>
              </w:rPr>
            </w:pPr>
            <w:r>
              <w:rPr>
                <w:rFonts w:ascii="Times New Roman" w:hAnsi="Times New Roman"/>
                <w:color w:val="000000"/>
                <w:sz w:val="22"/>
              </w:rPr>
              <w:t xml:space="preserve">With respect to Q1 2026, and compared to Q1 2025, our global cinemas reported (i) $41.5 million in cinema revenue, representing a </w:t>
            </w:r>
            <w:bookmarkStart w:id="9" w:name="_Hlk172926131"/>
            <w:bookmarkEnd w:id="9"/>
            <w:r>
              <w:rPr>
                <w:rFonts w:ascii="Times New Roman" w:hAnsi="Times New Roman"/>
                <w:color w:val="000000"/>
                <w:sz w:val="22"/>
              </w:rPr>
              <w:t>14% increase, and (ii) an operating loss of $1.3 million, representing a 70% improvement.</w:t>
            </w:r>
          </w:p>
        </w:tc>
      </w:tr>
    </w:tbl>
    <w:tbl>
      <w:tblPr>
        <w:tblW w:w="3866" w:type="dxa"/>
        <w:jc w:val="left"/>
        <w:tblInd w:w="720" w:type="dxa"/>
        <w:tblLayout w:type="fixed"/>
        <w:tblCellMar>
          <w:top w:w="0" w:type="dxa"/>
          <w:left w:w="0" w:type="dxa"/>
          <w:bottom w:w="0" w:type="dxa"/>
          <w:right w:w="0" w:type="dxa"/>
        </w:tblCellMar>
      </w:tblPr>
      <w:tblGrid>
        <w:gridCol w:w="38"/>
        <w:gridCol w:w="170"/>
        <w:gridCol w:w="23"/>
        <w:gridCol w:w="3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before="0" w:after="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635" w:type="dxa"/>
            <w:tcBorders/>
          </w:tcPr>
          <w:p>
            <w:pPr>
              <w:pStyle w:val="TableContents"/>
              <w:bidi w:val="0"/>
              <w:spacing w:before="0" w:after="0"/>
              <w:ind w:left="0" w:right="0" w:hanging="0"/>
              <w:jc w:val="both"/>
              <w:rPr>
                <w:rFonts w:ascii="Times New Roman" w:hAnsi="Times New Roman"/>
                <w:color w:val="000000"/>
                <w:sz w:val="22"/>
              </w:rPr>
            </w:pPr>
            <w:r>
              <w:rPr>
                <w:rFonts w:ascii="Times New Roman" w:hAnsi="Times New Roman"/>
                <w:color w:val="000000"/>
                <w:sz w:val="22"/>
              </w:rPr>
              <w:t xml:space="preserve">These positive results were driven by: </w:t>
            </w:r>
          </w:p>
        </w:tc>
      </w:tr>
    </w:tbl>
    <w:p>
      <w:pPr>
        <w:pStyle w:val="TextBody"/>
        <w:bidi w:val="0"/>
        <w:spacing w:before="0" w:after="0"/>
        <w:ind w:left="1440" w:right="7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980" w:right="720" w:hanging="450"/>
        <w:jc w:val="both"/>
        <w:rPr>
          <w:rFonts w:ascii="Times New Roman" w:hAnsi="Times New Roman"/>
          <w:color w:val="000000"/>
          <w:sz w:val="22"/>
        </w:rPr>
      </w:pPr>
      <w:r>
        <w:rPr>
          <w:rFonts w:ascii="Times New Roman" w:hAnsi="Times New Roman"/>
          <w:color w:val="000000"/>
          <w:sz w:val="22"/>
        </w:rPr>
        <w:t xml:space="preserve">(i)   Increased attendance at our U.S. cinemas as a result of an improved Q1 2026 movie slate, despite a 7.3% reduction in our U.S. screen count due to the 2025 closure of an underperforming cinema;  </w:t>
      </w:r>
    </w:p>
    <w:p>
      <w:pPr>
        <w:pStyle w:val="TextBody"/>
        <w:bidi w:val="0"/>
        <w:spacing w:before="0" w:after="0"/>
        <w:ind w:left="1980" w:right="720" w:hanging="450"/>
        <w:jc w:val="both"/>
        <w:rPr>
          <w:rFonts w:ascii="Times New Roman" w:hAnsi="Times New Roman"/>
          <w:color w:val="000000"/>
          <w:sz w:val="22"/>
        </w:rPr>
      </w:pPr>
      <w:r>
        <w:rPr>
          <w:rFonts w:ascii="Times New Roman" w:hAnsi="Times New Roman"/>
          <w:color w:val="000000"/>
          <w:sz w:val="22"/>
        </w:rPr>
        <w:t xml:space="preserve">(ii)   Increased attendance in our Australian cinemas as a result of an improved Q1 2026 movie slate, coupled with creative and compelling loyalty program initiatives; </w:t>
      </w:r>
    </w:p>
    <w:p>
      <w:pPr>
        <w:pStyle w:val="TextBody"/>
        <w:bidi w:val="0"/>
        <w:spacing w:before="0" w:after="0"/>
        <w:ind w:left="1980" w:right="720" w:hanging="540"/>
        <w:jc w:val="both"/>
        <w:rPr>
          <w:rFonts w:ascii="Times New Roman" w:hAnsi="Times New Roman"/>
          <w:color w:val="000000"/>
          <w:sz w:val="22"/>
        </w:rPr>
      </w:pPr>
      <w:r>
        <w:rPr>
          <w:rFonts w:ascii="Times New Roman" w:hAnsi="Times New Roman"/>
          <w:color w:val="000000"/>
          <w:sz w:val="22"/>
        </w:rPr>
        <w:t xml:space="preserve">(iii)  Improved F&amp;B sales per person (“SPP”) for Q1 2026: (a) at AU$8.09, our Australian Cinema F&amp;B SPP, represented the highest first quarter ever for our Australian Cinemas, and (b) at $8.38, our U.S. Cinema F&amp;B SPP also ranked the highest first quarter during which our U.S. circuit was fully operating (i.e. excluding pandemic closure periods); and </w:t>
      </w:r>
    </w:p>
    <w:p>
      <w:pPr>
        <w:pStyle w:val="TextBody"/>
        <w:bidi w:val="0"/>
        <w:spacing w:before="0" w:after="0"/>
        <w:ind w:left="1980" w:right="720" w:hanging="450"/>
        <w:jc w:val="both"/>
        <w:rPr>
          <w:rFonts w:ascii="Times New Roman" w:hAnsi="Times New Roman"/>
          <w:color w:val="000000"/>
          <w:sz w:val="22"/>
        </w:rPr>
      </w:pPr>
      <w:r>
        <w:rPr>
          <w:rFonts w:ascii="Times New Roman" w:hAnsi="Times New Roman"/>
          <w:color w:val="000000"/>
          <w:sz w:val="22"/>
        </w:rPr>
        <w:t xml:space="preserve">(iv)  The strengthening of the Australian and New Zealand currencies during the first quarter 2026. </w:t>
      </w:r>
    </w:p>
    <w:p>
      <w:pPr>
        <w:pStyle w:val="TextBody"/>
        <w:bidi w:val="0"/>
        <w:spacing w:before="0" w:after="0"/>
        <w:ind w:left="1440" w:right="720" w:hanging="0"/>
        <w:jc w:val="both"/>
        <w:rPr>
          <w:rFonts w:cs="Times New Roman"/>
          <w:szCs w:val="22"/>
        </w:rPr>
      </w:pPr>
      <w:r>
        <w:rPr>
          <w:rFonts w:cs="Times New Roman"/>
          <w:color w:val="000000"/>
          <w:szCs w:val="22"/>
        </w:rPr>
        <w:t>﻿</w:t>
      </w: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24"/>
        <w:gridCol w:w="23"/>
        <w:gridCol w:w="8580"/>
      </w:tblGrid>
      <w:tr>
        <w:trPr/>
        <w:tc>
          <w:tcPr>
            <w:tcW w:w="38" w:type="dxa"/>
            <w:tcBorders/>
            <w:vAlign w:val="center"/>
          </w:tcPr>
          <w:p>
            <w:pPr>
              <w:pStyle w:val="TableContents"/>
              <w:bidi w:val="0"/>
              <w:spacing w:before="0" w:after="283"/>
              <w:jc w:val="left"/>
              <w:rPr>
                <w:sz w:val="4"/>
                <w:szCs w:val="4"/>
              </w:rPr>
            </w:pPr>
            <w:r>
              <w:rPr>
                <w:sz w:val="4"/>
                <w:szCs w:val="4"/>
              </w:rPr>
            </w:r>
          </w:p>
        </w:tc>
        <w:tc>
          <w:tcPr>
            <w:tcW w:w="124" w:type="dxa"/>
            <w:tcBorders/>
          </w:tcPr>
          <w:p>
            <w:pPr>
              <w:pStyle w:val="TableContents"/>
              <w:bidi w:val="0"/>
              <w:spacing w:before="0" w:after="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80" w:type="dxa"/>
            <w:tcBorders/>
          </w:tcPr>
          <w:p>
            <w:pPr>
              <w:pStyle w:val="TableContents"/>
              <w:bidi w:val="0"/>
              <w:spacing w:before="0" w:after="0"/>
              <w:ind w:left="0" w:right="0" w:hanging="0"/>
              <w:jc w:val="both"/>
              <w:rPr>
                <w:rFonts w:ascii="Times New Roman" w:hAnsi="Times New Roman"/>
                <w:color w:val="000000"/>
                <w:sz w:val="22"/>
              </w:rPr>
            </w:pPr>
            <w:r>
              <w:rPr>
                <w:rFonts w:ascii="Times New Roman" w:hAnsi="Times New Roman"/>
                <w:color w:val="000000"/>
                <w:sz w:val="22"/>
              </w:rPr>
              <w:t>We continue to work with our global cinema landlords to align our occupancy costs with current operating conditions to help manage inflationary pressures and rising labor and operating costs, especially in the State of Hawaii, where we have experienced a significantly higher increase in operating expenses compared to the U.S. Mainland.</w:t>
            </w:r>
          </w:p>
        </w:tc>
      </w:tr>
    </w:tbl>
    <w:p>
      <w:pPr>
        <w:pStyle w:val="TextBody"/>
        <w:bidi w:val="0"/>
        <w:spacing w:before="0" w:after="0"/>
        <w:ind w:left="720" w:right="720"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before="0" w:after="0"/>
        <w:ind w:left="720" w:right="720" w:hanging="0"/>
        <w:jc w:val="both"/>
        <w:rPr>
          <w:rFonts w:ascii="Times New Roman" w:hAnsi="Times New Roman"/>
          <w:b/>
          <w:color w:val="000000"/>
          <w:sz w:val="22"/>
          <w:u w:val="single"/>
        </w:rPr>
      </w:pPr>
      <w:r>
        <w:rPr>
          <w:rFonts w:ascii="Times New Roman" w:hAnsi="Times New Roman"/>
          <w:b/>
          <w:color w:val="000000"/>
          <w:sz w:val="22"/>
          <w:u w:val="single"/>
        </w:rPr>
        <w:t xml:space="preserve">Real Estate Business </w:t>
      </w:r>
    </w:p>
    <w:p>
      <w:pPr>
        <w:pStyle w:val="TextBody"/>
        <w:bidi w:val="0"/>
        <w:spacing w:before="0" w:after="0"/>
        <w:ind w:left="720" w:right="720" w:hanging="0"/>
        <w:jc w:val="both"/>
        <w:rPr>
          <w:rFonts w:cs="Times New Roman"/>
          <w:szCs w:val="22"/>
        </w:rPr>
      </w:pPr>
      <w:r>
        <w:rPr>
          <w:rFonts w:cs="Times New Roman"/>
          <w:bCs/>
          <w:color w:val="000000"/>
          <w:szCs w:val="22"/>
          <w:u w:val="single"/>
        </w:rPr>
        <w:t>﻿</w:t>
      </w: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31"/>
        <w:gridCol w:w="23"/>
        <w:gridCol w:w="8573"/>
      </w:tblGrid>
      <w:tr>
        <w:trPr/>
        <w:tc>
          <w:tcPr>
            <w:tcW w:w="38" w:type="dxa"/>
            <w:tcBorders/>
            <w:vAlign w:val="center"/>
          </w:tcPr>
          <w:p>
            <w:pPr>
              <w:pStyle w:val="TableContents"/>
              <w:bidi w:val="0"/>
              <w:spacing w:before="0" w:after="283"/>
              <w:jc w:val="left"/>
              <w:rPr>
                <w:sz w:val="4"/>
                <w:szCs w:val="4"/>
              </w:rPr>
            </w:pPr>
            <w:r>
              <w:rPr>
                <w:sz w:val="4"/>
                <w:szCs w:val="4"/>
              </w:rPr>
            </w:r>
          </w:p>
        </w:tc>
        <w:tc>
          <w:tcPr>
            <w:tcW w:w="131" w:type="dxa"/>
            <w:tcBorders/>
          </w:tcPr>
          <w:p>
            <w:pPr>
              <w:pStyle w:val="TableContents"/>
              <w:bidi w:val="0"/>
              <w:spacing w:before="0" w:after="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73" w:type="dxa"/>
            <w:tcBorders/>
          </w:tcPr>
          <w:p>
            <w:pPr>
              <w:pStyle w:val="TableContents"/>
              <w:bidi w:val="0"/>
              <w:spacing w:before="0" w:after="0"/>
              <w:ind w:left="0" w:right="0" w:hanging="0"/>
              <w:jc w:val="both"/>
              <w:rPr>
                <w:rFonts w:ascii="Times New Roman" w:hAnsi="Times New Roman"/>
                <w:color w:val="000000"/>
                <w:sz w:val="22"/>
              </w:rPr>
            </w:pPr>
            <w:r>
              <w:rPr>
                <w:rFonts w:ascii="Times New Roman" w:hAnsi="Times New Roman"/>
                <w:color w:val="000000"/>
                <w:sz w:val="22"/>
              </w:rPr>
              <w:t xml:space="preserve">With respect to Q1 2026, and compared to Q1 2025, our global Real Estate business reported (i) $4.6 million of Real Estate revenue representing a decrease of 5%, and (ii) operating income of $1.4 million representing a 13% decrease. </w:t>
            </w:r>
          </w:p>
        </w:tc>
      </w:tr>
    </w:tbl>
    <w:tbl>
      <w:tblPr>
        <w:tblW w:w="8765" w:type="dxa"/>
        <w:jc w:val="left"/>
        <w:tblInd w:w="720" w:type="dxa"/>
        <w:tblLayout w:type="fixed"/>
        <w:tblCellMar>
          <w:top w:w="0" w:type="dxa"/>
          <w:left w:w="0" w:type="dxa"/>
          <w:bottom w:w="0" w:type="dxa"/>
          <w:right w:w="0" w:type="dxa"/>
        </w:tblCellMar>
      </w:tblPr>
      <w:tblGrid>
        <w:gridCol w:w="38"/>
        <w:gridCol w:w="127"/>
        <w:gridCol w:w="23"/>
        <w:gridCol w:w="8577"/>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tcPr>
          <w:p>
            <w:pPr>
              <w:pStyle w:val="TableContents"/>
              <w:bidi w:val="0"/>
              <w:spacing w:before="0" w:after="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77" w:type="dxa"/>
            <w:tcBorders/>
          </w:tcPr>
          <w:p>
            <w:pPr>
              <w:pStyle w:val="TableContents"/>
              <w:bidi w:val="0"/>
              <w:spacing w:before="0" w:after="0"/>
              <w:ind w:left="0" w:right="0" w:hanging="0"/>
              <w:jc w:val="both"/>
              <w:rPr>
                <w:rFonts w:ascii="Times New Roman" w:hAnsi="Times New Roman"/>
                <w:color w:val="000000"/>
                <w:sz w:val="22"/>
              </w:rPr>
            </w:pPr>
            <w:r>
              <w:rPr>
                <w:rFonts w:ascii="Times New Roman" w:hAnsi="Times New Roman"/>
                <w:color w:val="000000"/>
                <w:sz w:val="22"/>
              </w:rPr>
              <w:t>Our Q1 2026 U.S. Real Estate revenues of $1.8 million represented a 13% increase from Q1 2025 primarily due to the improved performance of our Live Theatre assets in NYC, including our Minetta Lane Theatre, which generated its best first quarter in the Company’s history.  </w:t>
            </w:r>
          </w:p>
        </w:tc>
      </w:tr>
    </w:tbl>
    <w:tbl>
      <w:tblPr>
        <w:tblW w:w="8765" w:type="dxa"/>
        <w:jc w:val="left"/>
        <w:tblInd w:w="720" w:type="dxa"/>
        <w:tblLayout w:type="fixed"/>
        <w:tblCellMar>
          <w:top w:w="0" w:type="dxa"/>
          <w:left w:w="0" w:type="dxa"/>
          <w:bottom w:w="0" w:type="dxa"/>
          <w:right w:w="0" w:type="dxa"/>
        </w:tblCellMar>
      </w:tblPr>
      <w:tblGrid>
        <w:gridCol w:w="38"/>
        <w:gridCol w:w="133"/>
        <w:gridCol w:w="23"/>
        <w:gridCol w:w="8571"/>
      </w:tblGrid>
      <w:tr>
        <w:trPr/>
        <w:tc>
          <w:tcPr>
            <w:tcW w:w="38" w:type="dxa"/>
            <w:tcBorders/>
            <w:vAlign w:val="center"/>
          </w:tcPr>
          <w:p>
            <w:pPr>
              <w:pStyle w:val="TableContents"/>
              <w:bidi w:val="0"/>
              <w:spacing w:before="0" w:after="283"/>
              <w:jc w:val="left"/>
              <w:rPr>
                <w:sz w:val="4"/>
                <w:szCs w:val="4"/>
              </w:rPr>
            </w:pPr>
            <w:r>
              <w:rPr>
                <w:sz w:val="4"/>
                <w:szCs w:val="4"/>
              </w:rPr>
            </w:r>
          </w:p>
        </w:tc>
        <w:tc>
          <w:tcPr>
            <w:tcW w:w="133" w:type="dxa"/>
            <w:tcBorders/>
          </w:tcPr>
          <w:p>
            <w:pPr>
              <w:pStyle w:val="TableContents"/>
              <w:bidi w:val="0"/>
              <w:spacing w:before="0" w:after="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71" w:type="dxa"/>
            <w:tcBorders/>
          </w:tcPr>
          <w:p>
            <w:pPr>
              <w:pStyle w:val="TableContents"/>
              <w:bidi w:val="0"/>
              <w:spacing w:before="0" w:after="0"/>
              <w:ind w:left="0" w:right="0" w:hanging="0"/>
              <w:jc w:val="both"/>
              <w:rPr>
                <w:rFonts w:ascii="Times New Roman" w:hAnsi="Times New Roman"/>
                <w:color w:val="000000"/>
                <w:sz w:val="22"/>
              </w:rPr>
            </w:pPr>
            <w:r>
              <w:rPr>
                <w:rFonts w:ascii="Times New Roman" w:hAnsi="Times New Roman"/>
                <w:color w:val="000000"/>
                <w:sz w:val="22"/>
              </w:rPr>
              <w:t>As of December 2025, we own 100% of our Cinemas 1,2,3 property. In order to improve our liquidity conditions, during the first quarter of 2026, our Board directed management to begin efforts to sell this property.</w:t>
            </w:r>
          </w:p>
        </w:tc>
      </w:tr>
    </w:tbl>
    <w:tbl>
      <w:tblPr>
        <w:tblW w:w="8765" w:type="dxa"/>
        <w:jc w:val="left"/>
        <w:tblInd w:w="720" w:type="dxa"/>
        <w:tblLayout w:type="fixed"/>
        <w:tblCellMar>
          <w:top w:w="0" w:type="dxa"/>
          <w:left w:w="0" w:type="dxa"/>
          <w:bottom w:w="0" w:type="dxa"/>
          <w:right w:w="0" w:type="dxa"/>
        </w:tblCellMar>
      </w:tblPr>
      <w:tblGrid>
        <w:gridCol w:w="38"/>
        <w:gridCol w:w="129"/>
        <w:gridCol w:w="23"/>
        <w:gridCol w:w="8575"/>
      </w:tblGrid>
      <w:tr>
        <w:trPr/>
        <w:tc>
          <w:tcPr>
            <w:tcW w:w="38" w:type="dxa"/>
            <w:tcBorders/>
            <w:vAlign w:val="center"/>
          </w:tcPr>
          <w:p>
            <w:pPr>
              <w:pStyle w:val="TableContents"/>
              <w:bidi w:val="0"/>
              <w:spacing w:before="0" w:after="283"/>
              <w:jc w:val="left"/>
              <w:rPr>
                <w:sz w:val="4"/>
                <w:szCs w:val="4"/>
              </w:rPr>
            </w:pPr>
            <w:r>
              <w:rPr>
                <w:sz w:val="4"/>
                <w:szCs w:val="4"/>
              </w:rPr>
            </w:r>
          </w:p>
        </w:tc>
        <w:tc>
          <w:tcPr>
            <w:tcW w:w="129" w:type="dxa"/>
            <w:tcBorders/>
          </w:tcPr>
          <w:p>
            <w:pPr>
              <w:pStyle w:val="TableContents"/>
              <w:bidi w:val="0"/>
              <w:spacing w:before="0" w:after="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75" w:type="dxa"/>
            <w:tcBorders/>
          </w:tcPr>
          <w:p>
            <w:pPr>
              <w:pStyle w:val="TableContents"/>
              <w:bidi w:val="0"/>
              <w:spacing w:before="0" w:after="0"/>
              <w:ind w:left="0" w:right="0" w:hanging="0"/>
              <w:jc w:val="both"/>
              <w:rPr>
                <w:rFonts w:ascii="Times New Roman" w:hAnsi="Times New Roman"/>
                <w:color w:val="000000"/>
                <w:sz w:val="22"/>
              </w:rPr>
            </w:pPr>
            <w:r>
              <w:rPr>
                <w:rFonts w:ascii="Times New Roman" w:hAnsi="Times New Roman"/>
                <w:color w:val="000000"/>
                <w:sz w:val="22"/>
              </w:rPr>
              <w:t>In New Zealand, we signed a purchase and sale agreement on March 4, 2026, to monetize our Napier property. The transaction has proceeded to the due diligence period. The transaction contemplates a lease back to us of the cinema at that location.</w:t>
            </w:r>
          </w:p>
        </w:tc>
      </w:tr>
    </w:tbl>
    <w:tbl>
      <w:tblPr>
        <w:tblW w:w="8765" w:type="dxa"/>
        <w:jc w:val="left"/>
        <w:tblInd w:w="720" w:type="dxa"/>
        <w:tblLayout w:type="fixed"/>
        <w:tblCellMar>
          <w:top w:w="0" w:type="dxa"/>
          <w:left w:w="0" w:type="dxa"/>
          <w:bottom w:w="0" w:type="dxa"/>
          <w:right w:w="0" w:type="dxa"/>
        </w:tblCellMar>
      </w:tblPr>
      <w:tblGrid>
        <w:gridCol w:w="38"/>
        <w:gridCol w:w="135"/>
        <w:gridCol w:w="23"/>
        <w:gridCol w:w="8569"/>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tcPr>
          <w:p>
            <w:pPr>
              <w:pStyle w:val="TableContents"/>
              <w:bidi w:val="0"/>
              <w:spacing w:before="0" w:after="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69" w:type="dxa"/>
            <w:tcBorders/>
          </w:tcPr>
          <w:p>
            <w:pPr>
              <w:pStyle w:val="TableContents"/>
              <w:bidi w:val="0"/>
              <w:spacing w:before="0" w:after="0"/>
              <w:ind w:left="0" w:right="0" w:hanging="0"/>
              <w:jc w:val="both"/>
              <w:rPr>
                <w:rFonts w:ascii="Times New Roman" w:hAnsi="Times New Roman"/>
                <w:color w:val="000000"/>
                <w:sz w:val="22"/>
              </w:rPr>
            </w:pPr>
            <w:r>
              <w:rPr>
                <w:rFonts w:ascii="Times New Roman" w:hAnsi="Times New Roman"/>
                <w:color w:val="000000"/>
                <w:sz w:val="22"/>
              </w:rPr>
              <w:t>As of March 31, 2026, our combined Australian and New Zealand property portfolio has 58 third-party tenants, with a portfolio occupancy rate of 98% and total leased gross lettable area of 156,171 SF.</w:t>
            </w:r>
          </w:p>
        </w:tc>
      </w:tr>
    </w:tbl>
    <w:p>
      <w:pPr>
        <w:pStyle w:val="TextBody"/>
        <w:bidi w:val="0"/>
        <w:spacing w:before="0" w:after="0"/>
        <w:ind w:left="1440" w:right="720" w:hanging="0"/>
        <w:jc w:val="both"/>
        <w:rPr>
          <w:rFonts w:cs="Times New Roman"/>
          <w:szCs w:val="22"/>
        </w:rPr>
      </w:pPr>
      <w:r>
        <w:rPr>
          <w:rFonts w:cs="Times New Roman"/>
          <w:bCs/>
          <w:color w:val="000000"/>
          <w:szCs w:val="22"/>
          <w:u w:val="single"/>
        </w:rPr>
        <w:t>﻿</w:t>
      </w:r>
      <w:r>
        <w:rPr>
          <w:rFonts w:cs="Times New Roman"/>
          <w:szCs w:val="22"/>
        </w:rPr>
        <w:t xml:space="preserve"> </w:t>
      </w:r>
    </w:p>
    <w:p>
      <w:pPr>
        <w:pStyle w:val="TextBody"/>
        <w:bidi w:val="0"/>
        <w:spacing w:before="0" w:after="0"/>
        <w:ind w:left="720" w:right="720" w:hanging="0"/>
        <w:jc w:val="both"/>
        <w:rPr>
          <w:rFonts w:ascii="Times New Roman" w:hAnsi="Times New Roman"/>
          <w:b/>
          <w:color w:val="000000"/>
          <w:sz w:val="22"/>
          <w:u w:val="single"/>
        </w:rPr>
      </w:pPr>
      <w:r>
        <w:rPr>
          <w:rFonts w:ascii="Times New Roman" w:hAnsi="Times New Roman"/>
          <w:b/>
          <w:color w:val="000000"/>
          <w:sz w:val="22"/>
          <w:u w:val="single"/>
        </w:rPr>
        <w:t xml:space="preserve">Balance Sheet and Liquidity </w:t>
      </w:r>
    </w:p>
    <w:p>
      <w:pPr>
        <w:pStyle w:val="TextBody"/>
        <w:bidi w:val="0"/>
        <w:spacing w:before="0" w:after="0"/>
        <w:ind w:left="720" w:right="7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color w:val="000000"/>
          <w:sz w:val="22"/>
        </w:rPr>
        <w:t>As of March 31, 2026:</w:t>
      </w:r>
      <w:r>
        <w:rPr>
          <w:rFonts w:ascii="Times New Roman" w:hAnsi="Times New Roman"/>
          <w:sz w:val="22"/>
        </w:rPr>
        <w:t xml:space="preserve"> </w:t>
      </w:r>
    </w:p>
    <w:tbl>
      <w:tblPr>
        <w:tblW w:w="4886" w:type="dxa"/>
        <w:jc w:val="left"/>
        <w:tblInd w:w="720" w:type="dxa"/>
        <w:tblLayout w:type="fixed"/>
        <w:tblCellMar>
          <w:top w:w="0" w:type="dxa"/>
          <w:left w:w="0" w:type="dxa"/>
          <w:bottom w:w="0" w:type="dxa"/>
          <w:right w:w="0" w:type="dxa"/>
        </w:tblCellMar>
      </w:tblPr>
      <w:tblGrid>
        <w:gridCol w:w="38"/>
        <w:gridCol w:w="170"/>
        <w:gridCol w:w="23"/>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before="0" w:after="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655" w:type="dxa"/>
            <w:tcBorders/>
          </w:tcPr>
          <w:p>
            <w:pPr>
              <w:pStyle w:val="TableContents"/>
              <w:bidi w:val="0"/>
              <w:spacing w:before="0" w:after="0"/>
              <w:ind w:left="0" w:right="0" w:hanging="0"/>
              <w:jc w:val="both"/>
              <w:rPr>
                <w:rFonts w:ascii="Times New Roman" w:hAnsi="Times New Roman"/>
                <w:color w:val="000000"/>
                <w:sz w:val="22"/>
              </w:rPr>
            </w:pPr>
            <w:r>
              <w:rPr>
                <w:rFonts w:ascii="Times New Roman" w:hAnsi="Times New Roman"/>
                <w:color w:val="000000"/>
                <w:sz w:val="22"/>
              </w:rPr>
              <w:t>Our cash and cash equivalents were $5.5 million.</w:t>
            </w:r>
          </w:p>
        </w:tc>
      </w:tr>
    </w:tbl>
    <w:tbl>
      <w:tblPr>
        <w:tblW w:w="8765" w:type="dxa"/>
        <w:jc w:val="left"/>
        <w:tblInd w:w="720" w:type="dxa"/>
        <w:tblLayout w:type="fixed"/>
        <w:tblCellMar>
          <w:top w:w="0" w:type="dxa"/>
          <w:left w:w="0" w:type="dxa"/>
          <w:bottom w:w="0" w:type="dxa"/>
          <w:right w:w="0" w:type="dxa"/>
        </w:tblCellMar>
      </w:tblPr>
      <w:tblGrid>
        <w:gridCol w:w="38"/>
        <w:gridCol w:w="151"/>
        <w:gridCol w:w="23"/>
        <w:gridCol w:w="8553"/>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tcPr>
          <w:p>
            <w:pPr>
              <w:pStyle w:val="TableContents"/>
              <w:bidi w:val="0"/>
              <w:spacing w:before="0" w:after="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53" w:type="dxa"/>
            <w:tcBorders/>
          </w:tcPr>
          <w:p>
            <w:pPr>
              <w:pStyle w:val="TableContents"/>
              <w:bidi w:val="0"/>
              <w:spacing w:before="0" w:after="0"/>
              <w:ind w:left="0" w:right="0" w:hanging="0"/>
              <w:jc w:val="both"/>
              <w:rPr>
                <w:rFonts w:ascii="Times New Roman" w:hAnsi="Times New Roman"/>
                <w:color w:val="000000"/>
                <w:sz w:val="22"/>
              </w:rPr>
            </w:pPr>
            <w:r>
              <w:rPr>
                <w:rFonts w:ascii="Times New Roman" w:hAnsi="Times New Roman"/>
                <w:color w:val="000000"/>
                <w:sz w:val="22"/>
              </w:rPr>
              <w:t>Our assets had a total book value of $431.5 million, compared to a book value of $434.9 million as of December 31, 2025.  </w:t>
            </w:r>
          </w:p>
        </w:tc>
      </w:tr>
    </w:tbl>
    <w:tbl>
      <w:tblPr>
        <w:tblW w:w="8765" w:type="dxa"/>
        <w:jc w:val="left"/>
        <w:tblInd w:w="720" w:type="dxa"/>
        <w:tblLayout w:type="fixed"/>
        <w:tblCellMar>
          <w:top w:w="0" w:type="dxa"/>
          <w:left w:w="0" w:type="dxa"/>
          <w:bottom w:w="0" w:type="dxa"/>
          <w:right w:w="0" w:type="dxa"/>
        </w:tblCellMar>
      </w:tblPr>
      <w:tblGrid>
        <w:gridCol w:w="38"/>
        <w:gridCol w:w="168"/>
        <w:gridCol w:w="23"/>
        <w:gridCol w:w="8536"/>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36" w:type="dxa"/>
            <w:tcBorders/>
          </w:tcPr>
          <w:p>
            <w:pPr>
              <w:pStyle w:val="TableContents"/>
              <w:bidi w:val="0"/>
              <w:spacing w:before="0" w:after="0"/>
              <w:ind w:left="0" w:right="0" w:hanging="0"/>
              <w:jc w:val="both"/>
              <w:rPr>
                <w:rFonts w:ascii="Times New Roman" w:hAnsi="Times New Roman"/>
                <w:color w:val="000000"/>
                <w:sz w:val="22"/>
              </w:rPr>
            </w:pPr>
            <w:r>
              <w:rPr>
                <w:rFonts w:ascii="Times New Roman" w:hAnsi="Times New Roman"/>
                <w:color w:val="000000"/>
                <w:sz w:val="22"/>
              </w:rPr>
              <w:t>Our total gross debt of $184.6 million decreased by $0.5 million from December 31, 2025.  </w:t>
            </w:r>
          </w:p>
        </w:tc>
      </w:tr>
    </w:tbl>
    <w:tbl>
      <w:tblPr>
        <w:tblW w:w="3566" w:type="dxa"/>
        <w:jc w:val="left"/>
        <w:tblInd w:w="720" w:type="dxa"/>
        <w:tblLayout w:type="fixed"/>
        <w:tblCellMar>
          <w:top w:w="0" w:type="dxa"/>
          <w:left w:w="0" w:type="dxa"/>
          <w:bottom w:w="0" w:type="dxa"/>
          <w:right w:w="0" w:type="dxa"/>
        </w:tblCellMar>
      </w:tblPr>
      <w:tblGrid>
        <w:gridCol w:w="38"/>
        <w:gridCol w:w="170"/>
        <w:gridCol w:w="23"/>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before="0" w:after="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335" w:type="dxa"/>
            <w:tcBorders/>
          </w:tcPr>
          <w:p>
            <w:pPr>
              <w:pStyle w:val="TableContents"/>
              <w:bidi w:val="0"/>
              <w:spacing w:before="0" w:after="0"/>
              <w:ind w:left="0" w:right="0" w:hanging="0"/>
              <w:jc w:val="both"/>
              <w:rPr>
                <w:rFonts w:ascii="Times New Roman" w:hAnsi="Times New Roman"/>
                <w:color w:val="000000"/>
                <w:sz w:val="22"/>
              </w:rPr>
            </w:pPr>
            <w:r>
              <w:rPr>
                <w:rFonts w:ascii="Times New Roman" w:hAnsi="Times New Roman"/>
                <w:color w:val="000000"/>
                <w:sz w:val="22"/>
              </w:rPr>
              <w:t xml:space="preserve">With respect to our debt position:   </w:t>
            </w:r>
          </w:p>
        </w:tc>
      </w:tr>
    </w:tbl>
    <w:tbl>
      <w:tblPr>
        <w:tblW w:w="8765" w:type="dxa"/>
        <w:jc w:val="left"/>
        <w:tblInd w:w="720" w:type="dxa"/>
        <w:tblLayout w:type="fixed"/>
        <w:tblCellMar>
          <w:top w:w="0" w:type="dxa"/>
          <w:left w:w="0" w:type="dxa"/>
          <w:bottom w:w="0" w:type="dxa"/>
          <w:right w:w="0" w:type="dxa"/>
        </w:tblCellMar>
      </w:tblPr>
      <w:tblGrid>
        <w:gridCol w:w="38"/>
        <w:gridCol w:w="193"/>
        <w:gridCol w:w="23"/>
        <w:gridCol w:w="8511"/>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tcPr>
          <w:p>
            <w:pPr>
              <w:pStyle w:val="TableContents"/>
              <w:bidi w:val="0"/>
              <w:spacing w:before="0" w:after="0"/>
              <w:ind w:left="0" w:right="0" w:hanging="0"/>
              <w:jc w:val="left"/>
              <w:rPr>
                <w:rFonts w:ascii="Times New Roman" w:hAnsi="Times New Roman"/>
                <w:sz w:val="22"/>
              </w:rPr>
            </w:pPr>
            <w:r>
              <w:rPr>
                <w:rFonts w:ascii="Courier New" w:hAnsi="Courier New"/>
                <w:sz w:val="22"/>
              </w:rPr>
              <w:t>o</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11" w:type="dxa"/>
            <w:tcBorders/>
          </w:tcPr>
          <w:p>
            <w:pPr>
              <w:pStyle w:val="TableContents"/>
              <w:bidi w:val="0"/>
              <w:spacing w:before="0" w:after="0"/>
              <w:ind w:left="0" w:right="0" w:hanging="0"/>
              <w:jc w:val="left"/>
              <w:rPr>
                <w:rFonts w:ascii="Times New Roman" w:hAnsi="Times New Roman"/>
                <w:color w:val="000000"/>
                <w:sz w:val="22"/>
              </w:rPr>
            </w:pPr>
            <w:r>
              <w:rPr>
                <w:rFonts w:ascii="Times New Roman" w:hAnsi="Times New Roman"/>
                <w:color w:val="000000"/>
                <w:sz w:val="22"/>
              </w:rPr>
              <w:t>Continuing our efforts to reduce our overall interest expense, our Q1 2026 interest expense decreased by 11% compared to Q1 2025.</w:t>
            </w:r>
          </w:p>
        </w:tc>
      </w:tr>
    </w:tbl>
    <w:tbl>
      <w:tblPr>
        <w:tblW w:w="8765" w:type="dxa"/>
        <w:jc w:val="left"/>
        <w:tblInd w:w="720" w:type="dxa"/>
        <w:tblLayout w:type="fixed"/>
        <w:tblCellMar>
          <w:top w:w="0" w:type="dxa"/>
          <w:left w:w="0" w:type="dxa"/>
          <w:bottom w:w="0" w:type="dxa"/>
          <w:right w:w="0" w:type="dxa"/>
        </w:tblCellMar>
      </w:tblPr>
      <w:tblGrid>
        <w:gridCol w:w="38"/>
        <w:gridCol w:w="188"/>
        <w:gridCol w:w="23"/>
        <w:gridCol w:w="8516"/>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tcPr>
          <w:p>
            <w:pPr>
              <w:pStyle w:val="TableContents"/>
              <w:bidi w:val="0"/>
              <w:spacing w:before="0" w:after="0"/>
              <w:ind w:left="0" w:right="0" w:hanging="0"/>
              <w:jc w:val="left"/>
              <w:rPr>
                <w:rFonts w:ascii="Times New Roman" w:hAnsi="Times New Roman"/>
                <w:sz w:val="22"/>
              </w:rPr>
            </w:pPr>
            <w:r>
              <w:rPr>
                <w:rFonts w:ascii="Courier New" w:hAnsi="Courier New"/>
                <w:sz w:val="22"/>
              </w:rPr>
              <w:t>o</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16" w:type="dxa"/>
            <w:tcBorders/>
          </w:tcPr>
          <w:p>
            <w:pPr>
              <w:pStyle w:val="TableContents"/>
              <w:bidi w:val="0"/>
              <w:spacing w:before="0" w:after="0"/>
              <w:ind w:left="0" w:right="0" w:hanging="0"/>
              <w:jc w:val="left"/>
              <w:rPr>
                <w:rFonts w:ascii="Times New Roman" w:hAnsi="Times New Roman"/>
                <w:color w:val="000000"/>
                <w:sz w:val="22"/>
              </w:rPr>
            </w:pPr>
            <w:r>
              <w:rPr>
                <w:rFonts w:ascii="Times New Roman" w:hAnsi="Times New Roman"/>
                <w:color w:val="000000"/>
                <w:sz w:val="22"/>
              </w:rPr>
              <w:t>On February 6, 2026, we executed an amendment to defer a principal payment related to our 44 Union Square loan, which we paid on March 13, 2026.</w:t>
            </w:r>
          </w:p>
        </w:tc>
      </w:tr>
    </w:tbl>
    <w:tbl>
      <w:tblPr>
        <w:tblW w:w="8765" w:type="dxa"/>
        <w:jc w:val="left"/>
        <w:tblInd w:w="720" w:type="dxa"/>
        <w:tblLayout w:type="fixed"/>
        <w:tblCellMar>
          <w:top w:w="0" w:type="dxa"/>
          <w:left w:w="0" w:type="dxa"/>
          <w:bottom w:w="0" w:type="dxa"/>
          <w:right w:w="0" w:type="dxa"/>
        </w:tblCellMar>
      </w:tblPr>
      <w:tblGrid>
        <w:gridCol w:w="38"/>
        <w:gridCol w:w="190"/>
        <w:gridCol w:w="23"/>
        <w:gridCol w:w="8514"/>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tcPr>
          <w:p>
            <w:pPr>
              <w:pStyle w:val="TableContents"/>
              <w:bidi w:val="0"/>
              <w:spacing w:before="0" w:after="0"/>
              <w:ind w:left="0" w:right="0" w:hanging="0"/>
              <w:jc w:val="left"/>
              <w:rPr>
                <w:rFonts w:ascii="Times New Roman" w:hAnsi="Times New Roman"/>
                <w:sz w:val="22"/>
              </w:rPr>
            </w:pPr>
            <w:r>
              <w:rPr>
                <w:rFonts w:ascii="Courier New" w:hAnsi="Courier New"/>
                <w:sz w:val="22"/>
              </w:rPr>
              <w:t>o</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14" w:type="dxa"/>
            <w:tcBorders/>
          </w:tcPr>
          <w:p>
            <w:pPr>
              <w:pStyle w:val="TableContents"/>
              <w:bidi w:val="0"/>
              <w:spacing w:before="0" w:after="0"/>
              <w:ind w:left="0" w:right="0" w:hanging="0"/>
              <w:jc w:val="left"/>
              <w:rPr>
                <w:rFonts w:ascii="Times New Roman" w:hAnsi="Times New Roman"/>
                <w:color w:val="000000"/>
                <w:sz w:val="22"/>
              </w:rPr>
            </w:pPr>
            <w:r>
              <w:rPr>
                <w:rFonts w:ascii="Times New Roman" w:hAnsi="Times New Roman"/>
                <w:color w:val="000000"/>
                <w:sz w:val="22"/>
              </w:rPr>
              <w:t>On February 27, 2026, we executed an amendment to modify the principal repayment schedule of our Bank of America/Bank of Hawaii facility.</w:t>
            </w:r>
          </w:p>
        </w:tc>
      </w:tr>
    </w:tbl>
    <w:tbl>
      <w:tblPr>
        <w:tblW w:w="8765" w:type="dxa"/>
        <w:jc w:val="left"/>
        <w:tblInd w:w="720" w:type="dxa"/>
        <w:tblLayout w:type="fixed"/>
        <w:tblCellMar>
          <w:top w:w="0" w:type="dxa"/>
          <w:left w:w="0" w:type="dxa"/>
          <w:bottom w:w="0" w:type="dxa"/>
          <w:right w:w="0" w:type="dxa"/>
        </w:tblCellMar>
      </w:tblPr>
      <w:tblGrid>
        <w:gridCol w:w="38"/>
        <w:gridCol w:w="190"/>
        <w:gridCol w:w="23"/>
        <w:gridCol w:w="8514"/>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tcPr>
          <w:p>
            <w:pPr>
              <w:pStyle w:val="TableContents"/>
              <w:bidi w:val="0"/>
              <w:spacing w:before="0" w:after="0"/>
              <w:ind w:left="0" w:right="0" w:hanging="0"/>
              <w:jc w:val="left"/>
              <w:rPr>
                <w:rFonts w:ascii="Times New Roman" w:hAnsi="Times New Roman"/>
                <w:sz w:val="22"/>
              </w:rPr>
            </w:pPr>
            <w:r>
              <w:rPr>
                <w:rFonts w:ascii="Courier New" w:hAnsi="Courier New"/>
                <w:sz w:val="22"/>
              </w:rPr>
              <w:t>o</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14" w:type="dxa"/>
            <w:tcBorders/>
          </w:tcPr>
          <w:p>
            <w:pPr>
              <w:pStyle w:val="TableContents"/>
              <w:bidi w:val="0"/>
              <w:spacing w:before="0" w:after="0"/>
              <w:ind w:left="0" w:right="0" w:hanging="0"/>
              <w:jc w:val="left"/>
              <w:rPr>
                <w:rFonts w:ascii="Times New Roman" w:hAnsi="Times New Roman"/>
                <w:color w:val="000000"/>
                <w:sz w:val="22"/>
              </w:rPr>
            </w:pPr>
            <w:r>
              <w:rPr>
                <w:rFonts w:ascii="Times New Roman" w:hAnsi="Times New Roman"/>
                <w:color w:val="000000"/>
                <w:sz w:val="22"/>
              </w:rPr>
              <w:t>On March 31, 2026, we executed an amendment to reduce our NAB loan’s minimum liquidity requirement for a limited defined period in 2026.</w:t>
            </w:r>
          </w:p>
        </w:tc>
      </w:tr>
    </w:tbl>
    <w:tbl>
      <w:tblPr>
        <w:tblW w:w="8765" w:type="dxa"/>
        <w:jc w:val="left"/>
        <w:tblInd w:w="720" w:type="dxa"/>
        <w:tblLayout w:type="fixed"/>
        <w:tblCellMar>
          <w:top w:w="0" w:type="dxa"/>
          <w:left w:w="0" w:type="dxa"/>
          <w:bottom w:w="0" w:type="dxa"/>
          <w:right w:w="0" w:type="dxa"/>
        </w:tblCellMar>
      </w:tblPr>
      <w:tblGrid>
        <w:gridCol w:w="38"/>
        <w:gridCol w:w="211"/>
        <w:gridCol w:w="23"/>
        <w:gridCol w:w="8493"/>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tcPr>
          <w:p>
            <w:pPr>
              <w:pStyle w:val="TableContents"/>
              <w:bidi w:val="0"/>
              <w:spacing w:before="0" w:after="0"/>
              <w:ind w:left="0" w:right="0" w:hanging="0"/>
              <w:jc w:val="left"/>
              <w:rPr>
                <w:rFonts w:ascii="Times New Roman" w:hAnsi="Times New Roman"/>
                <w:sz w:val="22"/>
              </w:rPr>
            </w:pPr>
            <w:r>
              <w:rPr>
                <w:rFonts w:ascii="Courier New" w:hAnsi="Courier New"/>
                <w:sz w:val="22"/>
              </w:rPr>
              <w:t>o</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493" w:type="dxa"/>
            <w:tcBorders/>
          </w:tcPr>
          <w:p>
            <w:pPr>
              <w:pStyle w:val="TableContents"/>
              <w:bidi w:val="0"/>
              <w:spacing w:before="0" w:after="0"/>
              <w:ind w:left="0" w:right="0" w:hanging="0"/>
              <w:jc w:val="left"/>
              <w:rPr>
                <w:rFonts w:ascii="Times New Roman" w:hAnsi="Times New Roman"/>
                <w:color w:val="000000"/>
                <w:sz w:val="22"/>
              </w:rPr>
            </w:pPr>
            <w:r>
              <w:rPr>
                <w:rFonts w:ascii="Times New Roman" w:hAnsi="Times New Roman"/>
                <w:color w:val="000000"/>
                <w:sz w:val="22"/>
              </w:rPr>
              <w:t>We are currently working to refinance the loan on our live theatre buildings in New York City.</w:t>
            </w:r>
          </w:p>
        </w:tc>
      </w:tr>
    </w:tbl>
    <w:p>
      <w:pPr>
        <w:pStyle w:val="TextBody"/>
        <w:bidi w:val="0"/>
        <w:spacing w:before="0" w:after="0"/>
        <w:ind w:left="2160" w:right="720" w:hanging="0"/>
        <w:jc w:val="left"/>
        <w:rPr>
          <w:rFonts w:cs="Times New Roman"/>
          <w:szCs w:val="22"/>
        </w:rPr>
      </w:pPr>
      <w:r>
        <w:rPr>
          <w:rFonts w:cs="Times New Roman"/>
          <w:color w:val="000000"/>
          <w:szCs w:val="22"/>
        </w:rPr>
        <w:t>﻿</w:t>
      </w:r>
      <w:r>
        <w:rPr>
          <w:rFonts w:cs="Times New Roman"/>
          <w:szCs w:val="22"/>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before="0" w:after="0"/>
        <w:ind w:left="720" w:right="720" w:hanging="0"/>
        <w:jc w:val="both"/>
        <w:rPr>
          <w:rFonts w:cs="Times New Roman"/>
          <w:szCs w:val="20"/>
        </w:rPr>
      </w:pPr>
      <w:r>
        <w:rPr>
          <w:rFonts w:cs="Times New Roman"/>
          <w:szCs w:val="20"/>
        </w:rPr>
        <w:t xml:space="preserve">﻿ </w:t>
      </w:r>
    </w:p>
    <w:p>
      <w:pPr>
        <w:pStyle w:val="TextBody"/>
        <w:bidi w:val="0"/>
        <w:spacing w:before="0" w:after="0"/>
        <w:ind w:left="720" w:right="720" w:hanging="0"/>
        <w:jc w:val="left"/>
        <w:rPr>
          <w:rFonts w:ascii="Times New Roman" w:hAnsi="Times New Roman"/>
          <w:sz w:val="22"/>
        </w:rPr>
      </w:pPr>
      <w:r>
        <w:rPr>
          <w:rFonts w:ascii="Times New Roman" w:hAnsi="Times New Roman"/>
          <w:b/>
          <w:sz w:val="22"/>
          <w:u w:val="single"/>
        </w:rPr>
        <w:t>Conference Call and Webcast</w:t>
      </w:r>
      <w:r>
        <w:rPr>
          <w:rFonts w:ascii="Times New Roman" w:hAnsi="Times New Roman"/>
          <w:sz w:val="22"/>
        </w:rPr>
        <w:t xml:space="preserve"> </w:t>
      </w:r>
    </w:p>
    <w:p>
      <w:pPr>
        <w:pStyle w:val="TextBody"/>
        <w:bidi w:val="0"/>
        <w:spacing w:before="0" w:after="0"/>
        <w:ind w:left="720" w:right="720" w:hanging="0"/>
        <w:jc w:val="both"/>
        <w:rPr>
          <w:rFonts w:cs="Times New Roman"/>
          <w:szCs w:val="20"/>
        </w:rPr>
      </w:pPr>
      <w:r>
        <w:rPr>
          <w:rFonts w:cs="Times New Roman"/>
          <w:szCs w:val="20"/>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sz w:val="22"/>
        </w:rPr>
        <w:t xml:space="preserve">We plan to post our pre-recorded conference call and audio webcast on our corporate website on Tuesday, May 19, 2026, which will feature prepared remarks from Ellen Cotter, President and Chief Executive Officer; and Gilbert Avanes, Executive Vice President, Chief Financial Officer and Treasurer. </w:t>
      </w:r>
    </w:p>
    <w:p>
      <w:pPr>
        <w:pStyle w:val="TextBody"/>
        <w:bidi w:val="0"/>
        <w:spacing w:before="0" w:after="0"/>
        <w:ind w:left="720" w:right="720" w:hanging="0"/>
        <w:jc w:val="both"/>
        <w:rPr>
          <w:rFonts w:cs="Times New Roman"/>
          <w:szCs w:val="22"/>
        </w:rPr>
      </w:pPr>
      <w:r>
        <w:rPr>
          <w:rFonts w:cs="Times New Roman"/>
          <w:szCs w:val="22"/>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sz w:val="22"/>
        </w:rPr>
        <w:t xml:space="preserve">A pre-recorded question and answer session will follow our formal remarks. Questions and topics for consideration should be submitted to </w:t>
      </w:r>
      <w:r>
        <w:rPr>
          <w:rFonts w:ascii="Times New Roman" w:hAnsi="Times New Roman"/>
          <w:sz w:val="22"/>
          <w:u w:val="single"/>
        </w:rPr>
        <w:t>InvestorRelations@readingrdi.com</w:t>
      </w:r>
      <w:r>
        <w:rPr>
          <w:rFonts w:ascii="Times New Roman" w:hAnsi="Times New Roman"/>
          <w:sz w:val="22"/>
        </w:rPr>
        <w:t> by Monday, May 18, 2026, by 5:00 p.m. Eastern Time. The audio webcast will be able to be accessed by visiting https://investor.readingrdi.com/financial-information/quarterly-results</w:t>
      </w:r>
      <w:r>
        <w:rPr>
          <w:rFonts w:ascii="Times New Roman" w:hAnsi="Times New Roman"/>
          <w:color w:val="0000FF"/>
          <w:sz w:val="22"/>
        </w:rPr>
        <w:t>.</w:t>
      </w:r>
      <w:r>
        <w:rPr>
          <w:rFonts w:ascii="Times New Roman" w:hAnsi="Times New Roman"/>
          <w:sz w:val="22"/>
        </w:rPr>
        <w:t xml:space="preserve"> </w:t>
      </w:r>
    </w:p>
    <w:p>
      <w:pPr>
        <w:pStyle w:val="TextBody"/>
        <w:bidi w:val="0"/>
        <w:spacing w:before="0" w:after="0"/>
        <w:ind w:left="720" w:right="720" w:hanging="0"/>
        <w:jc w:val="both"/>
        <w:rPr>
          <w:rFonts w:cs="Times New Roman"/>
          <w:szCs w:val="22"/>
        </w:rPr>
      </w:pPr>
      <w:r>
        <w:rPr>
          <w:rFonts w:cs="Times New Roman"/>
          <w:bCs/>
          <w:color w:val="FF0000"/>
          <w:szCs w:val="22"/>
          <w:u w:val="single"/>
        </w:rPr>
        <w:t>﻿</w:t>
      </w:r>
      <w:r>
        <w:rPr>
          <w:rFonts w:cs="Times New Roman"/>
          <w:szCs w:val="22"/>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b/>
          <w:sz w:val="22"/>
          <w:u w:val="single"/>
        </w:rPr>
        <w:t>About Reading International, Inc.</w:t>
      </w:r>
      <w:r>
        <w:rPr>
          <w:rFonts w:ascii="Times New Roman" w:hAnsi="Times New Roman"/>
          <w:sz w:val="22"/>
        </w:rPr>
        <w:t xml:space="preserve"> </w:t>
      </w:r>
    </w:p>
    <w:p>
      <w:pPr>
        <w:pStyle w:val="TextBody"/>
        <w:bidi w:val="0"/>
        <w:spacing w:before="0" w:after="0"/>
        <w:ind w:left="720" w:right="720" w:hanging="0"/>
        <w:jc w:val="both"/>
        <w:rPr>
          <w:rFonts w:cs="Times New Roman"/>
          <w:szCs w:val="22"/>
        </w:rPr>
      </w:pPr>
      <w:r>
        <w:rPr>
          <w:rFonts w:cs="Times New Roman"/>
          <w:szCs w:val="22"/>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sz w:val="22"/>
        </w:rPr>
        <w:t xml:space="preserve">Reading International, Inc. (NASDAQ: RDI), an internationally diversified cinema and real estate company operating through various domestic and international subsidiaries, is a leading entertainment and real estate company, engaging in the development, ownership, and operation of cinemas and retail and commercial real estate in the United States, Australia, and New Zealand. </w:t>
      </w:r>
    </w:p>
    <w:p>
      <w:pPr>
        <w:pStyle w:val="TextBody"/>
        <w:bidi w:val="0"/>
        <w:spacing w:before="0" w:after="0"/>
        <w:ind w:left="720" w:right="720" w:hanging="0"/>
        <w:jc w:val="both"/>
        <w:rPr>
          <w:rFonts w:cs="Times New Roman"/>
          <w:szCs w:val="22"/>
        </w:rPr>
      </w:pPr>
      <w:r>
        <w:rPr>
          <w:rFonts w:cs="Times New Roman"/>
          <w:szCs w:val="22"/>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sz w:val="22"/>
        </w:rPr>
        <w:t xml:space="preserve">Reading’s cinema subsidiaries operate under multiple cinema brands: Reading Cinemas, Consolidated Theatres and the Angelika brand. Its live theatres are owned and operated by its Liberty Theaters subsidiary, under the Orpheum and Minetta Lane names. Its signature property developments, including Newmarket Village in Brisbane, Australia, and 44 Union Square in New York City, are maintained in special purpose entities. </w:t>
      </w:r>
    </w:p>
    <w:p>
      <w:pPr>
        <w:pStyle w:val="TextBody"/>
        <w:bidi w:val="0"/>
        <w:spacing w:before="0" w:after="0"/>
        <w:ind w:left="720" w:right="720" w:hanging="0"/>
        <w:jc w:val="both"/>
        <w:rPr>
          <w:rFonts w:cs="Times New Roman"/>
          <w:szCs w:val="22"/>
        </w:rPr>
      </w:pPr>
      <w:r>
        <w:rPr>
          <w:rFonts w:cs="Times New Roman"/>
          <w:szCs w:val="22"/>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sz w:val="22"/>
        </w:rPr>
        <w:t xml:space="preserve">Additional information about Reading can be obtained from our Company's website: </w:t>
      </w:r>
      <w:bookmarkStart w:id="10" w:name="_Hlk204710907"/>
      <w:bookmarkEnd w:id="10"/>
      <w:r>
        <w:rPr>
          <w:rFonts w:ascii="Times New Roman" w:hAnsi="Times New Roman"/>
          <w:sz w:val="22"/>
        </w:rPr>
        <w:t>http://www.readingrdi.com</w:t>
      </w:r>
      <w:r>
        <w:rPr>
          <w:rFonts w:ascii="Times New Roman" w:hAnsi="Times New Roman"/>
          <w:color w:val="0000FF"/>
          <w:sz w:val="22"/>
        </w:rPr>
        <w:t>.</w:t>
      </w:r>
      <w:r>
        <w:rPr>
          <w:rFonts w:ascii="Times New Roman" w:hAnsi="Times New Roman"/>
          <w:sz w:val="22"/>
        </w:rPr>
        <w:t xml:space="preserve">  </w:t>
      </w:r>
    </w:p>
    <w:p>
      <w:pPr>
        <w:pStyle w:val="TextBody"/>
        <w:bidi w:val="0"/>
        <w:spacing w:before="0" w:after="0"/>
        <w:ind w:left="720" w:right="720" w:hanging="0"/>
        <w:jc w:val="center"/>
        <w:rPr>
          <w:rFonts w:ascii="Times New Roman" w:hAnsi="Times New Roman"/>
          <w:sz w:val="20"/>
        </w:rPr>
      </w:pPr>
      <w:r>
        <w:rPr>
          <w:rFonts w:ascii="Times New Roman" w:hAnsi="Times New Roman"/>
          <w:sz w:val="20"/>
        </w:rPr>
        <w:t xml:space="preserve">2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before="0" w:after="0"/>
        <w:ind w:left="720" w:right="720" w:hanging="0"/>
        <w:jc w:val="left"/>
        <w:rPr>
          <w:rFonts w:ascii="Times New Roman" w:hAnsi="Times New Roman"/>
          <w:sz w:val="22"/>
        </w:rPr>
      </w:pPr>
      <w:r>
        <w:rPr>
          <w:rFonts w:ascii="Times New Roman" w:hAnsi="Times New Roman"/>
          <w:b/>
          <w:sz w:val="22"/>
          <w:u w:val="single"/>
        </w:rPr>
        <w:t>Cautionary Note Regarding Forward-Looking Statements</w:t>
      </w:r>
      <w:r>
        <w:rPr>
          <w:rFonts w:ascii="Times New Roman" w:hAnsi="Times New Roman"/>
          <w:sz w:val="22"/>
        </w:rPr>
        <w:t xml:space="preserve"> </w:t>
      </w:r>
    </w:p>
    <w:p>
      <w:pPr>
        <w:pStyle w:val="TextBody"/>
        <w:bidi w:val="0"/>
        <w:spacing w:before="0" w:after="0"/>
        <w:ind w:left="720" w:right="720" w:hanging="0"/>
        <w:jc w:val="left"/>
        <w:rPr>
          <w:rFonts w:cs="Times New Roman"/>
          <w:szCs w:val="22"/>
        </w:rPr>
      </w:pPr>
      <w:r>
        <w:rPr>
          <w:rFonts w:cs="Times New Roman"/>
          <w:szCs w:val="22"/>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sz w:val="22"/>
        </w:rPr>
        <w:t xml:space="preserve">This earnings release contains a variety of forward-looking statements as defined by the Securities Litigation Reform Act of 1995, including those related to our expected operating results; our belief regarding the quality, the quantity and the appeal of upcoming movie releases in the remainder of 2026 and our revenue expectations relating to such movie releases; our positioning for future periods; our expectations regarding the sale and lease back of our Napier property in New Zealand; our expectations regarding our ability to refinance the loan on our live theater buildings in New York City; and our ability to successfully market and sell our Cinemas 1,2,3 property. You can recognize these statements by our use of words, such as “may,” “will,” “expect,” “believe,” and “anticipate” or other similar terminology. </w:t>
      </w:r>
    </w:p>
    <w:p>
      <w:pPr>
        <w:pStyle w:val="TextBody"/>
        <w:bidi w:val="0"/>
        <w:spacing w:before="0" w:after="0"/>
        <w:ind w:left="720" w:right="720" w:firstLine="720"/>
        <w:jc w:val="both"/>
        <w:rPr>
          <w:rFonts w:cs="Times New Roman"/>
          <w:szCs w:val="22"/>
        </w:rPr>
      </w:pPr>
      <w:r>
        <w:rPr>
          <w:rFonts w:cs="Times New Roman"/>
          <w:szCs w:val="22"/>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sz w:val="22"/>
        </w:rPr>
        <w:t xml:space="preserve">Given the variety and unpredictability of the factors that will ultimately influence our businesses and our results of operation, no guarantees can be given that any of our forward-looking statements will ultimately prove to be correct. Actual results will undoubtedly vary and there is no guarantee as to how our securities will perform either when considered in isolation or when compared to other securities or investment opportunities. </w:t>
      </w:r>
    </w:p>
    <w:p>
      <w:pPr>
        <w:pStyle w:val="TextBody"/>
        <w:bidi w:val="0"/>
        <w:spacing w:before="0" w:after="0"/>
        <w:ind w:left="720" w:right="720" w:firstLine="720"/>
        <w:jc w:val="both"/>
        <w:rPr>
          <w:rFonts w:cs="Times New Roman"/>
          <w:szCs w:val="22"/>
        </w:rPr>
      </w:pPr>
      <w:r>
        <w:rPr>
          <w:rFonts w:cs="Times New Roman"/>
          <w:szCs w:val="22"/>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sz w:val="22"/>
        </w:rPr>
        <w:t xml:space="preserve">Forward-looking statements made by us in this earnings release are based only on information currently available to us and speak only as of the date on which they are made. We undertake no obligation to publicly update or to revise any of our forward-looking statements, whether as a result of new information, future events or otherwise, except as may be required under applicable law. Accordingly, you should always note the date to which our forward-looking statements speak. </w:t>
      </w:r>
    </w:p>
    <w:p>
      <w:pPr>
        <w:pStyle w:val="TextBody"/>
        <w:bidi w:val="0"/>
        <w:spacing w:before="0" w:after="0"/>
        <w:ind w:left="720" w:right="720" w:firstLine="720"/>
        <w:jc w:val="both"/>
        <w:rPr>
          <w:rFonts w:cs="Times New Roman"/>
          <w:szCs w:val="22"/>
        </w:rPr>
      </w:pPr>
      <w:r>
        <w:rPr>
          <w:rFonts w:cs="Times New Roman"/>
          <w:szCs w:val="22"/>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sz w:val="22"/>
        </w:rPr>
        <w:t xml:space="preserve">Because forward-looking statements relate to the future, they are subject to inherent uncertainties, risks and changes in circumstances that are difficult to predict and many of which are outside of our control. Therefore, you should not rely on any of these forward-looking statements. Important factors that could cause our actual results and financial condition to differ materially from those indicated in the forward-looking statements include, among others, those factors discussed throughout Part I, Item 1A – Risk Factors and Part II Item 7 – Management's Discussion and Analysis of Financial Condition and Results of Operations of our Annual Report on Form 10-K for the most recently ended fiscal year, as well as the risk factors set forth in any other filings made under the Securities Act of 1934, as amended, including any of our Quarterly Reports on Form 10-Q, for more information. </w:t>
      </w:r>
    </w:p>
    <w:p>
      <w:pPr>
        <w:pStyle w:val="TextBody"/>
        <w:bidi w:val="0"/>
        <w:spacing w:before="0" w:after="0"/>
        <w:ind w:left="720" w:right="720" w:hanging="0"/>
        <w:jc w:val="both"/>
        <w:rPr>
          <w:rFonts w:cs="Times New Roman"/>
          <w:szCs w:val="20"/>
        </w:rPr>
      </w:pPr>
      <w:r>
        <w:rPr>
          <w:rFonts w:cs="Times New Roman"/>
          <w:szCs w:val="20"/>
        </w:rPr>
        <w:t xml:space="preserve">﻿ </w:t>
      </w:r>
    </w:p>
    <w:p>
      <w:pPr>
        <w:pStyle w:val="TextBody"/>
        <w:bidi w:val="0"/>
        <w:spacing w:before="0" w:after="0"/>
        <w:ind w:left="720" w:right="720" w:hanging="0"/>
        <w:jc w:val="both"/>
        <w:rPr>
          <w:rFonts w:cs="Times New Roman"/>
          <w:szCs w:val="20"/>
        </w:rPr>
      </w:pPr>
      <w:r>
        <w:rPr>
          <w:rFonts w:cs="Times New Roman"/>
          <w:szCs w:val="20"/>
        </w:rPr>
        <w:t xml:space="preserve">﻿ </w:t>
      </w:r>
    </w:p>
    <w:p>
      <w:pPr>
        <w:pStyle w:val="TextBody"/>
        <w:bidi w:val="0"/>
        <w:spacing w:before="0" w:after="0"/>
        <w:ind w:left="720" w:right="720" w:hanging="0"/>
        <w:jc w:val="center"/>
        <w:rPr>
          <w:rFonts w:ascii="Times New Roman" w:hAnsi="Times New Roman"/>
          <w:sz w:val="20"/>
        </w:rPr>
      </w:pPr>
      <w:r>
        <w:rPr>
          <w:rFonts w:ascii="Times New Roman" w:hAnsi="Times New Roman"/>
          <w:sz w:val="20"/>
        </w:rPr>
        <w:t xml:space="preserve">3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before="0" w:after="0"/>
        <w:ind w:left="720" w:right="720" w:hanging="0"/>
        <w:jc w:val="both"/>
        <w:rPr/>
      </w:pPr>
      <w:r>
        <w:rPr/>
        <w:t xml:space="preserve">  </w:t>
      </w:r>
    </w:p>
    <w:p>
      <w:pPr>
        <w:pStyle w:val="TextBody"/>
        <w:bidi w:val="0"/>
        <w:spacing w:before="0" w:after="0"/>
        <w:ind w:left="720" w:right="720" w:hanging="0"/>
        <w:jc w:val="both"/>
        <w:rPr>
          <w:rFonts w:ascii="Times New Roman" w:hAnsi="Times New Roman"/>
          <w:sz w:val="20"/>
        </w:rPr>
      </w:pPr>
      <w:r>
        <w:rPr>
          <w:rFonts w:ascii="Times New Roman" w:hAnsi="Times New Roman"/>
          <w:b/>
          <w:color w:val="000000"/>
          <w:sz w:val="20"/>
        </w:rPr>
        <w:t>Reading International, Inc. and Subsidiaries</w:t>
      </w:r>
      <w:bookmarkStart w:id="11" w:name="ConsolidatedIS"/>
      <w:bookmarkEnd w:id="11"/>
      <w:r>
        <w:rPr>
          <w:rFonts w:ascii="Times New Roman" w:hAnsi="Times New Roman"/>
          <w:sz w:val="20"/>
        </w:rPr>
        <w:t xml:space="preserve"> </w:t>
      </w:r>
    </w:p>
    <w:p>
      <w:pPr>
        <w:pStyle w:val="TextBody"/>
        <w:bidi w:val="0"/>
        <w:spacing w:before="0" w:after="0"/>
        <w:ind w:left="720" w:right="720" w:hanging="0"/>
        <w:jc w:val="both"/>
        <w:rPr>
          <w:rFonts w:ascii="Times New Roman" w:hAnsi="Times New Roman"/>
          <w:sz w:val="20"/>
        </w:rPr>
      </w:pPr>
      <w:r>
        <w:rPr>
          <w:rFonts w:ascii="Times New Roman" w:hAnsi="Times New Roman"/>
          <w:b/>
          <w:color w:val="000000"/>
          <w:sz w:val="20"/>
        </w:rPr>
        <w:t>Unaudited Consolidated Statements of Operations</w:t>
      </w:r>
      <w:r>
        <w:rPr>
          <w:rFonts w:ascii="Times New Roman" w:hAnsi="Times New Roman"/>
          <w:sz w:val="20"/>
        </w:rPr>
        <w:t xml:space="preserve"> </w:t>
      </w:r>
    </w:p>
    <w:p>
      <w:pPr>
        <w:pStyle w:val="TextBody"/>
        <w:bidi w:val="0"/>
        <w:spacing w:before="0" w:after="0"/>
        <w:ind w:left="720" w:right="720" w:hanging="0"/>
        <w:jc w:val="both"/>
        <w:rPr>
          <w:rFonts w:ascii="Times New Roman" w:hAnsi="Times New Roman"/>
          <w:sz w:val="20"/>
        </w:rPr>
      </w:pPr>
      <w:r>
        <w:rPr>
          <w:rFonts w:ascii="Times New Roman" w:hAnsi="Times New Roman"/>
          <w:i/>
          <w:color w:val="000000"/>
          <w:sz w:val="20"/>
        </w:rPr>
        <w:t>(Unaudited; U.S. dollars in thousands, except per share data)</w:t>
      </w:r>
      <w:r>
        <w:rPr>
          <w:rFonts w:ascii="Times New Roman" w:hAnsi="Times New Roman"/>
          <w:sz w:val="20"/>
        </w:rPr>
        <w:t xml:space="preserve"> </w:t>
      </w:r>
    </w:p>
    <w:p>
      <w:pPr>
        <w:pStyle w:val="TextBody"/>
        <w:bidi w:val="0"/>
        <w:spacing w:before="0" w:after="0"/>
        <w:ind w:left="720" w:right="720" w:hanging="0"/>
        <w:jc w:val="both"/>
        <w:rPr>
          <w:rFonts w:cs="Times New Roman"/>
          <w:szCs w:val="2"/>
        </w:rPr>
      </w:pPr>
      <w:r>
        <w:rPr>
          <w:rFonts w:cs="Times New Roman"/>
          <w:color w:val="000000"/>
          <w:szCs w:val="2"/>
        </w:rPr>
        <w:t>﻿</w:t>
      </w:r>
      <w:r>
        <w:rPr>
          <w:rFonts w:cs="Times New Roman"/>
          <w:szCs w:val="2"/>
        </w:rPr>
        <w:t xml:space="preserve"> </w:t>
      </w:r>
    </w:p>
    <w:p>
      <w:pPr>
        <w:pStyle w:val="TextBody"/>
        <w:bidi w:val="0"/>
        <w:spacing w:before="0" w:after="0"/>
        <w:ind w:left="720" w:right="720" w:hanging="0"/>
        <w:jc w:val="both"/>
        <w:rPr>
          <w:rFonts w:cs="Times New Roman"/>
          <w:szCs w:val="2"/>
        </w:rPr>
      </w:pPr>
      <w:r>
        <w:rPr>
          <w:rFonts w:cs="Times New Roman"/>
          <w:color w:val="000000"/>
          <w:szCs w:val="2"/>
        </w:rPr>
        <w:t>﻿</w:t>
      </w:r>
      <w:r>
        <w:rPr>
          <w:rFonts w:cs="Times New Roman"/>
          <w:szCs w:val="2"/>
        </w:rPr>
        <w:t xml:space="preserve"> </w:t>
      </w:r>
    </w:p>
    <w:p>
      <w:pPr>
        <w:pStyle w:val="TextBody"/>
        <w:bidi w:val="0"/>
        <w:spacing w:before="0" w:after="0"/>
        <w:ind w:left="720" w:right="720" w:hanging="0"/>
        <w:jc w:val="both"/>
        <w:rPr>
          <w:rFonts w:cs="Times New Roman"/>
          <w:szCs w:val="20"/>
        </w:rPr>
      </w:pPr>
      <w:r>
        <w:rPr>
          <w:rFonts w:cs="Times New Roman"/>
          <w:szCs w:val="20"/>
        </w:rPr>
        <w:t xml:space="preserve">﻿ </w:t>
      </w:r>
    </w:p>
    <w:p>
      <w:pPr>
        <w:pStyle w:val="TextBody"/>
        <w:bidi w:val="0"/>
        <w:spacing w:before="0" w:after="0"/>
        <w:ind w:left="720" w:right="720" w:hanging="0"/>
        <w:jc w:val="both"/>
        <w:rPr>
          <w:rFonts w:cs="Times New Roman"/>
          <w:szCs w:val="2"/>
        </w:rPr>
      </w:pPr>
      <w:r>
        <w:rPr>
          <w:rFonts w:cs="Times New Roman"/>
          <w:szCs w:val="2"/>
        </w:rPr>
        <w:t xml:space="preserve">﻿ </w:t>
      </w:r>
    </w:p>
    <w:p>
      <w:pPr>
        <w:pStyle w:val="TextBody"/>
        <w:bidi w:val="0"/>
        <w:spacing w:before="0" w:after="0"/>
        <w:ind w:left="720" w:right="720" w:hanging="0"/>
        <w:jc w:val="both"/>
        <w:rPr>
          <w:rFonts w:cs="Times New Roman"/>
          <w:szCs w:val="2"/>
        </w:rPr>
      </w:pPr>
      <w:r>
        <w:rPr>
          <w:rFonts w:cs="Times New Roman"/>
          <w:szCs w:val="2"/>
        </w:rPr>
        <w:t xml:space="preserve">﻿ </w:t>
      </w:r>
    </w:p>
    <w:tbl>
      <w:tblPr>
        <w:tblW w:w="8765" w:type="dxa"/>
        <w:jc w:val="left"/>
        <w:tblInd w:w="720" w:type="dxa"/>
        <w:tblLayout w:type="fixed"/>
        <w:tblCellMar>
          <w:top w:w="0" w:type="dxa"/>
          <w:left w:w="0" w:type="dxa"/>
          <w:bottom w:w="0" w:type="dxa"/>
          <w:right w:w="0" w:type="dxa"/>
        </w:tblCellMar>
      </w:tblPr>
      <w:tblGrid>
        <w:gridCol w:w="6300"/>
        <w:gridCol w:w="60"/>
        <w:gridCol w:w="125"/>
        <w:gridCol w:w="1040"/>
        <w:gridCol w:w="60"/>
        <w:gridCol w:w="125"/>
        <w:gridCol w:w="1055"/>
      </w:tblGrid>
      <w:tr>
        <w:trPr/>
        <w:tc>
          <w:tcPr>
            <w:tcW w:w="6300" w:type="dxa"/>
            <w:tcBorders/>
            <w:vAlign w:val="bottom"/>
          </w:tcPr>
          <w:p>
            <w:pPr>
              <w:pStyle w:val="TableContents"/>
              <w:bidi w:val="0"/>
              <w:spacing w:before="0" w:after="0"/>
              <w:ind w:left="0" w:right="0" w:hanging="0"/>
              <w:jc w:val="left"/>
              <w:rPr>
                <w:rFonts w:cs="Times New Roman"/>
                <w:szCs w:val="2"/>
              </w:rPr>
            </w:pPr>
            <w:r>
              <w:rPr>
                <w:rFonts w:cs="Times New Roman"/>
                <w:szCs w:val="2"/>
              </w:rPr>
              <w:t>﻿</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4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55" w:type="dxa"/>
            <w:tcBorders/>
            <w:vAlign w:val="bottom"/>
          </w:tcPr>
          <w:p>
            <w:pPr>
              <w:pStyle w:val="TableContents"/>
              <w:bidi w:val="0"/>
              <w:spacing w:before="0" w:after="0"/>
              <w:ind w:left="0" w:right="0" w:hanging="0"/>
              <w:jc w:val="left"/>
              <w:rPr/>
            </w:pPr>
            <w:r>
              <w:rPr/>
              <w:t> </w:t>
            </w:r>
          </w:p>
        </w:tc>
      </w:tr>
      <w:tr>
        <w:trPr/>
        <w:tc>
          <w:tcPr>
            <w:tcW w:w="6300" w:type="dxa"/>
            <w:tcBorders/>
            <w:vAlign w:val="bottom"/>
          </w:tcPr>
          <w:p>
            <w:pPr>
              <w:pStyle w:val="TableContents"/>
              <w:bidi w:val="0"/>
              <w:spacing w:before="0" w:after="0"/>
              <w:ind w:left="0" w:right="0" w:hanging="0"/>
              <w:jc w:val="left"/>
              <w:rPr>
                <w:rFonts w:cs="Arial"/>
                <w:color w:val="000000"/>
                <w:szCs w:val="4"/>
              </w:rPr>
            </w:pPr>
            <w:r>
              <w:rPr>
                <w:rFonts w:cs="Arial"/>
                <w:color w:val="000000"/>
                <w:szCs w:val="4"/>
              </w:rPr>
              <w:t>﻿</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right"/>
              <w:rPr/>
            </w:pPr>
            <w:r>
              <w:rPr/>
              <w:t> </w:t>
            </w:r>
          </w:p>
        </w:tc>
        <w:tc>
          <w:tcPr>
            <w:tcW w:w="104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right"/>
              <w:rPr/>
            </w:pPr>
            <w:r>
              <w:rPr/>
              <w:t> </w:t>
            </w:r>
          </w:p>
        </w:tc>
        <w:tc>
          <w:tcPr>
            <w:tcW w:w="1055" w:type="dxa"/>
            <w:tcBorders/>
            <w:vAlign w:val="bottom"/>
          </w:tcPr>
          <w:p>
            <w:pPr>
              <w:pStyle w:val="TableContents"/>
              <w:bidi w:val="0"/>
              <w:spacing w:before="0" w:after="0"/>
              <w:ind w:left="0" w:right="0" w:hanging="0"/>
              <w:jc w:val="left"/>
              <w:rPr/>
            </w:pPr>
            <w:r>
              <w:rPr/>
              <w:t> </w:t>
            </w:r>
          </w:p>
        </w:tc>
      </w:tr>
      <w:tr>
        <w:trPr/>
        <w:tc>
          <w:tcPr>
            <w:tcW w:w="6300" w:type="dxa"/>
            <w:tcBorders/>
            <w:vAlign w:val="bottom"/>
          </w:tcPr>
          <w:p>
            <w:pPr>
              <w:pStyle w:val="TableContents"/>
              <w:bidi w:val="0"/>
              <w:spacing w:before="0" w:after="0"/>
              <w:ind w:left="0" w:right="0" w:hanging="0"/>
              <w:jc w:val="left"/>
              <w:rPr>
                <w:rFonts w:cs="Times New Roman"/>
                <w:color w:val="000000"/>
                <w:szCs w:val="16"/>
              </w:rPr>
            </w:pPr>
            <w:r>
              <w:rPr>
                <w:rFonts w:cs="Times New Roman"/>
                <w:color w:val="000000"/>
                <w:szCs w:val="16"/>
              </w:rPr>
              <w:t>﻿</w:t>
            </w:r>
          </w:p>
        </w:tc>
        <w:tc>
          <w:tcPr>
            <w:tcW w:w="60" w:type="dxa"/>
            <w:tcBorders/>
            <w:vAlign w:val="bottom"/>
          </w:tcPr>
          <w:p>
            <w:pPr>
              <w:pStyle w:val="TableContents"/>
              <w:bidi w:val="0"/>
              <w:spacing w:before="0" w:after="0"/>
              <w:ind w:left="0" w:right="0" w:hanging="0"/>
              <w:jc w:val="left"/>
              <w:rPr/>
            </w:pPr>
            <w:r>
              <w:rPr/>
              <w:t> </w:t>
            </w:r>
          </w:p>
        </w:tc>
        <w:tc>
          <w:tcPr>
            <w:tcW w:w="2405" w:type="dxa"/>
            <w:gridSpan w:val="5"/>
            <w:tcBorders/>
            <w:vAlign w:val="bottom"/>
          </w:tcPr>
          <w:p>
            <w:pPr>
              <w:pStyle w:val="TableContents"/>
              <w:bidi w:val="0"/>
              <w:spacing w:before="0" w:after="0"/>
              <w:ind w:left="0" w:right="0" w:hanging="0"/>
              <w:jc w:val="center"/>
              <w:rPr>
                <w:rFonts w:ascii="Times New Roman" w:hAnsi="Times New Roman"/>
                <w:b/>
                <w:color w:val="000000"/>
                <w:sz w:val="16"/>
              </w:rPr>
            </w:pPr>
            <w:r>
              <w:rPr>
                <w:rFonts w:ascii="Times New Roman" w:hAnsi="Times New Roman"/>
                <w:b/>
                <w:color w:val="000000"/>
                <w:sz w:val="16"/>
              </w:rPr>
              <w:t>Three Months Ended</w:t>
            </w:r>
          </w:p>
        </w:tc>
      </w:tr>
      <w:tr>
        <w:trPr/>
        <w:tc>
          <w:tcPr>
            <w:tcW w:w="6300" w:type="dxa"/>
            <w:tcBorders/>
            <w:vAlign w:val="bottom"/>
          </w:tcPr>
          <w:p>
            <w:pPr>
              <w:pStyle w:val="TableContents"/>
              <w:bidi w:val="0"/>
              <w:spacing w:before="0" w:after="0"/>
              <w:ind w:left="0" w:right="0" w:hanging="0"/>
              <w:jc w:val="left"/>
              <w:rPr>
                <w:rFonts w:cs="Times New Roman"/>
                <w:color w:val="000000"/>
                <w:szCs w:val="16"/>
              </w:rPr>
            </w:pPr>
            <w:r>
              <w:rPr>
                <w:rFonts w:cs="Times New Roman"/>
                <w:color w:val="000000"/>
                <w:szCs w:val="16"/>
              </w:rPr>
              <w:t>﻿</w:t>
            </w:r>
          </w:p>
        </w:tc>
        <w:tc>
          <w:tcPr>
            <w:tcW w:w="60" w:type="dxa"/>
            <w:tcBorders/>
            <w:vAlign w:val="bottom"/>
          </w:tcPr>
          <w:p>
            <w:pPr>
              <w:pStyle w:val="TableContents"/>
              <w:bidi w:val="0"/>
              <w:spacing w:before="0" w:after="0"/>
              <w:ind w:left="0" w:right="0" w:hanging="0"/>
              <w:jc w:val="left"/>
              <w:rPr/>
            </w:pPr>
            <w:r>
              <w:rPr/>
              <w:t> </w:t>
            </w:r>
          </w:p>
        </w:tc>
        <w:tc>
          <w:tcPr>
            <w:tcW w:w="2405" w:type="dxa"/>
            <w:gridSpan w:val="5"/>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16"/>
              </w:rPr>
            </w:pPr>
            <w:r>
              <w:rPr>
                <w:rFonts w:ascii="Times New Roman" w:hAnsi="Times New Roman"/>
                <w:b/>
                <w:color w:val="000000"/>
                <w:sz w:val="16"/>
              </w:rPr>
              <w:t>March 31,</w:t>
            </w:r>
          </w:p>
        </w:tc>
      </w:tr>
      <w:tr>
        <w:trPr/>
        <w:tc>
          <w:tcPr>
            <w:tcW w:w="6300" w:type="dxa"/>
            <w:tcBorders>
              <w:bottom w:val="single" w:sz="12" w:space="0" w:color="000000"/>
            </w:tcBorders>
            <w:tcMar>
              <w:bottom w:w="28" w:type="dxa"/>
            </w:tcMar>
            <w:vAlign w:val="bottom"/>
          </w:tcPr>
          <w:p>
            <w:pPr>
              <w:pStyle w:val="TableContents"/>
              <w:bidi w:val="0"/>
              <w:spacing w:before="0" w:after="0"/>
              <w:ind w:left="0" w:right="0" w:hanging="0"/>
              <w:jc w:val="left"/>
              <w:rPr>
                <w:rFonts w:cs="Times New Roman"/>
                <w:color w:val="000000"/>
                <w:szCs w:val="16"/>
              </w:rPr>
            </w:pPr>
            <w:r>
              <w:rPr>
                <w:rFonts w:cs="Times New Roman"/>
                <w:color w:val="000000"/>
                <w:szCs w:val="16"/>
              </w:rPr>
              <w:t>﻿</w:t>
            </w:r>
          </w:p>
        </w:tc>
        <w:tc>
          <w:tcPr>
            <w:tcW w:w="60" w:type="dxa"/>
            <w:tcBorders/>
            <w:vAlign w:val="bottom"/>
          </w:tcPr>
          <w:p>
            <w:pPr>
              <w:pStyle w:val="TableContents"/>
              <w:bidi w:val="0"/>
              <w:spacing w:before="0" w:after="0"/>
              <w:ind w:left="0" w:right="0" w:hanging="0"/>
              <w:jc w:val="left"/>
              <w:rPr/>
            </w:pPr>
            <w:r>
              <w:rPr/>
              <w:t> </w:t>
            </w:r>
          </w:p>
        </w:tc>
        <w:tc>
          <w:tcPr>
            <w:tcW w:w="1165" w:type="dxa"/>
            <w:gridSpan w:val="2"/>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color w:val="000000"/>
                <w:sz w:val="16"/>
              </w:rPr>
            </w:pPr>
            <w:r>
              <w:rPr>
                <w:rFonts w:ascii="Times New Roman" w:hAnsi="Times New Roman"/>
                <w:b/>
                <w:color w:val="000000"/>
                <w:sz w:val="16"/>
              </w:rPr>
              <w:t>2026</w:t>
            </w:r>
          </w:p>
        </w:tc>
        <w:tc>
          <w:tcPr>
            <w:tcW w:w="60" w:type="dxa"/>
            <w:tcBorders>
              <w:top w:val="single" w:sz="8" w:space="0" w:color="000000"/>
            </w:tcBorders>
            <w:tcMar>
              <w:top w:w="28" w:type="dxa"/>
            </w:tcMar>
            <w:vAlign w:val="bottom"/>
          </w:tcPr>
          <w:p>
            <w:pPr>
              <w:pStyle w:val="TableContents"/>
              <w:bidi w:val="0"/>
              <w:spacing w:before="0" w:after="0"/>
              <w:ind w:left="0" w:right="0" w:hanging="0"/>
              <w:jc w:val="center"/>
              <w:rPr/>
            </w:pPr>
            <w:r>
              <w:rPr/>
              <w:t> </w:t>
            </w:r>
          </w:p>
        </w:tc>
        <w:tc>
          <w:tcPr>
            <w:tcW w:w="1180" w:type="dxa"/>
            <w:gridSpan w:val="2"/>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color w:val="000000"/>
                <w:sz w:val="16"/>
              </w:rPr>
            </w:pPr>
            <w:r>
              <w:rPr>
                <w:rFonts w:ascii="Times New Roman" w:hAnsi="Times New Roman"/>
                <w:b/>
                <w:color w:val="000000"/>
                <w:sz w:val="16"/>
              </w:rPr>
              <w:t>2025</w:t>
            </w:r>
          </w:p>
        </w:tc>
      </w:tr>
      <w:tr>
        <w:trPr/>
        <w:tc>
          <w:tcPr>
            <w:tcW w:w="6300" w:type="dxa"/>
            <w:tcBorders>
              <w:top w:val="single" w:sz="8" w:space="0" w:color="000000"/>
            </w:tcBorders>
            <w:tcMar>
              <w:top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Revenue</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5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r>
      <w:tr>
        <w:trPr/>
        <w:tc>
          <w:tcPr>
            <w:tcW w:w="6300"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Cinema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4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41,461 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55"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36,404  </w:t>
            </w:r>
          </w:p>
        </w:tc>
      </w:tr>
      <w:tr>
        <w:trPr/>
        <w:tc>
          <w:tcPr>
            <w:tcW w:w="6300" w:type="dxa"/>
            <w:tcBorders>
              <w:bottom w:val="single" w:sz="8" w:space="0" w:color="000000"/>
            </w:tcBorders>
            <w:tcMar>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Real estate</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10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3,663  </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105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3,765  </w:t>
            </w:r>
          </w:p>
        </w:tc>
      </w:tr>
      <w:tr>
        <w:trPr/>
        <w:tc>
          <w:tcPr>
            <w:tcW w:w="6300"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Total revenue</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45,124  </w:t>
            </w:r>
          </w:p>
        </w:tc>
        <w:tc>
          <w:tcPr>
            <w:tcW w:w="60" w:type="dxa"/>
            <w:tcBorders/>
            <w:shd w:fill="CCEEFF" w:val="clear"/>
            <w:vAlign w:val="bottom"/>
          </w:tcPr>
          <w:p>
            <w:pPr>
              <w:pStyle w:val="TableContents"/>
              <w:bidi w:val="0"/>
              <w:spacing w:before="0" w:after="0"/>
              <w:ind w:left="0" w:right="0" w:hanging="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pPr>
            <w:r>
              <w:rPr/>
              <w:t> </w:t>
            </w:r>
          </w:p>
        </w:tc>
        <w:tc>
          <w:tcPr>
            <w:tcW w:w="105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40,169  </w:t>
            </w:r>
          </w:p>
        </w:tc>
      </w:tr>
      <w:tr>
        <w:trPr/>
        <w:tc>
          <w:tcPr>
            <w:tcW w:w="6300" w:type="dxa"/>
            <w:tcBorders>
              <w:top w:val="single" w:sz="8" w:space="0" w:color="000000"/>
            </w:tcBorders>
            <w:tcMar>
              <w:top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Costs and expenses</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righ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5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r>
      <w:tr>
        <w:trPr/>
        <w:tc>
          <w:tcPr>
            <w:tcW w:w="6300"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Cinema</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4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(38,894)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55"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(36,577) </w:t>
            </w:r>
          </w:p>
        </w:tc>
      </w:tr>
      <w:tr>
        <w:trPr/>
        <w:tc>
          <w:tcPr>
            <w:tcW w:w="6300"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Real estate</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4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(1,886)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5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(1,955) </w:t>
            </w:r>
          </w:p>
        </w:tc>
      </w:tr>
      <w:tr>
        <w:trPr/>
        <w:tc>
          <w:tcPr>
            <w:tcW w:w="6300"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Depreciation and amortization</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4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(3,230)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55"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(3,375) </w:t>
            </w:r>
          </w:p>
        </w:tc>
      </w:tr>
      <w:tr>
        <w:trPr/>
        <w:tc>
          <w:tcPr>
            <w:tcW w:w="6300"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General and administrative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4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(4,746)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5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(5,153) </w:t>
            </w:r>
          </w:p>
        </w:tc>
      </w:tr>
      <w:tr>
        <w:trPr/>
        <w:tc>
          <w:tcPr>
            <w:tcW w:w="6300"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Total costs and expenses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(48,756) </w:t>
            </w:r>
          </w:p>
        </w:tc>
        <w:tc>
          <w:tcPr>
            <w:tcW w:w="60" w:type="dxa"/>
            <w:tcBorders/>
            <w:shd w:fill="CCEEFF" w:val="clear"/>
            <w:vAlign w:val="bottom"/>
          </w:tcPr>
          <w:p>
            <w:pPr>
              <w:pStyle w:val="TableContents"/>
              <w:bidi w:val="0"/>
              <w:spacing w:before="0" w:after="0"/>
              <w:ind w:left="0" w:right="0" w:hanging="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pPr>
            <w:r>
              <w:rPr/>
              <w:t> </w:t>
            </w:r>
          </w:p>
        </w:tc>
        <w:tc>
          <w:tcPr>
            <w:tcW w:w="105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(47,060) </w:t>
            </w:r>
          </w:p>
        </w:tc>
      </w:tr>
      <w:tr>
        <w:trPr/>
        <w:tc>
          <w:tcPr>
            <w:tcW w:w="6300" w:type="dxa"/>
            <w:tcBorders>
              <w:top w:val="single" w:sz="8" w:space="0" w:color="000000"/>
            </w:tcBorders>
            <w:tcMar>
              <w:top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Operating income (loss)</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(3,632)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55"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(6,891) </w:t>
            </w:r>
          </w:p>
        </w:tc>
      </w:tr>
      <w:tr>
        <w:trPr/>
        <w:tc>
          <w:tcPr>
            <w:tcW w:w="6300"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Interest expense, net</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4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(4,228)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55"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(4,742) </w:t>
            </w:r>
          </w:p>
        </w:tc>
      </w:tr>
      <w:tr>
        <w:trPr/>
        <w:tc>
          <w:tcPr>
            <w:tcW w:w="6300"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Gain (loss) on sale of assets</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40" w:type="dxa"/>
            <w:tcBorders/>
            <w:vAlign w:val="bottom"/>
          </w:tcPr>
          <w:p>
            <w:pPr>
              <w:pStyle w:val="TableContents"/>
              <w:bidi w:val="0"/>
              <w:spacing w:before="0" w:after="0"/>
              <w:ind w:left="0" w:right="65" w:hanging="0"/>
              <w:jc w:val="right"/>
              <w:rPr>
                <w:color w:val="000000"/>
              </w:rPr>
            </w:pPr>
            <w:r>
              <w:rPr>
                <w:color w:val="000000"/>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5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6,526  </w:t>
            </w:r>
          </w:p>
        </w:tc>
      </w:tr>
      <w:tr>
        <w:trPr/>
        <w:tc>
          <w:tcPr>
            <w:tcW w:w="6300"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Other income (expense)</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4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(488)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55"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(331) </w:t>
            </w:r>
          </w:p>
        </w:tc>
      </w:tr>
      <w:tr>
        <w:trPr/>
        <w:tc>
          <w:tcPr>
            <w:tcW w:w="6300" w:type="dxa"/>
            <w:tcBorders>
              <w:top w:val="single" w:sz="8" w:space="0" w:color="000000"/>
            </w:tcBorders>
            <w:tcMar>
              <w:top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Income (loss) before income tax expense and equity earnings of unconsolidated joint ventures</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(8,348)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55"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(5,438) </w:t>
            </w:r>
          </w:p>
        </w:tc>
      </w:tr>
      <w:tr>
        <w:trPr/>
        <w:tc>
          <w:tcPr>
            <w:tcW w:w="6300"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Equity earnings of unconsolidated joint ventures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4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71 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55"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23  </w:t>
            </w:r>
          </w:p>
        </w:tc>
      </w:tr>
      <w:tr>
        <w:trPr/>
        <w:tc>
          <w:tcPr>
            <w:tcW w:w="6300" w:type="dxa"/>
            <w:tcBorders>
              <w:top w:val="single" w:sz="8" w:space="0" w:color="000000"/>
            </w:tcBorders>
            <w:tcMar>
              <w:top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Income (loss) before income taxes</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(8,277)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55"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(5,415) </w:t>
            </w:r>
          </w:p>
        </w:tc>
      </w:tr>
      <w:tr>
        <w:trPr/>
        <w:tc>
          <w:tcPr>
            <w:tcW w:w="6300"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Income tax benefit (expense)</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4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143 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55"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472  </w:t>
            </w:r>
          </w:p>
        </w:tc>
      </w:tr>
      <w:tr>
        <w:trPr/>
        <w:tc>
          <w:tcPr>
            <w:tcW w:w="6300" w:type="dxa"/>
            <w:tcBorders>
              <w:top w:val="single" w:sz="8" w:space="0" w:color="000000"/>
            </w:tcBorders>
            <w:tcMar>
              <w:top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Net income (loss)</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4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(8,134)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55"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(4,943) </w:t>
            </w:r>
          </w:p>
        </w:tc>
      </w:tr>
      <w:tr>
        <w:trPr/>
        <w:tc>
          <w:tcPr>
            <w:tcW w:w="6300"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Less: net income (loss) attributable to noncontrolling interests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4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13 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55"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(191) </w:t>
            </w:r>
          </w:p>
        </w:tc>
      </w:tr>
      <w:tr>
        <w:trPr/>
        <w:tc>
          <w:tcPr>
            <w:tcW w:w="6300"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Net income (loss) attributable to Reading International, Inc.</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40" w:type="dxa"/>
            <w:tcBorders>
              <w:top w:val="single" w:sz="8" w:space="0" w:color="000000"/>
              <w:bottom w:val="single" w:sz="12"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(8,147)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55" w:type="dxa"/>
            <w:tcBorders>
              <w:top w:val="single" w:sz="8" w:space="0" w:color="000000"/>
              <w:bottom w:val="single" w:sz="12"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(4,752) </w:t>
            </w:r>
          </w:p>
        </w:tc>
      </w:tr>
      <w:tr>
        <w:trPr/>
        <w:tc>
          <w:tcPr>
            <w:tcW w:w="6300"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Basic earnings (loss) per share</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40"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(0.36) </w:t>
            </w:r>
          </w:p>
        </w:tc>
        <w:tc>
          <w:tcPr>
            <w:tcW w:w="60" w:type="dxa"/>
            <w:tcBorders/>
            <w:shd w:fill="CCEEFF" w:val="clear"/>
            <w:vAlign w:val="bottom"/>
          </w:tcPr>
          <w:p>
            <w:pPr>
              <w:pStyle w:val="TableContents"/>
              <w:bidi w:val="0"/>
              <w:spacing w:before="0" w:after="0"/>
              <w:ind w:left="0" w:right="0" w:hanging="0"/>
              <w:jc w:val="right"/>
              <w:rPr/>
            </w:pPr>
            <w:r>
              <w:rPr/>
              <w:t> </w:t>
            </w:r>
          </w:p>
        </w:tc>
        <w:tc>
          <w:tcPr>
            <w:tcW w:w="125"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55"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(0.21) </w:t>
            </w:r>
          </w:p>
        </w:tc>
      </w:tr>
      <w:tr>
        <w:trPr/>
        <w:tc>
          <w:tcPr>
            <w:tcW w:w="6300"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Diluted earnings (loss) per share</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40" w:type="dxa"/>
            <w:tcBorders>
              <w:top w:val="single" w:sz="8" w:space="0" w:color="000000"/>
              <w:bottom w:val="single" w:sz="12"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(0.36) </w:t>
            </w:r>
          </w:p>
        </w:tc>
        <w:tc>
          <w:tcPr>
            <w:tcW w:w="60" w:type="dxa"/>
            <w:tcBorders/>
            <w:vAlign w:val="bottom"/>
          </w:tcPr>
          <w:p>
            <w:pPr>
              <w:pStyle w:val="TableContents"/>
              <w:bidi w:val="0"/>
              <w:spacing w:before="0" w:after="0"/>
              <w:ind w:left="0" w:right="0" w:hanging="0"/>
              <w:jc w:val="right"/>
              <w:rPr/>
            </w:pPr>
            <w:r>
              <w:rPr/>
              <w:t> </w:t>
            </w:r>
          </w:p>
        </w:tc>
        <w:tc>
          <w:tcPr>
            <w:tcW w:w="125"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55" w:type="dxa"/>
            <w:tcBorders>
              <w:top w:val="single" w:sz="8" w:space="0" w:color="000000"/>
              <w:bottom w:val="single" w:sz="12"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(0.21) </w:t>
            </w:r>
          </w:p>
        </w:tc>
      </w:tr>
      <w:tr>
        <w:trPr/>
        <w:tc>
          <w:tcPr>
            <w:tcW w:w="6300"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Weighted average number of shares outstanding–basic</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22,717,260  </w:t>
            </w:r>
          </w:p>
        </w:tc>
        <w:tc>
          <w:tcPr>
            <w:tcW w:w="60" w:type="dxa"/>
            <w:tcBorders/>
            <w:shd w:fill="CCEEFF" w:val="clear"/>
            <w:vAlign w:val="bottom"/>
          </w:tcPr>
          <w:p>
            <w:pPr>
              <w:pStyle w:val="TableContents"/>
              <w:bidi w:val="0"/>
              <w:spacing w:before="0" w:after="0"/>
              <w:ind w:left="0" w:right="0" w:hanging="0"/>
              <w:jc w:val="righ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1055"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22,426,184  </w:t>
            </w:r>
          </w:p>
        </w:tc>
      </w:tr>
      <w:tr>
        <w:trPr/>
        <w:tc>
          <w:tcPr>
            <w:tcW w:w="6300" w:type="dxa"/>
            <w:tcBorders>
              <w:bottom w:val="single" w:sz="12" w:space="0" w:color="000000"/>
            </w:tcBorders>
            <w:tcMar>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Weighted average number of shares outstanding–diluted</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1040" w:type="dxa"/>
            <w:tcBorders>
              <w:bottom w:val="single" w:sz="12"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22,717,260  </w:t>
            </w:r>
          </w:p>
        </w:tc>
        <w:tc>
          <w:tcPr>
            <w:tcW w:w="60" w:type="dxa"/>
            <w:tcBorders/>
            <w:vAlign w:val="bottom"/>
          </w:tcPr>
          <w:p>
            <w:pPr>
              <w:pStyle w:val="TableContents"/>
              <w:bidi w:val="0"/>
              <w:spacing w:before="0" w:after="0"/>
              <w:ind w:left="0" w:right="0" w:hanging="0"/>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ind w:left="0" w:right="0" w:hanging="0"/>
              <w:jc w:val="left"/>
              <w:rPr/>
            </w:pPr>
            <w:r>
              <w:rPr/>
              <w:t> </w:t>
            </w:r>
          </w:p>
        </w:tc>
        <w:tc>
          <w:tcPr>
            <w:tcW w:w="1055" w:type="dxa"/>
            <w:tcBorders>
              <w:bottom w:val="single" w:sz="12"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22,426,184  </w:t>
            </w:r>
          </w:p>
        </w:tc>
      </w:tr>
    </w:tbl>
    <w:p>
      <w:pPr>
        <w:pStyle w:val="TextBody"/>
        <w:bidi w:val="0"/>
        <w:spacing w:before="0" w:after="0"/>
        <w:ind w:left="720" w:right="720" w:hanging="0"/>
        <w:jc w:val="both"/>
        <w:rPr>
          <w:rFonts w:cs="Times New Roman"/>
          <w:szCs w:val="16"/>
        </w:rPr>
      </w:pPr>
      <w:r>
        <w:rPr>
          <w:rFonts w:cs="Times New Roman"/>
          <w:szCs w:val="16"/>
        </w:rPr>
        <w:t xml:space="preserve">﻿ </w:t>
      </w:r>
    </w:p>
    <w:p>
      <w:pPr>
        <w:pStyle w:val="TextBody"/>
        <w:bidi w:val="0"/>
        <w:spacing w:before="0" w:after="0"/>
        <w:ind w:left="720" w:right="720" w:hanging="0"/>
        <w:jc w:val="center"/>
        <w:rPr>
          <w:rFonts w:ascii="Times New Roman" w:hAnsi="Times New Roman"/>
          <w:sz w:val="20"/>
        </w:rPr>
      </w:pPr>
      <w:r>
        <w:rPr>
          <w:rFonts w:ascii="Times New Roman" w:hAnsi="Times New Roman"/>
          <w:sz w:val="20"/>
        </w:rPr>
        <w:t xml:space="preserve">4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before="0" w:after="0"/>
        <w:ind w:left="720" w:right="720" w:hanging="0"/>
        <w:jc w:val="both"/>
        <w:rPr>
          <w:rFonts w:ascii="Times New Roman" w:hAnsi="Times New Roman"/>
          <w:sz w:val="20"/>
        </w:rPr>
      </w:pPr>
      <w:bookmarkStart w:id="12" w:name="ConsolidatedBS"/>
      <w:bookmarkEnd w:id="12"/>
      <w:r>
        <w:rPr>
          <w:rFonts w:ascii="Times New Roman" w:hAnsi="Times New Roman"/>
          <w:b/>
          <w:color w:val="000000"/>
          <w:sz w:val="20"/>
        </w:rPr>
        <w:t>Reading International, Inc. and Subsidiaries</w:t>
      </w:r>
      <w:r>
        <w:rPr>
          <w:rFonts w:ascii="Times New Roman" w:hAnsi="Times New Roman"/>
          <w:sz w:val="20"/>
        </w:rPr>
        <w:t xml:space="preserve"> </w:t>
      </w:r>
    </w:p>
    <w:p>
      <w:pPr>
        <w:pStyle w:val="TextBody"/>
        <w:bidi w:val="0"/>
        <w:spacing w:before="0" w:after="0"/>
        <w:ind w:left="720" w:right="720" w:hanging="0"/>
        <w:jc w:val="both"/>
        <w:rPr>
          <w:rFonts w:ascii="Times New Roman" w:hAnsi="Times New Roman"/>
          <w:sz w:val="20"/>
        </w:rPr>
      </w:pPr>
      <w:r>
        <w:rPr>
          <w:rFonts w:ascii="Times New Roman" w:hAnsi="Times New Roman"/>
          <w:b/>
          <w:color w:val="000000"/>
          <w:sz w:val="20"/>
        </w:rPr>
        <w:t>Consolidated Balance Sheets</w:t>
      </w:r>
      <w:r>
        <w:rPr>
          <w:rFonts w:ascii="Times New Roman" w:hAnsi="Times New Roman"/>
          <w:sz w:val="20"/>
        </w:rPr>
        <w:t xml:space="preserve"> </w:t>
      </w:r>
    </w:p>
    <w:p>
      <w:pPr>
        <w:pStyle w:val="TextBody"/>
        <w:bidi w:val="0"/>
        <w:spacing w:before="0" w:after="0"/>
        <w:ind w:left="720" w:right="720" w:hanging="0"/>
        <w:jc w:val="both"/>
        <w:rPr>
          <w:rFonts w:ascii="Times New Roman" w:hAnsi="Times New Roman"/>
          <w:sz w:val="20"/>
        </w:rPr>
      </w:pPr>
      <w:r>
        <w:rPr>
          <w:rFonts w:ascii="Times New Roman" w:hAnsi="Times New Roman"/>
          <w:i/>
          <w:color w:val="000000"/>
          <w:sz w:val="20"/>
        </w:rPr>
        <w:t>(U.S. dollars in thousands, except share information)</w:t>
      </w:r>
      <w:r>
        <w:rPr>
          <w:rFonts w:ascii="Times New Roman" w:hAnsi="Times New Roman"/>
          <w:sz w:val="20"/>
        </w:rPr>
        <w:t xml:space="preserve"> </w:t>
      </w:r>
    </w:p>
    <w:p>
      <w:pPr>
        <w:pStyle w:val="TextBody"/>
        <w:bidi w:val="0"/>
        <w:spacing w:before="0" w:after="0"/>
        <w:ind w:left="720" w:right="720" w:hanging="0"/>
        <w:jc w:val="left"/>
        <w:rPr>
          <w:rFonts w:cs="Times New Roman"/>
          <w:szCs w:val="20"/>
        </w:rPr>
      </w:pPr>
      <w:r>
        <w:rPr>
          <w:rFonts w:cs="Times New Roman"/>
          <w:szCs w:val="20"/>
        </w:rPr>
        <w:t xml:space="preserve">﻿ </w:t>
      </w:r>
    </w:p>
    <w:p>
      <w:pPr>
        <w:pStyle w:val="TextBody"/>
        <w:bidi w:val="0"/>
        <w:spacing w:before="0" w:after="0"/>
        <w:ind w:left="720" w:right="720" w:hanging="0"/>
        <w:jc w:val="left"/>
        <w:rPr>
          <w:rFonts w:cs="Times New Roman"/>
          <w:szCs w:val="2"/>
        </w:rPr>
      </w:pPr>
      <w:r>
        <w:rPr>
          <w:rFonts w:cs="Times New Roman"/>
          <w:szCs w:val="2"/>
        </w:rPr>
        <w:t xml:space="preserve">﻿ </w:t>
      </w:r>
    </w:p>
    <w:p>
      <w:pPr>
        <w:pStyle w:val="TextBody"/>
        <w:bidi w:val="0"/>
        <w:spacing w:before="0" w:after="0"/>
        <w:ind w:left="720" w:right="720" w:hanging="0"/>
        <w:jc w:val="left"/>
        <w:rPr>
          <w:rFonts w:cs="Times New Roman"/>
          <w:szCs w:val="2"/>
        </w:rPr>
      </w:pPr>
      <w:r>
        <w:rPr>
          <w:rFonts w:cs="Times New Roman"/>
          <w:szCs w:val="2"/>
        </w:rPr>
        <w:t xml:space="preserve">﻿ </w:t>
      </w:r>
    </w:p>
    <w:p>
      <w:pPr>
        <w:pStyle w:val="TextBody"/>
        <w:bidi w:val="0"/>
        <w:spacing w:before="0" w:after="0"/>
        <w:ind w:left="720" w:right="720" w:hanging="0"/>
        <w:jc w:val="left"/>
        <w:rPr>
          <w:rFonts w:cs="Times New Roman"/>
          <w:szCs w:val="2"/>
        </w:rPr>
      </w:pPr>
      <w:r>
        <w:rPr>
          <w:rFonts w:cs="Times New Roman"/>
          <w:szCs w:val="2"/>
        </w:rPr>
        <w:t xml:space="preserve">﻿ </w:t>
      </w:r>
    </w:p>
    <w:tbl>
      <w:tblPr>
        <w:tblW w:w="8765" w:type="dxa"/>
        <w:jc w:val="left"/>
        <w:tblInd w:w="720" w:type="dxa"/>
        <w:tblLayout w:type="fixed"/>
        <w:tblCellMar>
          <w:top w:w="0" w:type="dxa"/>
          <w:left w:w="0" w:type="dxa"/>
          <w:bottom w:w="0" w:type="dxa"/>
          <w:right w:w="0" w:type="dxa"/>
        </w:tblCellMar>
      </w:tblPr>
      <w:tblGrid>
        <w:gridCol w:w="6637"/>
        <w:gridCol w:w="60"/>
        <w:gridCol w:w="125"/>
        <w:gridCol w:w="860"/>
        <w:gridCol w:w="60"/>
        <w:gridCol w:w="127"/>
        <w:gridCol w:w="896"/>
      </w:tblGrid>
      <w:tr>
        <w:trPr/>
        <w:tc>
          <w:tcPr>
            <w:tcW w:w="6637" w:type="dxa"/>
            <w:tcBorders/>
            <w:vAlign w:val="bottom"/>
          </w:tcPr>
          <w:p>
            <w:pPr>
              <w:pStyle w:val="TableContents"/>
              <w:bidi w:val="0"/>
              <w:spacing w:before="0" w:after="0"/>
              <w:ind w:left="0" w:right="0" w:hanging="0"/>
              <w:jc w:val="left"/>
              <w:rPr>
                <w:rFonts w:cs="Times New Roman"/>
                <w:szCs w:val="2"/>
              </w:rPr>
            </w:pPr>
            <w:r>
              <w:rPr>
                <w:rFonts w:cs="Times New Roman"/>
                <w:szCs w:val="2"/>
              </w:rPr>
              <w:t>﻿</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0"/>
              <w:ind w:left="0" w:right="0" w:hanging="0"/>
              <w:jc w:val="left"/>
              <w:rPr/>
            </w:pPr>
            <w:r>
              <w:rPr/>
              <w:t> </w:t>
            </w:r>
          </w:p>
        </w:tc>
      </w:tr>
      <w:tr>
        <w:trPr/>
        <w:tc>
          <w:tcPr>
            <w:tcW w:w="6637" w:type="dxa"/>
            <w:tcBorders/>
            <w:vAlign w:val="bottom"/>
          </w:tcPr>
          <w:p>
            <w:pPr>
              <w:pStyle w:val="TableContents"/>
              <w:bidi w:val="0"/>
              <w:spacing w:before="0" w:after="0"/>
              <w:ind w:left="0" w:right="0" w:hanging="0"/>
              <w:jc w:val="left"/>
              <w:rPr>
                <w:rFonts w:cs="Arial"/>
                <w:bCs/>
                <w:color w:val="000000"/>
                <w:szCs w:val="4"/>
              </w:rPr>
            </w:pPr>
            <w:r>
              <w:rPr>
                <w:rFonts w:cs="Arial"/>
                <w:bCs/>
                <w:color w:val="000000"/>
                <w:szCs w:val="4"/>
              </w:rPr>
              <w:t>﻿</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right"/>
              <w:rPr/>
            </w:pPr>
            <w:r>
              <w:rPr/>
              <w:t> </w:t>
            </w:r>
          </w:p>
        </w:tc>
        <w:tc>
          <w:tcPr>
            <w:tcW w:w="86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right"/>
              <w:rPr/>
            </w:pPr>
            <w:r>
              <w:rPr/>
              <w:t> </w:t>
            </w:r>
          </w:p>
        </w:tc>
        <w:tc>
          <w:tcPr>
            <w:tcW w:w="896" w:type="dxa"/>
            <w:tcBorders/>
            <w:vAlign w:val="bottom"/>
          </w:tcPr>
          <w:p>
            <w:pPr>
              <w:pStyle w:val="TableContents"/>
              <w:bidi w:val="0"/>
              <w:spacing w:before="0" w:after="0"/>
              <w:ind w:left="0" w:right="0" w:hanging="0"/>
              <w:jc w:val="left"/>
              <w:rPr/>
            </w:pPr>
            <w:r>
              <w:rPr/>
              <w:t> </w:t>
            </w:r>
          </w:p>
        </w:tc>
      </w:tr>
      <w:tr>
        <w:trPr/>
        <w:tc>
          <w:tcPr>
            <w:tcW w:w="6637" w:type="dxa"/>
            <w:tcBorders/>
            <w:vAlign w:val="bottom"/>
          </w:tcPr>
          <w:p>
            <w:pPr>
              <w:pStyle w:val="TableContents"/>
              <w:bidi w:val="0"/>
              <w:spacing w:before="0" w:after="0"/>
              <w:ind w:left="0" w:right="0" w:hanging="0"/>
              <w:jc w:val="left"/>
              <w:rPr>
                <w:rFonts w:cs="Times New Roman"/>
                <w:color w:val="000000"/>
                <w:szCs w:val="16"/>
              </w:rPr>
            </w:pPr>
            <w:r>
              <w:rPr>
                <w:rFonts w:cs="Times New Roman"/>
                <w:color w:val="000000"/>
                <w:szCs w:val="16"/>
              </w:rPr>
              <w:t>﻿</w:t>
            </w:r>
          </w:p>
        </w:tc>
        <w:tc>
          <w:tcPr>
            <w:tcW w:w="60" w:type="dxa"/>
            <w:tcBorders/>
            <w:vAlign w:val="bottom"/>
          </w:tcPr>
          <w:p>
            <w:pPr>
              <w:pStyle w:val="TableContents"/>
              <w:bidi w:val="0"/>
              <w:spacing w:before="0" w:after="0"/>
              <w:ind w:left="0" w:right="0" w:hanging="0"/>
              <w:jc w:val="left"/>
              <w:rPr/>
            </w:pPr>
            <w:r>
              <w:rPr/>
              <w:t> </w:t>
            </w:r>
          </w:p>
        </w:tc>
        <w:tc>
          <w:tcPr>
            <w:tcW w:w="985" w:type="dxa"/>
            <w:gridSpan w:val="2"/>
            <w:tcBorders/>
            <w:vAlign w:val="bottom"/>
          </w:tcPr>
          <w:p>
            <w:pPr>
              <w:pStyle w:val="TableContents"/>
              <w:bidi w:val="0"/>
              <w:spacing w:before="0" w:after="0"/>
              <w:ind w:left="0" w:right="0" w:hanging="0"/>
              <w:jc w:val="center"/>
              <w:rPr>
                <w:rFonts w:ascii="Times New Roman" w:hAnsi="Times New Roman"/>
                <w:b/>
                <w:color w:val="000000"/>
                <w:sz w:val="16"/>
              </w:rPr>
            </w:pPr>
            <w:r>
              <w:rPr>
                <w:rFonts w:ascii="Times New Roman" w:hAnsi="Times New Roman"/>
                <w:b/>
                <w:color w:val="000000"/>
                <w:sz w:val="16"/>
              </w:rPr>
              <w:t>March 31,</w:t>
            </w:r>
          </w:p>
        </w:tc>
        <w:tc>
          <w:tcPr>
            <w:tcW w:w="60" w:type="dxa"/>
            <w:tcBorders/>
            <w:vAlign w:val="bottom"/>
          </w:tcPr>
          <w:p>
            <w:pPr>
              <w:pStyle w:val="TableContents"/>
              <w:bidi w:val="0"/>
              <w:spacing w:before="0" w:after="0"/>
              <w:ind w:left="0" w:right="0" w:hanging="0"/>
              <w:jc w:val="center"/>
              <w:rPr/>
            </w:pPr>
            <w:r>
              <w:rPr/>
              <w:t> </w:t>
            </w:r>
          </w:p>
        </w:tc>
        <w:tc>
          <w:tcPr>
            <w:tcW w:w="1023" w:type="dxa"/>
            <w:gridSpan w:val="2"/>
            <w:tcBorders/>
            <w:vAlign w:val="bottom"/>
          </w:tcPr>
          <w:p>
            <w:pPr>
              <w:pStyle w:val="TableContents"/>
              <w:bidi w:val="0"/>
              <w:spacing w:before="0" w:after="0"/>
              <w:ind w:left="0" w:right="0" w:hanging="0"/>
              <w:jc w:val="center"/>
              <w:rPr>
                <w:rFonts w:ascii="Times New Roman" w:hAnsi="Times New Roman"/>
                <w:b/>
                <w:color w:val="000000"/>
                <w:sz w:val="16"/>
              </w:rPr>
            </w:pPr>
            <w:r>
              <w:rPr>
                <w:rFonts w:ascii="Times New Roman" w:hAnsi="Times New Roman"/>
                <w:b/>
                <w:color w:val="000000"/>
                <w:sz w:val="16"/>
              </w:rPr>
              <w:t>December 31,</w:t>
            </w:r>
          </w:p>
        </w:tc>
      </w:tr>
      <w:tr>
        <w:trPr/>
        <w:tc>
          <w:tcPr>
            <w:tcW w:w="6637" w:type="dxa"/>
            <w:tcBorders>
              <w:bottom w:val="single" w:sz="12" w:space="0" w:color="000000"/>
            </w:tcBorders>
            <w:tcMar>
              <w:bottom w:w="28" w:type="dxa"/>
            </w:tcMar>
            <w:vAlign w:val="bottom"/>
          </w:tcPr>
          <w:p>
            <w:pPr>
              <w:pStyle w:val="TableContents"/>
              <w:bidi w:val="0"/>
              <w:spacing w:before="0" w:after="0"/>
              <w:ind w:left="0" w:right="0" w:hanging="0"/>
              <w:jc w:val="left"/>
              <w:rPr>
                <w:rFonts w:cs="Times New Roman"/>
                <w:color w:val="000000"/>
                <w:szCs w:val="16"/>
              </w:rPr>
            </w:pPr>
            <w:r>
              <w:rPr>
                <w:rFonts w:cs="Times New Roman"/>
                <w:color w:val="000000"/>
                <w:szCs w:val="16"/>
              </w:rPr>
              <w:t>﻿</w:t>
            </w:r>
          </w:p>
        </w:tc>
        <w:tc>
          <w:tcPr>
            <w:tcW w:w="60" w:type="dxa"/>
            <w:tcBorders/>
            <w:vAlign w:val="bottom"/>
          </w:tcPr>
          <w:p>
            <w:pPr>
              <w:pStyle w:val="TableContents"/>
              <w:bidi w:val="0"/>
              <w:spacing w:before="0" w:after="0"/>
              <w:ind w:left="0" w:right="0" w:hanging="0"/>
              <w:jc w:val="left"/>
              <w:rPr/>
            </w:pPr>
            <w:r>
              <w:rPr/>
              <w:t> </w:t>
            </w:r>
          </w:p>
        </w:tc>
        <w:tc>
          <w:tcPr>
            <w:tcW w:w="985"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16"/>
              </w:rPr>
            </w:pPr>
            <w:r>
              <w:rPr>
                <w:rFonts w:ascii="Times New Roman" w:hAnsi="Times New Roman"/>
                <w:b/>
                <w:color w:val="000000"/>
                <w:sz w:val="16"/>
              </w:rPr>
              <w:t>2026</w:t>
            </w:r>
          </w:p>
        </w:tc>
        <w:tc>
          <w:tcPr>
            <w:tcW w:w="60" w:type="dxa"/>
            <w:tcBorders/>
            <w:vAlign w:val="bottom"/>
          </w:tcPr>
          <w:p>
            <w:pPr>
              <w:pStyle w:val="TableContents"/>
              <w:bidi w:val="0"/>
              <w:spacing w:before="0" w:after="0"/>
              <w:ind w:left="0" w:right="0" w:hanging="0"/>
              <w:jc w:val="center"/>
              <w:rPr/>
            </w:pPr>
            <w:r>
              <w:rPr/>
              <w:t> </w:t>
            </w:r>
          </w:p>
        </w:tc>
        <w:tc>
          <w:tcPr>
            <w:tcW w:w="1023"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16"/>
              </w:rPr>
            </w:pPr>
            <w:r>
              <w:rPr>
                <w:rFonts w:ascii="Times New Roman" w:hAnsi="Times New Roman"/>
                <w:b/>
                <w:color w:val="000000"/>
                <w:sz w:val="16"/>
              </w:rPr>
              <w:t>2025</w:t>
            </w:r>
          </w:p>
        </w:tc>
      </w:tr>
      <w:tr>
        <w:trPr/>
        <w:tc>
          <w:tcPr>
            <w:tcW w:w="6637" w:type="dxa"/>
            <w:tcBorders>
              <w:top w:val="single" w:sz="8" w:space="0" w:color="000000"/>
            </w:tcBorders>
            <w:tcMar>
              <w:top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ASSETS</w:t>
            </w:r>
          </w:p>
        </w:tc>
        <w:tc>
          <w:tcPr>
            <w:tcW w:w="60" w:type="dxa"/>
            <w:tcBorders/>
            <w:vAlign w:val="bottom"/>
          </w:tcPr>
          <w:p>
            <w:pPr>
              <w:pStyle w:val="TableContents"/>
              <w:bidi w:val="0"/>
              <w:spacing w:before="0" w:after="0"/>
              <w:ind w:left="0" w:right="0" w:hanging="0"/>
              <w:jc w:val="left"/>
              <w:rPr/>
            </w:pPr>
            <w:r>
              <w:rPr/>
              <w:t> </w:t>
            </w:r>
          </w:p>
        </w:tc>
        <w:tc>
          <w:tcPr>
            <w:tcW w:w="985" w:type="dxa"/>
            <w:gridSpan w:val="2"/>
            <w:tcBorders>
              <w:top w:val="single" w:sz="8" w:space="0" w:color="000000"/>
            </w:tcBorders>
            <w:tcMar>
              <w:top w:w="28" w:type="dxa"/>
            </w:tcMar>
            <w:vAlign w:val="bottom"/>
          </w:tcPr>
          <w:p>
            <w:pPr>
              <w:pStyle w:val="TableContents"/>
              <w:bidi w:val="0"/>
              <w:spacing w:before="0" w:after="0"/>
              <w:ind w:left="0" w:right="0" w:hanging="0"/>
              <w:jc w:val="center"/>
              <w:rPr>
                <w:rFonts w:ascii="Times New Roman" w:hAnsi="Times New Roman"/>
                <w:b/>
                <w:color w:val="000000"/>
                <w:sz w:val="16"/>
              </w:rPr>
            </w:pPr>
            <w:r>
              <w:rPr>
                <w:rFonts w:ascii="Times New Roman" w:hAnsi="Times New Roman"/>
                <w:b/>
                <w:color w:val="000000"/>
                <w:sz w:val="16"/>
              </w:rPr>
              <w:t>(Unaudited)</w:t>
            </w:r>
          </w:p>
        </w:tc>
        <w:tc>
          <w:tcPr>
            <w:tcW w:w="60" w:type="dxa"/>
            <w:tcBorders/>
            <w:vAlign w:val="bottom"/>
          </w:tcPr>
          <w:p>
            <w:pPr>
              <w:pStyle w:val="TableContents"/>
              <w:bidi w:val="0"/>
              <w:spacing w:before="0" w:after="0"/>
              <w:ind w:left="0" w:right="0" w:hanging="0"/>
              <w:jc w:val="center"/>
              <w:rPr/>
            </w:pPr>
            <w:r>
              <w:rPr/>
              <w:t> </w:t>
            </w:r>
          </w:p>
        </w:tc>
        <w:tc>
          <w:tcPr>
            <w:tcW w:w="127" w:type="dxa"/>
            <w:tcBorders>
              <w:top w:val="single" w:sz="8" w:space="0" w:color="000000"/>
            </w:tcBorders>
            <w:tcMar>
              <w:top w:w="28" w:type="dxa"/>
            </w:tcMar>
            <w:vAlign w:val="bottom"/>
          </w:tcPr>
          <w:p>
            <w:pPr>
              <w:pStyle w:val="TableContents"/>
              <w:bidi w:val="0"/>
              <w:spacing w:before="0" w:after="0"/>
              <w:ind w:left="0" w:right="0" w:hanging="0"/>
              <w:jc w:val="right"/>
              <w:rPr/>
            </w:pPr>
            <w:r>
              <w:rPr/>
              <w:t> </w:t>
            </w:r>
          </w:p>
        </w:tc>
        <w:tc>
          <w:tcPr>
            <w:tcW w:w="896"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r>
      <w:tr>
        <w:trPr/>
        <w:tc>
          <w:tcPr>
            <w:tcW w:w="6637" w:type="dxa"/>
            <w:tcBorders/>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Current Assets:</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right"/>
              <w:rPr/>
            </w:pPr>
            <w:r>
              <w:rPr/>
              <w:t> </w:t>
            </w:r>
          </w:p>
        </w:tc>
        <w:tc>
          <w:tcPr>
            <w:tcW w:w="860" w:type="dxa"/>
            <w:tcBorders/>
            <w:vAlign w:val="bottom"/>
          </w:tcPr>
          <w:p>
            <w:pPr>
              <w:pStyle w:val="TableContents"/>
              <w:bidi w:val="0"/>
              <w:spacing w:before="0" w:after="0"/>
              <w:ind w:left="0" w:right="0" w:hanging="0"/>
              <w:jc w:val="both"/>
              <w:rPr/>
            </w:pPr>
            <w:r>
              <w:rPr/>
              <w:t> </w:t>
            </w:r>
          </w:p>
        </w:tc>
        <w:tc>
          <w:tcPr>
            <w:tcW w:w="60" w:type="dxa"/>
            <w:tcBorders/>
            <w:vAlign w:val="bottom"/>
          </w:tcPr>
          <w:p>
            <w:pPr>
              <w:pStyle w:val="TableContents"/>
              <w:bidi w:val="0"/>
              <w:spacing w:before="0" w:after="0"/>
              <w:ind w:left="0" w:right="0" w:hanging="0"/>
              <w:jc w:val="both"/>
              <w:rPr/>
            </w:pPr>
            <w:r>
              <w:rPr/>
              <w:t> </w:t>
            </w:r>
          </w:p>
        </w:tc>
        <w:tc>
          <w:tcPr>
            <w:tcW w:w="127" w:type="dxa"/>
            <w:tcBorders/>
            <w:vAlign w:val="bottom"/>
          </w:tcPr>
          <w:p>
            <w:pPr>
              <w:pStyle w:val="TableContents"/>
              <w:bidi w:val="0"/>
              <w:spacing w:before="0" w:after="0"/>
              <w:ind w:left="0" w:right="0" w:hanging="0"/>
              <w:jc w:val="right"/>
              <w:rPr/>
            </w:pPr>
            <w:r>
              <w:rPr/>
              <w:t> </w:t>
            </w:r>
          </w:p>
        </w:tc>
        <w:tc>
          <w:tcPr>
            <w:tcW w:w="896" w:type="dxa"/>
            <w:tcBorders/>
            <w:vAlign w:val="bottom"/>
          </w:tcPr>
          <w:p>
            <w:pPr>
              <w:pStyle w:val="TableContents"/>
              <w:bidi w:val="0"/>
              <w:spacing w:before="0" w:after="0"/>
              <w:ind w:left="0" w:right="0" w:hanging="0"/>
              <w:jc w:val="both"/>
              <w:rPr/>
            </w:pPr>
            <w:r>
              <w:rPr/>
              <w:t> </w:t>
            </w:r>
          </w:p>
        </w:tc>
      </w:tr>
      <w:tr>
        <w:trPr/>
        <w:tc>
          <w:tcPr>
            <w:tcW w:w="6637"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Cash and cash equivalents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86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5,524 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896"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10,531  </w:t>
            </w:r>
          </w:p>
        </w:tc>
      </w:tr>
      <w:tr>
        <w:trPr/>
        <w:tc>
          <w:tcPr>
            <w:tcW w:w="663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Restricted cash</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2,342 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2,327  </w:t>
            </w:r>
          </w:p>
        </w:tc>
      </w:tr>
      <w:tr>
        <w:trPr/>
        <w:tc>
          <w:tcPr>
            <w:tcW w:w="6637"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Receivables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4,270 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4,553  </w:t>
            </w:r>
          </w:p>
        </w:tc>
      </w:tr>
      <w:tr>
        <w:trPr/>
        <w:tc>
          <w:tcPr>
            <w:tcW w:w="663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Inventories</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1,629 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1,664  </w:t>
            </w:r>
          </w:p>
        </w:tc>
      </w:tr>
      <w:tr>
        <w:trPr/>
        <w:tc>
          <w:tcPr>
            <w:tcW w:w="6637"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Prepaid and other current assets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6,610 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2,281  </w:t>
            </w:r>
          </w:p>
        </w:tc>
      </w:tr>
      <w:tr>
        <w:trPr/>
        <w:tc>
          <w:tcPr>
            <w:tcW w:w="6637" w:type="dxa"/>
            <w:tcBorders>
              <w:bottom w:val="single" w:sz="8" w:space="0" w:color="000000"/>
            </w:tcBorders>
            <w:tcMar>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Asset groups held for sale</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86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24,451  </w:t>
            </w:r>
          </w:p>
        </w:tc>
        <w:tc>
          <w:tcPr>
            <w:tcW w:w="60" w:type="dxa"/>
            <w:tcBorders/>
            <w:vAlign w:val="bottom"/>
          </w:tcPr>
          <w:p>
            <w:pPr>
              <w:pStyle w:val="TableContents"/>
              <w:bidi w:val="0"/>
              <w:spacing w:before="0" w:after="0"/>
              <w:ind w:left="0" w:right="0" w:hanging="0"/>
              <w:jc w:val="left"/>
              <w:rPr/>
            </w:pPr>
            <w:r>
              <w:rPr/>
              <w:t> </w:t>
            </w:r>
          </w:p>
        </w:tc>
        <w:tc>
          <w:tcPr>
            <w:tcW w:w="127"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896"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460  </w:t>
            </w:r>
          </w:p>
        </w:tc>
      </w:tr>
      <w:tr>
        <w:trPr/>
        <w:tc>
          <w:tcPr>
            <w:tcW w:w="6637"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Total current assets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860"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44,826 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896"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21,816  </w:t>
            </w:r>
          </w:p>
        </w:tc>
      </w:tr>
      <w:tr>
        <w:trPr/>
        <w:tc>
          <w:tcPr>
            <w:tcW w:w="6637"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properties, net</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182,957 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207,974  </w:t>
            </w:r>
          </w:p>
        </w:tc>
      </w:tr>
      <w:tr>
        <w:trPr/>
        <w:tc>
          <w:tcPr>
            <w:tcW w:w="6637"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right-of-use assets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161,932 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159,659  </w:t>
            </w:r>
          </w:p>
        </w:tc>
      </w:tr>
      <w:tr>
        <w:trPr/>
        <w:tc>
          <w:tcPr>
            <w:tcW w:w="6637"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Investment in unconsolidated joint ventures</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3,320 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3,264  </w:t>
            </w:r>
          </w:p>
        </w:tc>
      </w:tr>
      <w:tr>
        <w:trPr/>
        <w:tc>
          <w:tcPr>
            <w:tcW w:w="6637"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Goodwill</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24,818 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24,603  </w:t>
            </w:r>
          </w:p>
        </w:tc>
      </w:tr>
      <w:tr>
        <w:trPr/>
        <w:tc>
          <w:tcPr>
            <w:tcW w:w="6637"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Intangible assets, net</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1,551 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1,576  </w:t>
            </w:r>
          </w:p>
        </w:tc>
      </w:tr>
      <w:tr>
        <w:trPr/>
        <w:tc>
          <w:tcPr>
            <w:tcW w:w="6637"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tax asset, net</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2,499 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2,619  </w:t>
            </w:r>
          </w:p>
        </w:tc>
      </w:tr>
      <w:tr>
        <w:trPr/>
        <w:tc>
          <w:tcPr>
            <w:tcW w:w="6637" w:type="dxa"/>
            <w:tcBorders>
              <w:bottom w:val="single" w:sz="8" w:space="0" w:color="000000"/>
            </w:tcBorders>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assets</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86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9,577  </w:t>
            </w:r>
          </w:p>
        </w:tc>
        <w:tc>
          <w:tcPr>
            <w:tcW w:w="60" w:type="dxa"/>
            <w:tcBorders/>
            <w:vAlign w:val="bottom"/>
          </w:tcPr>
          <w:p>
            <w:pPr>
              <w:pStyle w:val="TableContents"/>
              <w:bidi w:val="0"/>
              <w:spacing w:before="0" w:after="0"/>
              <w:ind w:left="0" w:right="0" w:hanging="0"/>
              <w:jc w:val="left"/>
              <w:rPr/>
            </w:pPr>
            <w:r>
              <w:rPr/>
              <w:t> </w:t>
            </w:r>
          </w:p>
        </w:tc>
        <w:tc>
          <w:tcPr>
            <w:tcW w:w="127"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896"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13,418  </w:t>
            </w:r>
          </w:p>
        </w:tc>
      </w:tr>
      <w:tr>
        <w:trPr/>
        <w:tc>
          <w:tcPr>
            <w:tcW w:w="6637"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Total assets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860"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431,480 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896"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434,929  </w:t>
            </w:r>
          </w:p>
        </w:tc>
      </w:tr>
      <w:tr>
        <w:trPr/>
        <w:tc>
          <w:tcPr>
            <w:tcW w:w="6637" w:type="dxa"/>
            <w:tcBorders>
              <w:top w:val="single" w:sz="8" w:space="0" w:color="000000"/>
            </w:tcBorders>
            <w:tcMar>
              <w:top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LIABILITIES AND STOCKHOLDERS' EQUITY</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860"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7"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896"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r>
      <w:tr>
        <w:trPr/>
        <w:tc>
          <w:tcPr>
            <w:tcW w:w="6637" w:type="dxa"/>
            <w:tcBorders/>
            <w:shd w:fill="CCEEFF" w:val="cle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Current Liabilities: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shd w:fill="CCEEFF" w:val="clear"/>
            <w:vAlign w:val="bottom"/>
          </w:tcPr>
          <w:p>
            <w:pPr>
              <w:pStyle w:val="TableContents"/>
              <w:bidi w:val="0"/>
              <w:spacing w:before="0" w:after="0"/>
              <w:ind w:left="0" w:right="0" w:hanging="0"/>
              <w:jc w:val="left"/>
              <w:rPr/>
            </w:pPr>
            <w:r>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shd w:fill="CCEEFF" w:val="clear"/>
            <w:vAlign w:val="bottom"/>
          </w:tcPr>
          <w:p>
            <w:pPr>
              <w:pStyle w:val="TableContents"/>
              <w:bidi w:val="0"/>
              <w:spacing w:before="0" w:after="0"/>
              <w:ind w:left="0" w:right="0" w:hanging="0"/>
              <w:jc w:val="left"/>
              <w:rPr/>
            </w:pPr>
            <w:r>
              <w:rPr/>
              <w:t> </w:t>
            </w:r>
          </w:p>
        </w:tc>
      </w:tr>
      <w:tr>
        <w:trPr/>
        <w:tc>
          <w:tcPr>
            <w:tcW w:w="663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Accounts payable and accrued liabilities</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86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59,535 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896"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52,826  </w:t>
            </w:r>
          </w:p>
        </w:tc>
      </w:tr>
      <w:tr>
        <w:trPr/>
        <w:tc>
          <w:tcPr>
            <w:tcW w:w="6637"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Film rent payable</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3,280 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6,973  </w:t>
            </w:r>
          </w:p>
        </w:tc>
      </w:tr>
      <w:tr>
        <w:trPr/>
        <w:tc>
          <w:tcPr>
            <w:tcW w:w="663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Debt - current portion</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35,513 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35,999  </w:t>
            </w:r>
          </w:p>
        </w:tc>
      </w:tr>
      <w:tr>
        <w:trPr/>
        <w:tc>
          <w:tcPr>
            <w:tcW w:w="6637"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Derivative financial instruments - current portion</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16 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56  </w:t>
            </w:r>
          </w:p>
        </w:tc>
      </w:tr>
      <w:tr>
        <w:trPr/>
        <w:tc>
          <w:tcPr>
            <w:tcW w:w="663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Taxes payable - current</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211 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545  </w:t>
            </w:r>
          </w:p>
        </w:tc>
      </w:tr>
      <w:tr>
        <w:trPr/>
        <w:tc>
          <w:tcPr>
            <w:tcW w:w="6637"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Deferred current revenue</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11,220 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11,327  </w:t>
            </w:r>
          </w:p>
        </w:tc>
      </w:tr>
      <w:tr>
        <w:trPr/>
        <w:tc>
          <w:tcPr>
            <w:tcW w:w="663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Operating lease liabilities - current portion</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20,392 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20,081  </w:t>
            </w:r>
          </w:p>
        </w:tc>
      </w:tr>
      <w:tr>
        <w:trPr/>
        <w:tc>
          <w:tcPr>
            <w:tcW w:w="6637"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Other current liabilities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86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782 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896"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774  </w:t>
            </w:r>
          </w:p>
        </w:tc>
      </w:tr>
      <w:tr>
        <w:trPr/>
        <w:tc>
          <w:tcPr>
            <w:tcW w:w="6637" w:type="dxa"/>
            <w:tcBorders>
              <w:top w:val="single" w:sz="8" w:space="0" w:color="000000"/>
            </w:tcBorders>
            <w:tcMar>
              <w:top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Total current liabilities</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86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130,949  </w:t>
            </w:r>
          </w:p>
        </w:tc>
        <w:tc>
          <w:tcPr>
            <w:tcW w:w="60" w:type="dxa"/>
            <w:tcBorders/>
            <w:vAlign w:val="bottom"/>
          </w:tcPr>
          <w:p>
            <w:pPr>
              <w:pStyle w:val="TableContents"/>
              <w:bidi w:val="0"/>
              <w:spacing w:before="0" w:after="0"/>
              <w:ind w:left="0" w:right="0" w:hanging="0"/>
              <w:jc w:val="left"/>
              <w:rPr/>
            </w:pPr>
            <w:r>
              <w:rPr/>
              <w:t> </w:t>
            </w:r>
          </w:p>
        </w:tc>
        <w:tc>
          <w:tcPr>
            <w:tcW w:w="127"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896"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128,581  </w:t>
            </w:r>
          </w:p>
        </w:tc>
      </w:tr>
      <w:tr>
        <w:trPr/>
        <w:tc>
          <w:tcPr>
            <w:tcW w:w="6637"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Debt - long-term portion</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114,548 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114,350  </w:t>
            </w:r>
          </w:p>
        </w:tc>
      </w:tr>
      <w:tr>
        <w:trPr/>
        <w:tc>
          <w:tcPr>
            <w:tcW w:w="663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Subordinated debt, non-current portion</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27,672 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27,617  </w:t>
            </w:r>
          </w:p>
        </w:tc>
      </w:tr>
      <w:tr>
        <w:trPr/>
        <w:tc>
          <w:tcPr>
            <w:tcW w:w="6637"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Noncurrent tax liabilities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6,384 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6,434  </w:t>
            </w:r>
          </w:p>
        </w:tc>
      </w:tr>
      <w:tr>
        <w:trPr/>
        <w:tc>
          <w:tcPr>
            <w:tcW w:w="663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Operating lease liabilities - non-current portion</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164,128 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162,919  </w:t>
            </w:r>
          </w:p>
        </w:tc>
      </w:tr>
      <w:tr>
        <w:trPr/>
        <w:tc>
          <w:tcPr>
            <w:tcW w:w="6637"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Other liabilities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13,186 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13,126  </w:t>
            </w:r>
          </w:p>
        </w:tc>
      </w:tr>
      <w:tr>
        <w:trPr/>
        <w:tc>
          <w:tcPr>
            <w:tcW w:w="6637" w:type="dxa"/>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Total liabilities</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860"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456,867 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896"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453,027  </w:t>
            </w:r>
          </w:p>
        </w:tc>
      </w:tr>
      <w:tr>
        <w:trPr/>
        <w:tc>
          <w:tcPr>
            <w:tcW w:w="6637" w:type="dxa"/>
            <w:tcBorders>
              <w:top w:val="single" w:sz="8" w:space="0" w:color="000000"/>
            </w:tcBorders>
            <w:shd w:fill="CCEEFF" w:val="clear"/>
            <w:tcMar>
              <w:top w:w="28" w:type="dxa"/>
            </w:tcMar>
            <w:vAlign w:val="center"/>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Commitments and contingencies (Note 16)</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r>
      <w:tr>
        <w:trPr/>
        <w:tc>
          <w:tcPr>
            <w:tcW w:w="6637" w:type="dxa"/>
            <w:tcBorders/>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Stockholders’ equity:</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0"/>
              <w:ind w:left="0" w:right="0" w:hanging="0"/>
              <w:jc w:val="left"/>
              <w:rPr/>
            </w:pPr>
            <w:r>
              <w:rPr/>
              <w:t> </w:t>
            </w:r>
          </w:p>
        </w:tc>
      </w:tr>
      <w:tr>
        <w:trPr/>
        <w:tc>
          <w:tcPr>
            <w:tcW w:w="6637"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Class A non-voting common shares, par value $0.01, 100,000,000 shares authorized,</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shd w:fill="CCEEFF" w:val="clear"/>
            <w:vAlign w:val="bottom"/>
          </w:tcPr>
          <w:p>
            <w:pPr>
              <w:pStyle w:val="TableContents"/>
              <w:bidi w:val="0"/>
              <w:spacing w:before="0" w:after="0"/>
              <w:ind w:left="0" w:right="0" w:hanging="0"/>
              <w:jc w:val="left"/>
              <w:rPr/>
            </w:pPr>
            <w:r>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shd w:fill="CCEEFF" w:val="clear"/>
            <w:vAlign w:val="bottom"/>
          </w:tcPr>
          <w:p>
            <w:pPr>
              <w:pStyle w:val="TableContents"/>
              <w:bidi w:val="0"/>
              <w:spacing w:before="0" w:after="0"/>
              <w:ind w:left="0" w:right="0" w:hanging="0"/>
              <w:jc w:val="left"/>
              <w:rPr/>
            </w:pPr>
            <w:r>
              <w:rPr/>
              <w:t> </w:t>
            </w:r>
          </w:p>
        </w:tc>
      </w:tr>
      <w:tr>
        <w:trPr/>
        <w:tc>
          <w:tcPr>
            <w:tcW w:w="6637" w:type="dxa"/>
            <w:tcBorders/>
            <w:vAlign w:val="bottom"/>
          </w:tcPr>
          <w:p>
            <w:pPr>
              <w:pStyle w:val="TableContents"/>
              <w:bidi w:val="0"/>
              <w:spacing w:before="0" w:after="0"/>
              <w:ind w:left="120" w:right="0" w:hanging="0"/>
              <w:jc w:val="left"/>
              <w:rPr>
                <w:rFonts w:ascii="Times New Roman" w:hAnsi="Times New Roman"/>
                <w:color w:val="000000"/>
                <w:sz w:val="20"/>
              </w:rPr>
            </w:pPr>
            <w:r>
              <w:rPr>
                <w:rFonts w:ascii="Times New Roman" w:hAnsi="Times New Roman"/>
                <w:color w:val="000000"/>
                <w:sz w:val="20"/>
              </w:rPr>
              <w:t xml:space="preserve">33,972,781 issued and 21,036,670 outstanding at March 31, 2026 and </w:t>
            </w:r>
          </w:p>
        </w:tc>
        <w:tc>
          <w:tcPr>
            <w:tcW w:w="60" w:type="dxa"/>
            <w:tcBorders/>
            <w:vAlign w:val="bottom"/>
          </w:tcPr>
          <w:p>
            <w:pPr>
              <w:pStyle w:val="TableContents"/>
              <w:bidi w:val="0"/>
              <w:spacing w:before="0" w:after="0"/>
              <w:ind w:left="12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0"/>
              <w:ind w:left="0" w:right="0" w:hanging="0"/>
              <w:jc w:val="left"/>
              <w:rPr/>
            </w:pPr>
            <w:r>
              <w:rPr/>
              <w:t> </w:t>
            </w:r>
          </w:p>
        </w:tc>
      </w:tr>
      <w:tr>
        <w:trPr/>
        <w:tc>
          <w:tcPr>
            <w:tcW w:w="6637" w:type="dxa"/>
            <w:tcBorders/>
            <w:shd w:fill="CCEEFF" w:val="clear"/>
            <w:vAlign w:val="bottom"/>
          </w:tcPr>
          <w:p>
            <w:pPr>
              <w:pStyle w:val="TableContents"/>
              <w:bidi w:val="0"/>
              <w:spacing w:before="0" w:after="0"/>
              <w:ind w:left="120" w:right="0" w:hanging="0"/>
              <w:jc w:val="left"/>
              <w:rPr>
                <w:rFonts w:ascii="Times New Roman" w:hAnsi="Times New Roman"/>
                <w:color w:val="000000"/>
                <w:sz w:val="20"/>
              </w:rPr>
            </w:pPr>
            <w:r>
              <w:rPr>
                <w:rFonts w:ascii="Times New Roman" w:hAnsi="Times New Roman"/>
                <w:color w:val="000000"/>
                <w:sz w:val="20"/>
              </w:rPr>
              <w:t>33,972,781 issued and 21,036,670 outstanding at December 31, 2025</w:t>
            </w:r>
          </w:p>
        </w:tc>
        <w:tc>
          <w:tcPr>
            <w:tcW w:w="60" w:type="dxa"/>
            <w:tcBorders/>
            <w:shd w:fill="CCEEFF" w:val="clear"/>
            <w:vAlign w:val="bottom"/>
          </w:tcPr>
          <w:p>
            <w:pPr>
              <w:pStyle w:val="TableContents"/>
              <w:bidi w:val="0"/>
              <w:spacing w:before="0" w:after="0"/>
              <w:ind w:left="12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241 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241  </w:t>
            </w:r>
          </w:p>
        </w:tc>
      </w:tr>
      <w:tr>
        <w:trPr/>
        <w:tc>
          <w:tcPr>
            <w:tcW w:w="663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Class B voting common shares, par value $0.01, 20,000,000 shares authorized and</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0"/>
              <w:ind w:left="0" w:right="0" w:hanging="0"/>
              <w:jc w:val="left"/>
              <w:rPr/>
            </w:pPr>
            <w:r>
              <w:rPr/>
              <w:t> </w:t>
            </w:r>
          </w:p>
        </w:tc>
      </w:tr>
      <w:tr>
        <w:trPr/>
        <w:tc>
          <w:tcPr>
            <w:tcW w:w="6637" w:type="dxa"/>
            <w:tcBorders/>
            <w:shd w:fill="CCEEFF" w:val="clear"/>
            <w:vAlign w:val="bottom"/>
          </w:tcPr>
          <w:p>
            <w:pPr>
              <w:pStyle w:val="TableContents"/>
              <w:bidi w:val="0"/>
              <w:spacing w:before="0" w:after="0"/>
              <w:ind w:left="120" w:right="0" w:hanging="0"/>
              <w:jc w:val="left"/>
              <w:rPr>
                <w:rFonts w:ascii="Times New Roman" w:hAnsi="Times New Roman"/>
                <w:color w:val="000000"/>
                <w:sz w:val="20"/>
              </w:rPr>
            </w:pPr>
            <w:r>
              <w:rPr>
                <w:rFonts w:ascii="Times New Roman" w:hAnsi="Times New Roman"/>
                <w:color w:val="000000"/>
                <w:sz w:val="20"/>
              </w:rPr>
              <w:t>1,680,590 issued and outstanding at March 31, 2026 and December 31, 2025</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17 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17  </w:t>
            </w:r>
          </w:p>
        </w:tc>
      </w:tr>
      <w:tr>
        <w:trPr/>
        <w:tc>
          <w:tcPr>
            <w:tcW w:w="663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Nonvoting preferred shares, par value $0.01, 12,000 shares authorized and no issued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0"/>
              <w:ind w:left="0" w:right="0" w:hanging="0"/>
              <w:jc w:val="left"/>
              <w:rPr/>
            </w:pPr>
            <w:r>
              <w:rPr/>
              <w:t> </w:t>
            </w:r>
          </w:p>
        </w:tc>
      </w:tr>
      <w:tr>
        <w:trPr/>
        <w:tc>
          <w:tcPr>
            <w:tcW w:w="6637" w:type="dxa"/>
            <w:tcBorders/>
            <w:shd w:fill="CCEEFF" w:val="clear"/>
            <w:vAlign w:val="bottom"/>
          </w:tcPr>
          <w:p>
            <w:pPr>
              <w:pStyle w:val="TableContents"/>
              <w:bidi w:val="0"/>
              <w:spacing w:before="0" w:after="0"/>
              <w:ind w:left="120" w:right="0" w:hanging="0"/>
              <w:jc w:val="left"/>
              <w:rPr>
                <w:rFonts w:ascii="Times New Roman" w:hAnsi="Times New Roman"/>
                <w:color w:val="000000"/>
                <w:sz w:val="20"/>
              </w:rPr>
            </w:pPr>
            <w:r>
              <w:rPr>
                <w:rFonts w:ascii="Times New Roman" w:hAnsi="Times New Roman"/>
                <w:color w:val="000000"/>
                <w:sz w:val="20"/>
              </w:rPr>
              <w:t>or outstanding shares at March 31, 2026 and December 31, 2025</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shd w:fill="CCEEFF" w:val="clear"/>
            <w:vAlign w:val="bottom"/>
          </w:tcPr>
          <w:p>
            <w:pPr>
              <w:pStyle w:val="TableContents"/>
              <w:bidi w:val="0"/>
              <w:spacing w:before="0" w:after="0"/>
              <w:ind w:left="0" w:right="65" w:hanging="0"/>
              <w:jc w:val="right"/>
              <w:rPr>
                <w:color w:val="000000"/>
              </w:rPr>
            </w:pPr>
            <w:r>
              <w:rPr>
                <w:color w:val="000000"/>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shd w:fill="CCEEFF" w:val="clear"/>
            <w:vAlign w:val="bottom"/>
          </w:tcPr>
          <w:p>
            <w:pPr>
              <w:pStyle w:val="TableContents"/>
              <w:bidi w:val="0"/>
              <w:spacing w:before="0" w:after="0"/>
              <w:ind w:left="0" w:right="65" w:hanging="0"/>
              <w:jc w:val="right"/>
              <w:rPr>
                <w:color w:val="000000"/>
              </w:rPr>
            </w:pPr>
            <w:r>
              <w:rPr>
                <w:color w:val="000000"/>
              </w:rPr>
              <w:t> —</w:t>
            </w:r>
          </w:p>
        </w:tc>
      </w:tr>
      <w:tr>
        <w:trPr/>
        <w:tc>
          <w:tcPr>
            <w:tcW w:w="663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Additional paid-in capital</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155,822 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155,454  </w:t>
            </w:r>
          </w:p>
        </w:tc>
      </w:tr>
      <w:tr>
        <w:trPr/>
        <w:tc>
          <w:tcPr>
            <w:tcW w:w="6637"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Retained earnings (accumulated deficit)</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(137,077)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(128,930) </w:t>
            </w:r>
          </w:p>
        </w:tc>
      </w:tr>
      <w:tr>
        <w:trPr/>
        <w:tc>
          <w:tcPr>
            <w:tcW w:w="663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Treasury shares, at cost</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(40,407)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(40,407) </w:t>
            </w:r>
          </w:p>
        </w:tc>
      </w:tr>
      <w:tr>
        <w:trPr/>
        <w:tc>
          <w:tcPr>
            <w:tcW w:w="6637"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Accumulated other comprehensive income</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86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(4,141)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896"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(4,614) </w:t>
            </w:r>
          </w:p>
        </w:tc>
      </w:tr>
      <w:tr>
        <w:trPr/>
        <w:tc>
          <w:tcPr>
            <w:tcW w:w="6637" w:type="dxa"/>
            <w:tcBorders>
              <w:top w:val="single" w:sz="8" w:space="0" w:color="000000"/>
            </w:tcBorders>
            <w:tcMar>
              <w:top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Total Reading International, Inc. stockholders’ equity</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86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(25,545) </w:t>
            </w:r>
          </w:p>
        </w:tc>
        <w:tc>
          <w:tcPr>
            <w:tcW w:w="60" w:type="dxa"/>
            <w:tcBorders/>
            <w:vAlign w:val="bottom"/>
          </w:tcPr>
          <w:p>
            <w:pPr>
              <w:pStyle w:val="TableContents"/>
              <w:bidi w:val="0"/>
              <w:spacing w:before="0" w:after="0"/>
              <w:ind w:left="0" w:right="0" w:hanging="0"/>
              <w:jc w:val="left"/>
              <w:rPr/>
            </w:pPr>
            <w:r>
              <w:rPr/>
              <w:t> </w:t>
            </w:r>
          </w:p>
        </w:tc>
        <w:tc>
          <w:tcPr>
            <w:tcW w:w="127"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896"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(18,239) </w:t>
            </w:r>
          </w:p>
        </w:tc>
      </w:tr>
      <w:tr>
        <w:trPr/>
        <w:tc>
          <w:tcPr>
            <w:tcW w:w="6637"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Noncontrolling interests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86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158 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896"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141  </w:t>
            </w:r>
          </w:p>
        </w:tc>
      </w:tr>
      <w:tr>
        <w:trPr/>
        <w:tc>
          <w:tcPr>
            <w:tcW w:w="6637" w:type="dxa"/>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Total stockholders’ equity</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left"/>
              <w:rPr/>
            </w:pPr>
            <w:r>
              <w:rPr/>
              <w:t> </w:t>
            </w:r>
          </w:p>
        </w:tc>
        <w:tc>
          <w:tcPr>
            <w:tcW w:w="860"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(25,387) </w:t>
            </w:r>
          </w:p>
        </w:tc>
        <w:tc>
          <w:tcPr>
            <w:tcW w:w="60" w:type="dxa"/>
            <w:tcBorders/>
            <w:vAlign w:val="bottom"/>
          </w:tcPr>
          <w:p>
            <w:pPr>
              <w:pStyle w:val="TableContents"/>
              <w:bidi w:val="0"/>
              <w:spacing w:before="0" w:after="0"/>
              <w:ind w:left="0" w:right="0" w:hanging="0"/>
              <w:jc w:val="left"/>
              <w:rPr/>
            </w:pPr>
            <w:r>
              <w:rPr/>
              <w:t> </w:t>
            </w:r>
          </w:p>
        </w:tc>
        <w:tc>
          <w:tcPr>
            <w:tcW w:w="127" w:type="dxa"/>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left"/>
              <w:rPr/>
            </w:pPr>
            <w:r>
              <w:rPr/>
              <w:t> </w:t>
            </w:r>
          </w:p>
        </w:tc>
        <w:tc>
          <w:tcPr>
            <w:tcW w:w="896"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(18,098) </w:t>
            </w:r>
          </w:p>
        </w:tc>
      </w:tr>
      <w:tr>
        <w:trPr/>
        <w:tc>
          <w:tcPr>
            <w:tcW w:w="6637"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860"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431,480 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896"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434,929  </w:t>
            </w:r>
          </w:p>
        </w:tc>
      </w:tr>
    </w:tbl>
    <w:p>
      <w:pPr>
        <w:pStyle w:val="TextBody"/>
        <w:bidi w:val="0"/>
        <w:spacing w:before="0" w:after="0"/>
        <w:ind w:left="720" w:right="720" w:hanging="0"/>
        <w:jc w:val="left"/>
        <w:rPr>
          <w:rFonts w:cs="Times New Roman"/>
          <w:szCs w:val="20"/>
        </w:rPr>
      </w:pPr>
      <w:r>
        <w:rPr>
          <w:rFonts w:cs="Times New Roman"/>
          <w:szCs w:val="20"/>
        </w:rPr>
        <w:t xml:space="preserve">﻿ </w:t>
      </w:r>
    </w:p>
    <w:p>
      <w:pPr>
        <w:pStyle w:val="TextBody"/>
        <w:bidi w:val="0"/>
        <w:spacing w:before="0" w:after="0"/>
        <w:ind w:left="720" w:right="720" w:hanging="0"/>
        <w:jc w:val="left"/>
        <w:rPr>
          <w:rFonts w:cs="Times New Roman"/>
          <w:szCs w:val="20"/>
        </w:rPr>
      </w:pPr>
      <w:r>
        <w:rPr>
          <w:rFonts w:cs="Times New Roman"/>
          <w:szCs w:val="20"/>
        </w:rPr>
        <w:t xml:space="preserve">﻿ </w:t>
      </w:r>
    </w:p>
    <w:p>
      <w:pPr>
        <w:pStyle w:val="TextBody"/>
        <w:bidi w:val="0"/>
        <w:spacing w:before="0" w:after="0"/>
        <w:ind w:left="720" w:right="720" w:hanging="0"/>
        <w:jc w:val="both"/>
        <w:rPr>
          <w:rFonts w:ascii="Times New Roman" w:hAnsi="Times New Roman"/>
          <w:sz w:val="20"/>
        </w:rPr>
      </w:pPr>
      <w:r>
        <w:rPr>
          <w:rFonts w:ascii="Times New Roman" w:hAnsi="Times New Roman"/>
          <w:b/>
          <w:color w:val="000000"/>
          <w:sz w:val="20"/>
        </w:rPr>
        <w:t>Reading International, Inc. and Subsidiaries</w:t>
      </w:r>
      <w:r>
        <w:rPr>
          <w:rFonts w:ascii="Times New Roman" w:hAnsi="Times New Roman"/>
          <w:sz w:val="20"/>
        </w:rPr>
        <w:t xml:space="preserve"> </w:t>
      </w:r>
    </w:p>
    <w:p>
      <w:pPr>
        <w:pStyle w:val="TextBody"/>
        <w:bidi w:val="0"/>
        <w:spacing w:before="0" w:after="0"/>
        <w:ind w:left="720" w:right="720" w:hanging="0"/>
        <w:jc w:val="both"/>
        <w:rPr>
          <w:rFonts w:ascii="Times New Roman" w:hAnsi="Times New Roman"/>
          <w:sz w:val="20"/>
        </w:rPr>
      </w:pPr>
      <w:r>
        <w:rPr>
          <w:rFonts w:ascii="Times New Roman" w:hAnsi="Times New Roman"/>
          <w:b/>
          <w:sz w:val="20"/>
        </w:rPr>
        <w:t>Segment Results</w:t>
      </w:r>
      <w:r>
        <w:rPr>
          <w:rFonts w:ascii="Times New Roman" w:hAnsi="Times New Roman"/>
          <w:sz w:val="20"/>
        </w:rPr>
        <w:t xml:space="preserve"> </w:t>
      </w:r>
    </w:p>
    <w:p>
      <w:pPr>
        <w:pStyle w:val="TextBody"/>
        <w:bidi w:val="0"/>
        <w:spacing w:before="0" w:after="0"/>
        <w:ind w:left="720" w:right="720" w:hanging="0"/>
        <w:jc w:val="both"/>
        <w:rPr>
          <w:rFonts w:ascii="Times New Roman" w:hAnsi="Times New Roman"/>
          <w:sz w:val="20"/>
        </w:rPr>
      </w:pPr>
      <w:r>
        <w:rPr>
          <w:rFonts w:ascii="Times New Roman" w:hAnsi="Times New Roman"/>
          <w:i/>
          <w:color w:val="000000"/>
          <w:sz w:val="20"/>
        </w:rPr>
        <w:t>(Unaudited; U.S. dollars in thousands)</w:t>
      </w:r>
      <w:r>
        <w:rPr>
          <w:rFonts w:ascii="Times New Roman" w:hAnsi="Times New Roman"/>
          <w:sz w:val="20"/>
        </w:rPr>
        <w:t xml:space="preserve"> </w:t>
      </w:r>
    </w:p>
    <w:p>
      <w:pPr>
        <w:pStyle w:val="TextBody"/>
        <w:bidi w:val="0"/>
        <w:spacing w:before="0" w:after="0"/>
        <w:ind w:left="720" w:right="720" w:hanging="0"/>
        <w:jc w:val="both"/>
        <w:rPr>
          <w:rFonts w:cs="Times New Roman"/>
          <w:szCs w:val="20"/>
        </w:rPr>
      </w:pPr>
      <w:r>
        <w:rPr>
          <w:rFonts w:cs="Times New Roman"/>
          <w:iCs/>
          <w:color w:val="000000"/>
          <w:szCs w:val="20"/>
        </w:rPr>
        <w:t>﻿</w:t>
      </w:r>
      <w:r>
        <w:rPr>
          <w:rFonts w:cs="Times New Roman"/>
          <w:szCs w:val="20"/>
        </w:rPr>
        <w:t xml:space="preserve"> </w:t>
      </w:r>
    </w:p>
    <w:tbl>
      <w:tblPr>
        <w:tblW w:w="6419" w:type="dxa"/>
        <w:jc w:val="left"/>
        <w:tblInd w:w="720" w:type="dxa"/>
        <w:tblLayout w:type="fixed"/>
        <w:tblCellMar>
          <w:top w:w="0" w:type="dxa"/>
          <w:left w:w="0" w:type="dxa"/>
          <w:bottom w:w="0" w:type="dxa"/>
          <w:right w:w="0" w:type="dxa"/>
        </w:tblCellMar>
      </w:tblPr>
      <w:tblGrid>
        <w:gridCol w:w="3410"/>
        <w:gridCol w:w="60"/>
        <w:gridCol w:w="125"/>
        <w:gridCol w:w="680"/>
        <w:gridCol w:w="60"/>
        <w:gridCol w:w="125"/>
        <w:gridCol w:w="680"/>
        <w:gridCol w:w="60"/>
        <w:gridCol w:w="800"/>
        <w:gridCol w:w="419"/>
      </w:tblGrid>
      <w:tr>
        <w:trPr/>
        <w:tc>
          <w:tcPr>
            <w:tcW w:w="3410" w:type="dxa"/>
            <w:tcBorders/>
            <w:vAlign w:val="bottom"/>
          </w:tcPr>
          <w:p>
            <w:pPr>
              <w:pStyle w:val="TableContents"/>
              <w:bidi w:val="0"/>
              <w:spacing w:before="0" w:after="0"/>
              <w:ind w:left="0" w:right="0" w:hanging="0"/>
              <w:jc w:val="left"/>
              <w:rPr>
                <w:rFonts w:cs="Times New Roman"/>
                <w:szCs w:val="2"/>
              </w:rPr>
            </w:pPr>
            <w:r>
              <w:rPr>
                <w:rFonts w:cs="Times New Roman"/>
                <w:szCs w:val="2"/>
              </w:rPr>
              <w:t>﻿</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68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68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800" w:type="dxa"/>
            <w:tcBorders/>
            <w:vAlign w:val="bottom"/>
          </w:tcPr>
          <w:p>
            <w:pPr>
              <w:pStyle w:val="TableContents"/>
              <w:bidi w:val="0"/>
              <w:spacing w:before="0" w:after="0"/>
              <w:ind w:left="0" w:right="0" w:hanging="0"/>
              <w:jc w:val="left"/>
              <w:rPr/>
            </w:pPr>
            <w:r>
              <w:rPr/>
              <w:t> </w:t>
            </w:r>
          </w:p>
        </w:tc>
        <w:tc>
          <w:tcPr>
            <w:tcW w:w="419" w:type="dxa"/>
            <w:tcBorders/>
            <w:vAlign w:val="bottom"/>
          </w:tcPr>
          <w:p>
            <w:pPr>
              <w:pStyle w:val="TableContents"/>
              <w:bidi w:val="0"/>
              <w:spacing w:before="0" w:after="0"/>
              <w:ind w:left="0" w:right="0" w:hanging="0"/>
              <w:jc w:val="left"/>
              <w:rPr/>
            </w:pPr>
            <w:r>
              <w:rPr/>
              <w:t> </w:t>
            </w:r>
          </w:p>
        </w:tc>
      </w:tr>
      <w:tr>
        <w:trPr/>
        <w:tc>
          <w:tcPr>
            <w:tcW w:w="341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right"/>
              <w:rPr/>
            </w:pPr>
            <w:r>
              <w:rPr/>
              <w:t> </w:t>
            </w:r>
          </w:p>
        </w:tc>
        <w:tc>
          <w:tcPr>
            <w:tcW w:w="68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right"/>
              <w:rPr/>
            </w:pPr>
            <w:r>
              <w:rPr/>
              <w:t> </w:t>
            </w:r>
          </w:p>
        </w:tc>
        <w:tc>
          <w:tcPr>
            <w:tcW w:w="68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right"/>
              <w:rPr/>
            </w:pPr>
            <w:r>
              <w:rPr/>
              <w:t> </w:t>
            </w:r>
          </w:p>
        </w:tc>
        <w:tc>
          <w:tcPr>
            <w:tcW w:w="800" w:type="dxa"/>
            <w:tcBorders/>
            <w:vAlign w:val="bottom"/>
          </w:tcPr>
          <w:p>
            <w:pPr>
              <w:pStyle w:val="TableContents"/>
              <w:bidi w:val="0"/>
              <w:spacing w:before="0" w:after="0"/>
              <w:ind w:left="0" w:right="0" w:hanging="0"/>
              <w:jc w:val="right"/>
              <w:rPr/>
            </w:pPr>
            <w:r>
              <w:rPr/>
              <w:t> </w:t>
            </w:r>
          </w:p>
        </w:tc>
        <w:tc>
          <w:tcPr>
            <w:tcW w:w="419" w:type="dxa"/>
            <w:tcBorders/>
            <w:vAlign w:val="bottom"/>
          </w:tcPr>
          <w:p>
            <w:pPr>
              <w:pStyle w:val="TableContents"/>
              <w:bidi w:val="0"/>
              <w:spacing w:before="0" w:after="0"/>
              <w:ind w:left="0" w:right="0" w:hanging="0"/>
              <w:jc w:val="left"/>
              <w:rPr/>
            </w:pPr>
            <w:r>
              <w:rPr/>
              <w:t> </w:t>
            </w:r>
          </w:p>
        </w:tc>
      </w:tr>
      <w:tr>
        <w:trPr/>
        <w:tc>
          <w:tcPr>
            <w:tcW w:w="3410" w:type="dxa"/>
            <w:tcBorders/>
            <w:vAlign w:val="bottom"/>
          </w:tcPr>
          <w:p>
            <w:pPr>
              <w:pStyle w:val="TableContents"/>
              <w:bidi w:val="0"/>
              <w:spacing w:before="0" w:after="0"/>
              <w:ind w:left="0" w:right="0" w:hanging="0"/>
              <w:jc w:val="left"/>
              <w:rPr>
                <w:rFonts w:cs="Times New Roman"/>
                <w:color w:val="000000"/>
                <w:szCs w:val="20"/>
              </w:rPr>
            </w:pPr>
            <w:r>
              <w:rPr>
                <w:rFonts w:cs="Times New Roman"/>
                <w:color w:val="000000"/>
                <w:szCs w:val="20"/>
              </w:rPr>
              <w:t>﻿</w:t>
            </w:r>
          </w:p>
        </w:tc>
        <w:tc>
          <w:tcPr>
            <w:tcW w:w="60" w:type="dxa"/>
            <w:tcBorders/>
            <w:vAlign w:val="bottom"/>
          </w:tcPr>
          <w:p>
            <w:pPr>
              <w:pStyle w:val="TableContents"/>
              <w:bidi w:val="0"/>
              <w:spacing w:before="0" w:after="0"/>
              <w:ind w:left="0" w:right="0" w:hanging="0"/>
              <w:jc w:val="left"/>
              <w:rPr/>
            </w:pPr>
            <w:r>
              <w:rPr/>
              <w:t> </w:t>
            </w:r>
          </w:p>
        </w:tc>
        <w:tc>
          <w:tcPr>
            <w:tcW w:w="2949" w:type="dxa"/>
            <w:gridSpan w:val="8"/>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Three Months Ended</w:t>
            </w:r>
          </w:p>
        </w:tc>
      </w:tr>
      <w:tr>
        <w:trPr/>
        <w:tc>
          <w:tcPr>
            <w:tcW w:w="3410" w:type="dxa"/>
            <w:tcBorders/>
            <w:vAlign w:val="bottom"/>
          </w:tcPr>
          <w:p>
            <w:pPr>
              <w:pStyle w:val="TableContents"/>
              <w:bidi w:val="0"/>
              <w:spacing w:before="0" w:after="0"/>
              <w:ind w:left="0" w:right="0" w:hanging="0"/>
              <w:jc w:val="left"/>
              <w:rPr>
                <w:rFonts w:cs="Times New Roman"/>
                <w:color w:val="000000"/>
                <w:szCs w:val="20"/>
              </w:rPr>
            </w:pPr>
            <w:r>
              <w:rPr>
                <w:rFonts w:cs="Times New Roman"/>
                <w:color w:val="000000"/>
                <w:szCs w:val="20"/>
              </w:rPr>
              <w:t>﻿</w:t>
            </w:r>
          </w:p>
        </w:tc>
        <w:tc>
          <w:tcPr>
            <w:tcW w:w="60" w:type="dxa"/>
            <w:tcBorders/>
            <w:vAlign w:val="bottom"/>
          </w:tcPr>
          <w:p>
            <w:pPr>
              <w:pStyle w:val="TableContents"/>
              <w:bidi w:val="0"/>
              <w:spacing w:before="0" w:after="0"/>
              <w:ind w:left="0" w:right="0" w:hanging="0"/>
              <w:jc w:val="left"/>
              <w:rPr/>
            </w:pPr>
            <w:r>
              <w:rPr/>
              <w:t> </w:t>
            </w:r>
          </w:p>
        </w:tc>
        <w:tc>
          <w:tcPr>
            <w:tcW w:w="1670" w:type="dxa"/>
            <w:gridSpan w:val="5"/>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March 31,</w:t>
            </w:r>
          </w:p>
        </w:tc>
        <w:tc>
          <w:tcPr>
            <w:tcW w:w="60"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219" w:type="dxa"/>
            <w:gridSpan w:val="2"/>
            <w:tcBorders>
              <w:top w:val="single" w:sz="8" w:space="0" w:color="000000"/>
            </w:tcBorders>
            <w:tcMar>
              <w:top w:w="28" w:type="dxa"/>
            </w:tcMar>
            <w:vAlign w:val="bottom"/>
          </w:tcPr>
          <w:p>
            <w:pPr>
              <w:pStyle w:val="TableContents"/>
              <w:bidi w:val="0"/>
              <w:spacing w:before="0" w:after="0"/>
              <w:ind w:left="0" w:right="0" w:hanging="0"/>
              <w:jc w:val="center"/>
              <w:rPr>
                <w:rFonts w:ascii="Times New Roman" w:hAnsi="Times New Roman"/>
                <w:sz w:val="20"/>
              </w:rPr>
            </w:pPr>
            <w:r>
              <w:rPr>
                <w:rFonts w:ascii="Times New Roman" w:hAnsi="Times New Roman"/>
                <w:b/>
                <w:color w:val="000000"/>
                <w:sz w:val="20"/>
              </w:rPr>
              <w:t>% Change</w:t>
            </w:r>
            <w:r>
              <w:rPr>
                <w:rFonts w:ascii="Times New Roman" w:hAnsi="Times New Roman"/>
                <w:sz w:val="20"/>
              </w:rPr>
              <w:br/>
            </w:r>
            <w:r>
              <w:rPr>
                <w:rFonts w:ascii="Times New Roman" w:hAnsi="Times New Roman"/>
                <w:b/>
                <w:color w:val="000000"/>
                <w:sz w:val="20"/>
              </w:rPr>
              <w:t>Favorable/</w:t>
            </w:r>
          </w:p>
        </w:tc>
      </w:tr>
      <w:tr>
        <w:trPr/>
        <w:tc>
          <w:tcPr>
            <w:tcW w:w="3410" w:type="dxa"/>
            <w:tcBorders>
              <w:bottom w:val="single" w:sz="12" w:space="0" w:color="000000"/>
            </w:tcBorders>
            <w:tcMar>
              <w:bottom w:w="28" w:type="dxa"/>
            </w:tcMar>
            <w:vAlign w:val="bottom"/>
          </w:tcPr>
          <w:p>
            <w:pPr>
              <w:pStyle w:val="TableContents"/>
              <w:bidi w:val="0"/>
              <w:spacing w:before="0" w:after="0"/>
              <w:ind w:left="0" w:right="0" w:hanging="0"/>
              <w:jc w:val="left"/>
              <w:rPr>
                <w:rFonts w:ascii="Times New Roman" w:hAnsi="Times New Roman"/>
                <w:i/>
                <w:color w:val="000000"/>
                <w:sz w:val="20"/>
              </w:rPr>
            </w:pPr>
            <w:r>
              <w:rPr>
                <w:rFonts w:ascii="Times New Roman" w:hAnsi="Times New Roman"/>
                <w:i/>
                <w:color w:val="000000"/>
                <w:sz w:val="20"/>
              </w:rPr>
              <w:t>(Dollars in thousands)</w:t>
            </w:r>
          </w:p>
        </w:tc>
        <w:tc>
          <w:tcPr>
            <w:tcW w:w="60" w:type="dxa"/>
            <w:tcBorders/>
            <w:vAlign w:val="bottom"/>
          </w:tcPr>
          <w:p>
            <w:pPr>
              <w:pStyle w:val="TableContents"/>
              <w:bidi w:val="0"/>
              <w:spacing w:before="0" w:after="0"/>
              <w:ind w:left="0" w:right="0" w:hanging="0"/>
              <w:jc w:val="left"/>
              <w:rPr/>
            </w:pPr>
            <w:r>
              <w:rPr/>
              <w:t> </w:t>
            </w:r>
          </w:p>
        </w:tc>
        <w:tc>
          <w:tcPr>
            <w:tcW w:w="805" w:type="dxa"/>
            <w:gridSpan w:val="2"/>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2026</w:t>
            </w:r>
          </w:p>
        </w:tc>
        <w:tc>
          <w:tcPr>
            <w:tcW w:w="60" w:type="dxa"/>
            <w:tcBorders>
              <w:top w:val="single" w:sz="8" w:space="0" w:color="000000"/>
            </w:tcBorders>
            <w:tcMar>
              <w:top w:w="28" w:type="dxa"/>
            </w:tcMar>
            <w:vAlign w:val="bottom"/>
          </w:tcPr>
          <w:p>
            <w:pPr>
              <w:pStyle w:val="TableContents"/>
              <w:bidi w:val="0"/>
              <w:spacing w:before="0" w:after="0"/>
              <w:ind w:left="0" w:right="0" w:hanging="0"/>
              <w:jc w:val="center"/>
              <w:rPr/>
            </w:pPr>
            <w:r>
              <w:rPr/>
              <w:t> </w:t>
            </w:r>
          </w:p>
        </w:tc>
        <w:tc>
          <w:tcPr>
            <w:tcW w:w="805" w:type="dxa"/>
            <w:gridSpan w:val="2"/>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0"/>
              <w:ind w:left="0" w:right="0" w:hanging="0"/>
              <w:jc w:val="right"/>
              <w:rPr/>
            </w:pPr>
            <w:r>
              <w:rPr/>
              <w:t> </w:t>
            </w:r>
          </w:p>
        </w:tc>
        <w:tc>
          <w:tcPr>
            <w:tcW w:w="1219"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(Unfavorable)</w:t>
            </w:r>
          </w:p>
        </w:tc>
      </w:tr>
      <w:tr>
        <w:trPr/>
        <w:tc>
          <w:tcPr>
            <w:tcW w:w="3410" w:type="dxa"/>
            <w:tcBorders>
              <w:top w:val="single" w:sz="8" w:space="0" w:color="000000"/>
            </w:tcBorders>
            <w:tcMar>
              <w:top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Segment revenue</w:t>
            </w:r>
          </w:p>
        </w:tc>
        <w:tc>
          <w:tcPr>
            <w:tcW w:w="60" w:type="dxa"/>
            <w:tcBorders/>
            <w:vAlign w:val="bottom"/>
          </w:tcPr>
          <w:p>
            <w:pPr>
              <w:pStyle w:val="TableContents"/>
              <w:bidi w:val="0"/>
              <w:spacing w:before="0" w:after="0"/>
              <w:ind w:left="0" w:right="0" w:hanging="0"/>
              <w:jc w:val="righ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80"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80"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800" w:type="dxa"/>
            <w:tcBorders>
              <w:top w:val="single" w:sz="8" w:space="0" w:color="000000"/>
            </w:tcBorders>
            <w:tcMar>
              <w:top w:w="28" w:type="dxa"/>
            </w:tcMar>
            <w:vAlign w:val="bottom"/>
          </w:tcPr>
          <w:p>
            <w:pPr>
              <w:pStyle w:val="TableContents"/>
              <w:bidi w:val="0"/>
              <w:spacing w:before="0" w:after="0"/>
              <w:ind w:left="0" w:right="0" w:hanging="0"/>
              <w:jc w:val="right"/>
              <w:rPr/>
            </w:pPr>
            <w:r>
              <w:rPr/>
              <w:t> </w:t>
            </w:r>
          </w:p>
        </w:tc>
        <w:tc>
          <w:tcPr>
            <w:tcW w:w="419"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r>
      <w:tr>
        <w:trPr/>
        <w:tc>
          <w:tcPr>
            <w:tcW w:w="3410" w:type="dxa"/>
            <w:tcBorders/>
            <w:shd w:fill="CCEEFF" w:val="clear"/>
            <w:vAlign w:val="bottom"/>
          </w:tcPr>
          <w:p>
            <w:pPr>
              <w:pStyle w:val="TableContents"/>
              <w:bidi w:val="0"/>
              <w:spacing w:before="0" w:after="0"/>
              <w:ind w:left="120" w:right="0" w:hanging="0"/>
              <w:jc w:val="left"/>
              <w:rPr>
                <w:rFonts w:ascii="Times New Roman" w:hAnsi="Times New Roman"/>
                <w:sz w:val="20"/>
                <w:u w:val="single"/>
              </w:rPr>
            </w:pPr>
            <w:r>
              <w:rPr>
                <w:rFonts w:ascii="Times New Roman" w:hAnsi="Times New Roman"/>
                <w:sz w:val="20"/>
                <w:u w:val="single"/>
              </w:rPr>
              <w:t>Cinema</w:t>
            </w:r>
          </w:p>
        </w:tc>
        <w:tc>
          <w:tcPr>
            <w:tcW w:w="60" w:type="dxa"/>
            <w:tcBorders/>
            <w:shd w:fill="CCEEFF" w:val="clear"/>
            <w:vAlign w:val="bottom"/>
          </w:tcPr>
          <w:p>
            <w:pPr>
              <w:pStyle w:val="TableContents"/>
              <w:bidi w:val="0"/>
              <w:spacing w:before="0" w:after="0"/>
              <w:ind w:left="0" w:right="0" w:hanging="0"/>
              <w:jc w:val="righ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680" w:type="dxa"/>
            <w:tcBorders/>
            <w:shd w:fill="CCEEFF" w:val="clear"/>
            <w:vAlign w:val="bottom"/>
          </w:tcPr>
          <w:p>
            <w:pPr>
              <w:pStyle w:val="TableContents"/>
              <w:bidi w:val="0"/>
              <w:spacing w:before="0" w:after="0"/>
              <w:ind w:left="0" w:right="0" w:hanging="0"/>
              <w:jc w:val="left"/>
              <w:rPr/>
            </w:pPr>
            <w:r>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680" w:type="dxa"/>
            <w:tcBorders/>
            <w:shd w:fill="CCEEFF" w:val="clear"/>
            <w:vAlign w:val="bottom"/>
          </w:tcPr>
          <w:p>
            <w:pPr>
              <w:pStyle w:val="TableContents"/>
              <w:bidi w:val="0"/>
              <w:spacing w:before="0" w:after="0"/>
              <w:ind w:left="0" w:right="0" w:hanging="0"/>
              <w:jc w:val="left"/>
              <w:rPr/>
            </w:pPr>
            <w:r>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800" w:type="dxa"/>
            <w:tcBorders/>
            <w:shd w:fill="CCEEFF" w:val="clear"/>
            <w:vAlign w:val="bottom"/>
          </w:tcPr>
          <w:p>
            <w:pPr>
              <w:pStyle w:val="TableContents"/>
              <w:bidi w:val="0"/>
              <w:spacing w:before="0" w:after="0"/>
              <w:ind w:left="0" w:right="0" w:hanging="0"/>
              <w:jc w:val="right"/>
              <w:rPr/>
            </w:pPr>
            <w:r>
              <w:rPr/>
              <w:t> </w:t>
            </w:r>
          </w:p>
        </w:tc>
        <w:tc>
          <w:tcPr>
            <w:tcW w:w="419" w:type="dxa"/>
            <w:tcBorders/>
            <w:shd w:fill="CCEEFF" w:val="clear"/>
            <w:vAlign w:val="bottom"/>
          </w:tcPr>
          <w:p>
            <w:pPr>
              <w:pStyle w:val="TableContents"/>
              <w:bidi w:val="0"/>
              <w:spacing w:before="0" w:after="0"/>
              <w:ind w:left="0" w:right="0" w:hanging="0"/>
              <w:jc w:val="left"/>
              <w:rPr/>
            </w:pPr>
            <w:r>
              <w:rPr/>
              <w:t> </w:t>
            </w:r>
          </w:p>
        </w:tc>
      </w:tr>
      <w:tr>
        <w:trPr/>
        <w:tc>
          <w:tcPr>
            <w:tcW w:w="3410"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United States</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8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19,463 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8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18,295  </w:t>
            </w:r>
          </w:p>
        </w:tc>
        <w:tc>
          <w:tcPr>
            <w:tcW w:w="60" w:type="dxa"/>
            <w:tcBorders/>
            <w:vAlign w:val="bottom"/>
          </w:tcPr>
          <w:p>
            <w:pPr>
              <w:pStyle w:val="TableContents"/>
              <w:bidi w:val="0"/>
              <w:spacing w:before="0" w:after="0"/>
              <w:ind w:left="0" w:right="0" w:hanging="0"/>
              <w:jc w:val="right"/>
              <w:rPr/>
            </w:pPr>
            <w:r>
              <w:rPr/>
              <w:t> </w:t>
            </w:r>
          </w:p>
        </w:tc>
        <w:tc>
          <w:tcPr>
            <w:tcW w:w="80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6  </w:t>
            </w:r>
          </w:p>
        </w:tc>
        <w:tc>
          <w:tcPr>
            <w:tcW w:w="419"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410" w:type="dxa"/>
            <w:tcBorders/>
            <w:shd w:fill="CCEEFF" w:val="clear"/>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Australia</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68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19,706 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68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15,682  </w:t>
            </w:r>
          </w:p>
        </w:tc>
        <w:tc>
          <w:tcPr>
            <w:tcW w:w="60" w:type="dxa"/>
            <w:tcBorders/>
            <w:shd w:fill="CCEEFF" w:val="clear"/>
            <w:vAlign w:val="bottom"/>
          </w:tcPr>
          <w:p>
            <w:pPr>
              <w:pStyle w:val="TableContents"/>
              <w:bidi w:val="0"/>
              <w:spacing w:before="0" w:after="0"/>
              <w:ind w:left="0" w:right="0" w:hanging="0"/>
              <w:jc w:val="right"/>
              <w:rPr/>
            </w:pPr>
            <w:r>
              <w:rPr/>
              <w:t> </w:t>
            </w:r>
          </w:p>
        </w:tc>
        <w:tc>
          <w:tcPr>
            <w:tcW w:w="80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26  </w:t>
            </w:r>
          </w:p>
        </w:tc>
        <w:tc>
          <w:tcPr>
            <w:tcW w:w="419"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410"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New Zealand</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68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2,292  </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68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2,427  </w:t>
            </w:r>
          </w:p>
        </w:tc>
        <w:tc>
          <w:tcPr>
            <w:tcW w:w="60" w:type="dxa"/>
            <w:tcBorders/>
            <w:vAlign w:val="bottom"/>
          </w:tcPr>
          <w:p>
            <w:pPr>
              <w:pStyle w:val="TableContents"/>
              <w:bidi w:val="0"/>
              <w:spacing w:before="0" w:after="0"/>
              <w:ind w:left="0" w:right="0" w:hanging="0"/>
              <w:jc w:val="right"/>
              <w:rPr/>
            </w:pPr>
            <w:r>
              <w:rPr/>
              <w:t> </w:t>
            </w:r>
          </w:p>
        </w:tc>
        <w:tc>
          <w:tcPr>
            <w:tcW w:w="80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(6) </w:t>
            </w:r>
          </w:p>
        </w:tc>
        <w:tc>
          <w:tcPr>
            <w:tcW w:w="419" w:type="dxa"/>
            <w:tcBorders>
              <w:bottom w:val="single" w:sz="8" w:space="0" w:color="000000"/>
            </w:tcBorders>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41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80"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41,461 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80"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36,404  </w:t>
            </w:r>
          </w:p>
        </w:tc>
        <w:tc>
          <w:tcPr>
            <w:tcW w:w="60" w:type="dxa"/>
            <w:tcBorders/>
            <w:shd w:fill="CCEEFF" w:val="clear"/>
            <w:vAlign w:val="bottom"/>
          </w:tcPr>
          <w:p>
            <w:pPr>
              <w:pStyle w:val="TableContents"/>
              <w:bidi w:val="0"/>
              <w:spacing w:before="0" w:after="0"/>
              <w:ind w:left="0" w:right="0" w:hanging="0"/>
              <w:jc w:val="right"/>
              <w:rPr/>
            </w:pPr>
            <w:r>
              <w:rPr/>
              <w:t> </w:t>
            </w:r>
          </w:p>
        </w:tc>
        <w:tc>
          <w:tcPr>
            <w:tcW w:w="800"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14  </w:t>
            </w:r>
          </w:p>
        </w:tc>
        <w:tc>
          <w:tcPr>
            <w:tcW w:w="419"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w:t>
            </w:r>
          </w:p>
        </w:tc>
      </w:tr>
      <w:tr>
        <w:trPr/>
        <w:tc>
          <w:tcPr>
            <w:tcW w:w="3410" w:type="dxa"/>
            <w:tcBorders/>
            <w:vAlign w:val="bottom"/>
          </w:tcPr>
          <w:p>
            <w:pPr>
              <w:pStyle w:val="TableContents"/>
              <w:bidi w:val="0"/>
              <w:spacing w:before="0" w:after="0"/>
              <w:ind w:left="120" w:right="0" w:hanging="0"/>
              <w:jc w:val="left"/>
              <w:rPr>
                <w:rFonts w:ascii="Times New Roman" w:hAnsi="Times New Roman"/>
                <w:sz w:val="20"/>
                <w:u w:val="single"/>
              </w:rPr>
            </w:pPr>
            <w:r>
              <w:rPr>
                <w:rFonts w:ascii="Times New Roman" w:hAnsi="Times New Roman"/>
                <w:sz w:val="20"/>
                <w:u w:val="single"/>
              </w:rPr>
              <w:t>Real estate</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80" w:type="dxa"/>
            <w:tcBorders>
              <w:top w:val="single" w:sz="8" w:space="0" w:color="000000"/>
            </w:tcBorders>
            <w:tcMar>
              <w:top w:w="28" w:type="dxa"/>
            </w:tcMar>
            <w:vAlign w:val="bottom"/>
          </w:tcPr>
          <w:p>
            <w:pPr>
              <w:pStyle w:val="TableContents"/>
              <w:bidi w:val="0"/>
              <w:spacing w:before="0" w:after="0"/>
              <w:ind w:left="0" w:right="0" w:hanging="0"/>
              <w:jc w:val="righ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80" w:type="dxa"/>
            <w:tcBorders>
              <w:top w:val="single" w:sz="8" w:space="0" w:color="000000"/>
            </w:tcBorders>
            <w:tcMar>
              <w:top w:w="28" w:type="dxa"/>
            </w:tcMar>
            <w:vAlign w:val="bottom"/>
          </w:tcPr>
          <w:p>
            <w:pPr>
              <w:pStyle w:val="TableContents"/>
              <w:bidi w:val="0"/>
              <w:spacing w:before="0" w:after="0"/>
              <w:ind w:left="0" w:right="0" w:hanging="0"/>
              <w:jc w:val="right"/>
              <w:rPr/>
            </w:pPr>
            <w:r>
              <w:rPr/>
              <w:t> </w:t>
            </w:r>
          </w:p>
        </w:tc>
        <w:tc>
          <w:tcPr>
            <w:tcW w:w="60" w:type="dxa"/>
            <w:tcBorders/>
            <w:vAlign w:val="bottom"/>
          </w:tcPr>
          <w:p>
            <w:pPr>
              <w:pStyle w:val="TableContents"/>
              <w:bidi w:val="0"/>
              <w:spacing w:before="0" w:after="0"/>
              <w:ind w:left="0" w:right="0" w:hanging="0"/>
              <w:jc w:val="right"/>
              <w:rPr/>
            </w:pPr>
            <w:r>
              <w:rPr/>
              <w:t> </w:t>
            </w:r>
          </w:p>
        </w:tc>
        <w:tc>
          <w:tcPr>
            <w:tcW w:w="800" w:type="dxa"/>
            <w:tcBorders>
              <w:top w:val="single" w:sz="8" w:space="0" w:color="000000"/>
            </w:tcBorders>
            <w:tcMar>
              <w:top w:w="28" w:type="dxa"/>
            </w:tcMar>
            <w:vAlign w:val="bottom"/>
          </w:tcPr>
          <w:p>
            <w:pPr>
              <w:pStyle w:val="TableContents"/>
              <w:bidi w:val="0"/>
              <w:spacing w:before="0" w:after="0"/>
              <w:ind w:left="0" w:right="0" w:hanging="0"/>
              <w:jc w:val="right"/>
              <w:rPr/>
            </w:pPr>
            <w:r>
              <w:rPr/>
              <w:t> </w:t>
            </w:r>
          </w:p>
        </w:tc>
        <w:tc>
          <w:tcPr>
            <w:tcW w:w="419"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r>
      <w:tr>
        <w:trPr/>
        <w:tc>
          <w:tcPr>
            <w:tcW w:w="3410" w:type="dxa"/>
            <w:tcBorders/>
            <w:shd w:fill="CCEEFF" w:val="clear"/>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United States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8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1,800 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8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1,587  </w:t>
            </w:r>
          </w:p>
        </w:tc>
        <w:tc>
          <w:tcPr>
            <w:tcW w:w="60" w:type="dxa"/>
            <w:tcBorders/>
            <w:shd w:fill="CCEEFF" w:val="clear"/>
            <w:vAlign w:val="bottom"/>
          </w:tcPr>
          <w:p>
            <w:pPr>
              <w:pStyle w:val="TableContents"/>
              <w:bidi w:val="0"/>
              <w:spacing w:before="0" w:after="0"/>
              <w:ind w:left="0" w:right="0" w:hanging="0"/>
              <w:jc w:val="right"/>
              <w:rPr/>
            </w:pPr>
            <w:r>
              <w:rPr/>
              <w:t> </w:t>
            </w:r>
          </w:p>
        </w:tc>
        <w:tc>
          <w:tcPr>
            <w:tcW w:w="80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13  </w:t>
            </w:r>
          </w:p>
        </w:tc>
        <w:tc>
          <w:tcPr>
            <w:tcW w:w="419"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410"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Australia</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68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2,582 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68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3,015  </w:t>
            </w:r>
          </w:p>
        </w:tc>
        <w:tc>
          <w:tcPr>
            <w:tcW w:w="60" w:type="dxa"/>
            <w:tcBorders/>
            <w:vAlign w:val="bottom"/>
          </w:tcPr>
          <w:p>
            <w:pPr>
              <w:pStyle w:val="TableContents"/>
              <w:bidi w:val="0"/>
              <w:spacing w:before="0" w:after="0"/>
              <w:ind w:left="0" w:right="0" w:hanging="0"/>
              <w:jc w:val="right"/>
              <w:rPr/>
            </w:pPr>
            <w:r>
              <w:rPr/>
              <w:t> </w:t>
            </w:r>
          </w:p>
        </w:tc>
        <w:tc>
          <w:tcPr>
            <w:tcW w:w="80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(14) </w:t>
            </w:r>
          </w:p>
        </w:tc>
        <w:tc>
          <w:tcPr>
            <w:tcW w:w="419"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410" w:type="dxa"/>
            <w:tcBorders/>
            <w:shd w:fill="CCEEFF" w:val="clear"/>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New Zealand</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68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214 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68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243  </w:t>
            </w:r>
          </w:p>
        </w:tc>
        <w:tc>
          <w:tcPr>
            <w:tcW w:w="60" w:type="dxa"/>
            <w:tcBorders/>
            <w:shd w:fill="CCEEFF" w:val="clear"/>
            <w:vAlign w:val="bottom"/>
          </w:tcPr>
          <w:p>
            <w:pPr>
              <w:pStyle w:val="TableContents"/>
              <w:bidi w:val="0"/>
              <w:spacing w:before="0" w:after="0"/>
              <w:ind w:left="0" w:right="0" w:hanging="0"/>
              <w:jc w:val="right"/>
              <w:rPr/>
            </w:pPr>
            <w:r>
              <w:rPr/>
              <w:t> </w:t>
            </w:r>
          </w:p>
        </w:tc>
        <w:tc>
          <w:tcPr>
            <w:tcW w:w="80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(12) </w:t>
            </w:r>
          </w:p>
        </w:tc>
        <w:tc>
          <w:tcPr>
            <w:tcW w:w="419"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41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80"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4,596 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80"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4,845  </w:t>
            </w:r>
          </w:p>
        </w:tc>
        <w:tc>
          <w:tcPr>
            <w:tcW w:w="60" w:type="dxa"/>
            <w:tcBorders/>
            <w:vAlign w:val="bottom"/>
          </w:tcPr>
          <w:p>
            <w:pPr>
              <w:pStyle w:val="TableContents"/>
              <w:bidi w:val="0"/>
              <w:spacing w:before="0" w:after="0"/>
              <w:ind w:left="0" w:right="0" w:hanging="0"/>
              <w:jc w:val="right"/>
              <w:rPr/>
            </w:pPr>
            <w:r>
              <w:rPr/>
              <w:t> </w:t>
            </w:r>
          </w:p>
        </w:tc>
        <w:tc>
          <w:tcPr>
            <w:tcW w:w="800"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(5) </w:t>
            </w:r>
          </w:p>
        </w:tc>
        <w:tc>
          <w:tcPr>
            <w:tcW w:w="419" w:type="dxa"/>
            <w:tcBorders>
              <w:top w:val="single" w:sz="8" w:space="0" w:color="000000"/>
            </w:tcBorders>
            <w:tcMar>
              <w:top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410" w:type="dxa"/>
            <w:tcBorders/>
            <w:shd w:fill="CCEEFF" w:val="clear"/>
            <w:vAlign w:val="bottom"/>
          </w:tcPr>
          <w:p>
            <w:pPr>
              <w:pStyle w:val="TableContents"/>
              <w:bidi w:val="0"/>
              <w:spacing w:before="0" w:after="0"/>
              <w:ind w:left="120" w:right="0" w:hanging="0"/>
              <w:jc w:val="left"/>
              <w:rPr>
                <w:rFonts w:ascii="Times New Roman" w:hAnsi="Times New Roman"/>
                <w:sz w:val="20"/>
              </w:rPr>
            </w:pPr>
            <w:r>
              <w:rPr>
                <w:rFonts w:ascii="Times New Roman" w:hAnsi="Times New Roman"/>
                <w:sz w:val="20"/>
              </w:rPr>
              <w:t>Inter-segment elimination</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68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(933)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68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(1,080) </w:t>
            </w:r>
          </w:p>
        </w:tc>
        <w:tc>
          <w:tcPr>
            <w:tcW w:w="60" w:type="dxa"/>
            <w:tcBorders/>
            <w:shd w:fill="CCEEFF" w:val="clear"/>
            <w:vAlign w:val="bottom"/>
          </w:tcPr>
          <w:p>
            <w:pPr>
              <w:pStyle w:val="TableContents"/>
              <w:bidi w:val="0"/>
              <w:spacing w:before="0" w:after="0"/>
              <w:ind w:left="0" w:right="0" w:hanging="0"/>
              <w:jc w:val="right"/>
              <w:rPr/>
            </w:pPr>
            <w:r>
              <w:rPr/>
              <w:t> </w:t>
            </w:r>
          </w:p>
        </w:tc>
        <w:tc>
          <w:tcPr>
            <w:tcW w:w="80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14  </w:t>
            </w:r>
          </w:p>
        </w:tc>
        <w:tc>
          <w:tcPr>
            <w:tcW w:w="419"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410"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Total segment revenue</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80" w:type="dxa"/>
            <w:tcBorders>
              <w:top w:val="single" w:sz="8" w:space="0" w:color="000000"/>
              <w:bottom w:val="single" w:sz="12" w:space="0" w:color="000000"/>
            </w:tcBorders>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45,124 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80" w:type="dxa"/>
            <w:tcBorders>
              <w:top w:val="single" w:sz="8" w:space="0" w:color="000000"/>
              <w:bottom w:val="single" w:sz="12" w:space="0" w:color="000000"/>
            </w:tcBorders>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40,169  </w:t>
            </w:r>
          </w:p>
        </w:tc>
        <w:tc>
          <w:tcPr>
            <w:tcW w:w="60" w:type="dxa"/>
            <w:tcBorders/>
            <w:vAlign w:val="bottom"/>
          </w:tcPr>
          <w:p>
            <w:pPr>
              <w:pStyle w:val="TableContents"/>
              <w:bidi w:val="0"/>
              <w:spacing w:before="0" w:after="0"/>
              <w:ind w:left="0" w:right="0" w:hanging="0"/>
              <w:jc w:val="right"/>
              <w:rPr/>
            </w:pPr>
            <w:r>
              <w:rPr/>
              <w:t> </w:t>
            </w:r>
          </w:p>
        </w:tc>
        <w:tc>
          <w:tcPr>
            <w:tcW w:w="800" w:type="dxa"/>
            <w:tcBorders>
              <w:top w:val="single" w:sz="8" w:space="0" w:color="000000"/>
              <w:bottom w:val="single" w:sz="12" w:space="0" w:color="000000"/>
            </w:tcBorders>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12  </w:t>
            </w:r>
          </w:p>
        </w:tc>
        <w:tc>
          <w:tcPr>
            <w:tcW w:w="419"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410" w:type="dxa"/>
            <w:tcBorders/>
            <w:shd w:fill="CCEEFF" w:val="cle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Segment operating income (loss)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680" w:type="dxa"/>
            <w:tcBorders>
              <w:top w:val="single" w:sz="8" w:space="0" w:color="000000"/>
            </w:tcBorders>
            <w:shd w:fill="CCEEFF" w:val="clear"/>
            <w:tcMar>
              <w:top w:w="28" w:type="dxa"/>
            </w:tcMar>
            <w:vAlign w:val="bottom"/>
          </w:tcPr>
          <w:p>
            <w:pPr>
              <w:pStyle w:val="TableContents"/>
              <w:bidi w:val="0"/>
              <w:spacing w:before="0" w:after="0"/>
              <w:ind w:left="0" w:right="0" w:hanging="0"/>
              <w:jc w:val="right"/>
              <w:rPr/>
            </w:pPr>
            <w:r>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680" w:type="dxa"/>
            <w:tcBorders>
              <w:top w:val="single" w:sz="8" w:space="0" w:color="000000"/>
            </w:tcBorders>
            <w:shd w:fill="CCEEFF" w:val="clear"/>
            <w:tcMar>
              <w:top w:w="28" w:type="dxa"/>
            </w:tcMar>
            <w:vAlign w:val="bottom"/>
          </w:tcPr>
          <w:p>
            <w:pPr>
              <w:pStyle w:val="TableContents"/>
              <w:bidi w:val="0"/>
              <w:spacing w:before="0" w:after="0"/>
              <w:ind w:left="0" w:right="0" w:hanging="0"/>
              <w:jc w:val="right"/>
              <w:rPr/>
            </w:pPr>
            <w:r>
              <w:rPr/>
              <w:t> </w:t>
            </w:r>
          </w:p>
        </w:tc>
        <w:tc>
          <w:tcPr>
            <w:tcW w:w="60" w:type="dxa"/>
            <w:tcBorders/>
            <w:shd w:fill="CCEEFF" w:val="clear"/>
            <w:vAlign w:val="bottom"/>
          </w:tcPr>
          <w:p>
            <w:pPr>
              <w:pStyle w:val="TableContents"/>
              <w:bidi w:val="0"/>
              <w:spacing w:before="0" w:after="0"/>
              <w:ind w:left="0" w:right="0" w:hanging="0"/>
              <w:jc w:val="right"/>
              <w:rPr/>
            </w:pPr>
            <w:r>
              <w:rPr/>
              <w:t> </w:t>
            </w:r>
          </w:p>
        </w:tc>
        <w:tc>
          <w:tcPr>
            <w:tcW w:w="800" w:type="dxa"/>
            <w:tcBorders>
              <w:top w:val="single" w:sz="8" w:space="0" w:color="000000"/>
            </w:tcBorders>
            <w:shd w:fill="CCEEFF" w:val="clear"/>
            <w:tcMar>
              <w:top w:w="28" w:type="dxa"/>
            </w:tcMar>
            <w:vAlign w:val="bottom"/>
          </w:tcPr>
          <w:p>
            <w:pPr>
              <w:pStyle w:val="TableContents"/>
              <w:bidi w:val="0"/>
              <w:spacing w:before="0" w:after="0"/>
              <w:ind w:left="0" w:right="0" w:hanging="0"/>
              <w:jc w:val="right"/>
              <w:rPr/>
            </w:pPr>
            <w:r>
              <w:rPr/>
              <w:t> </w:t>
            </w:r>
          </w:p>
        </w:tc>
        <w:tc>
          <w:tcPr>
            <w:tcW w:w="419"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r>
      <w:tr>
        <w:trPr/>
        <w:tc>
          <w:tcPr>
            <w:tcW w:w="3410" w:type="dxa"/>
            <w:tcBorders/>
            <w:vAlign w:val="bottom"/>
          </w:tcPr>
          <w:p>
            <w:pPr>
              <w:pStyle w:val="TableContents"/>
              <w:bidi w:val="0"/>
              <w:spacing w:before="0" w:after="0"/>
              <w:ind w:left="120" w:right="0" w:hanging="0"/>
              <w:jc w:val="left"/>
              <w:rPr>
                <w:rFonts w:ascii="Times New Roman" w:hAnsi="Times New Roman"/>
                <w:sz w:val="20"/>
                <w:u w:val="single"/>
              </w:rPr>
            </w:pPr>
            <w:r>
              <w:rPr>
                <w:rFonts w:ascii="Times New Roman" w:hAnsi="Times New Roman"/>
                <w:sz w:val="20"/>
                <w:u w:val="single"/>
              </w:rPr>
              <w:t>Cinema</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680" w:type="dxa"/>
            <w:tcBorders/>
            <w:vAlign w:val="bottom"/>
          </w:tcPr>
          <w:p>
            <w:pPr>
              <w:pStyle w:val="TableContents"/>
              <w:bidi w:val="0"/>
              <w:spacing w:before="0" w:after="0"/>
              <w:ind w:left="0" w:right="0" w:hanging="0"/>
              <w:jc w:val="righ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680" w:type="dxa"/>
            <w:tcBorders/>
            <w:vAlign w:val="bottom"/>
          </w:tcPr>
          <w:p>
            <w:pPr>
              <w:pStyle w:val="TableContents"/>
              <w:bidi w:val="0"/>
              <w:spacing w:before="0" w:after="0"/>
              <w:ind w:left="0" w:right="0" w:hanging="0"/>
              <w:jc w:val="right"/>
              <w:rPr/>
            </w:pPr>
            <w:r>
              <w:rPr/>
              <w:t> </w:t>
            </w:r>
          </w:p>
        </w:tc>
        <w:tc>
          <w:tcPr>
            <w:tcW w:w="60" w:type="dxa"/>
            <w:tcBorders/>
            <w:vAlign w:val="bottom"/>
          </w:tcPr>
          <w:p>
            <w:pPr>
              <w:pStyle w:val="TableContents"/>
              <w:bidi w:val="0"/>
              <w:spacing w:before="0" w:after="0"/>
              <w:ind w:left="0" w:right="0" w:hanging="0"/>
              <w:jc w:val="right"/>
              <w:rPr/>
            </w:pPr>
            <w:r>
              <w:rPr/>
              <w:t> </w:t>
            </w:r>
          </w:p>
        </w:tc>
        <w:tc>
          <w:tcPr>
            <w:tcW w:w="800" w:type="dxa"/>
            <w:tcBorders/>
            <w:vAlign w:val="bottom"/>
          </w:tcPr>
          <w:p>
            <w:pPr>
              <w:pStyle w:val="TableContents"/>
              <w:bidi w:val="0"/>
              <w:spacing w:before="0" w:after="0"/>
              <w:ind w:left="0" w:right="0" w:hanging="0"/>
              <w:jc w:val="right"/>
              <w:rPr/>
            </w:pPr>
            <w:r>
              <w:rPr/>
              <w:t> </w:t>
            </w:r>
          </w:p>
        </w:tc>
        <w:tc>
          <w:tcPr>
            <w:tcW w:w="419" w:type="dxa"/>
            <w:tcBorders/>
            <w:vAlign w:val="bottom"/>
          </w:tcPr>
          <w:p>
            <w:pPr>
              <w:pStyle w:val="TableContents"/>
              <w:bidi w:val="0"/>
              <w:spacing w:before="0" w:after="0"/>
              <w:ind w:left="0" w:right="0" w:hanging="0"/>
              <w:jc w:val="left"/>
              <w:rPr/>
            </w:pPr>
            <w:r>
              <w:rPr/>
              <w:t> </w:t>
            </w:r>
          </w:p>
        </w:tc>
      </w:tr>
      <w:tr>
        <w:trPr/>
        <w:tc>
          <w:tcPr>
            <w:tcW w:w="3410" w:type="dxa"/>
            <w:tcBorders/>
            <w:shd w:fill="CCEEFF" w:val="clear"/>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United States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8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(1,555)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8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(3,146) </w:t>
            </w:r>
          </w:p>
        </w:tc>
        <w:tc>
          <w:tcPr>
            <w:tcW w:w="60" w:type="dxa"/>
            <w:tcBorders/>
            <w:shd w:fill="CCEEFF" w:val="clear"/>
            <w:vAlign w:val="bottom"/>
          </w:tcPr>
          <w:p>
            <w:pPr>
              <w:pStyle w:val="TableContents"/>
              <w:bidi w:val="0"/>
              <w:spacing w:before="0" w:after="0"/>
              <w:ind w:left="0" w:right="0" w:hanging="0"/>
              <w:jc w:val="right"/>
              <w:rPr/>
            </w:pPr>
            <w:r>
              <w:rPr/>
              <w:t> </w:t>
            </w:r>
          </w:p>
        </w:tc>
        <w:tc>
          <w:tcPr>
            <w:tcW w:w="80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51  </w:t>
            </w:r>
          </w:p>
        </w:tc>
        <w:tc>
          <w:tcPr>
            <w:tcW w:w="419"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410"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Australia</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68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426 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68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(974) </w:t>
            </w:r>
          </w:p>
        </w:tc>
        <w:tc>
          <w:tcPr>
            <w:tcW w:w="60" w:type="dxa"/>
            <w:tcBorders/>
            <w:vAlign w:val="bottom"/>
          </w:tcPr>
          <w:p>
            <w:pPr>
              <w:pStyle w:val="TableContents"/>
              <w:bidi w:val="0"/>
              <w:spacing w:before="0" w:after="0"/>
              <w:ind w:left="0" w:right="0" w:hanging="0"/>
              <w:jc w:val="right"/>
              <w:rPr/>
            </w:pPr>
            <w:r>
              <w:rPr/>
              <w:t> </w:t>
            </w:r>
          </w:p>
        </w:tc>
        <w:tc>
          <w:tcPr>
            <w:tcW w:w="80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&gt;100</w:t>
            </w:r>
          </w:p>
        </w:tc>
        <w:tc>
          <w:tcPr>
            <w:tcW w:w="419"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410" w:type="dxa"/>
            <w:tcBorders/>
            <w:shd w:fill="CCEEFF" w:val="clear"/>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New Zealand</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68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(213)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68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(355) </w:t>
            </w:r>
          </w:p>
        </w:tc>
        <w:tc>
          <w:tcPr>
            <w:tcW w:w="60" w:type="dxa"/>
            <w:tcBorders/>
            <w:shd w:fill="CCEEFF" w:val="clear"/>
            <w:vAlign w:val="bottom"/>
          </w:tcPr>
          <w:p>
            <w:pPr>
              <w:pStyle w:val="TableContents"/>
              <w:bidi w:val="0"/>
              <w:spacing w:before="0" w:after="0"/>
              <w:ind w:left="0" w:right="0" w:hanging="0"/>
              <w:jc w:val="right"/>
              <w:rPr/>
            </w:pPr>
            <w:r>
              <w:rPr/>
              <w:t> </w:t>
            </w:r>
          </w:p>
        </w:tc>
        <w:tc>
          <w:tcPr>
            <w:tcW w:w="80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40  </w:t>
            </w:r>
          </w:p>
        </w:tc>
        <w:tc>
          <w:tcPr>
            <w:tcW w:w="419"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41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80"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(1,342)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80"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(4,475) </w:t>
            </w:r>
          </w:p>
        </w:tc>
        <w:tc>
          <w:tcPr>
            <w:tcW w:w="60" w:type="dxa"/>
            <w:tcBorders/>
            <w:vAlign w:val="bottom"/>
          </w:tcPr>
          <w:p>
            <w:pPr>
              <w:pStyle w:val="TableContents"/>
              <w:bidi w:val="0"/>
              <w:spacing w:before="0" w:after="0"/>
              <w:ind w:left="0" w:right="0" w:hanging="0"/>
              <w:jc w:val="right"/>
              <w:rPr/>
            </w:pPr>
            <w:r>
              <w:rPr/>
              <w:t> </w:t>
            </w:r>
          </w:p>
        </w:tc>
        <w:tc>
          <w:tcPr>
            <w:tcW w:w="800"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70  </w:t>
            </w:r>
          </w:p>
        </w:tc>
        <w:tc>
          <w:tcPr>
            <w:tcW w:w="419" w:type="dxa"/>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410" w:type="dxa"/>
            <w:tcBorders/>
            <w:shd w:fill="CCEEFF" w:val="clear"/>
            <w:vAlign w:val="bottom"/>
          </w:tcPr>
          <w:p>
            <w:pPr>
              <w:pStyle w:val="TableContents"/>
              <w:bidi w:val="0"/>
              <w:spacing w:before="0" w:after="0"/>
              <w:ind w:left="120" w:right="0" w:hanging="0"/>
              <w:jc w:val="left"/>
              <w:rPr>
                <w:rFonts w:ascii="Times New Roman" w:hAnsi="Times New Roman"/>
                <w:sz w:val="20"/>
                <w:u w:val="single"/>
              </w:rPr>
            </w:pPr>
            <w:r>
              <w:rPr>
                <w:rFonts w:ascii="Times New Roman" w:hAnsi="Times New Roman"/>
                <w:sz w:val="20"/>
                <w:u w:val="single"/>
              </w:rPr>
              <w:t>Real estate</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680" w:type="dxa"/>
            <w:tcBorders>
              <w:top w:val="single" w:sz="8" w:space="0" w:color="000000"/>
            </w:tcBorders>
            <w:shd w:fill="CCEEFF" w:val="clear"/>
            <w:tcMar>
              <w:top w:w="28" w:type="dxa"/>
            </w:tcMar>
            <w:vAlign w:val="bottom"/>
          </w:tcPr>
          <w:p>
            <w:pPr>
              <w:pStyle w:val="TableContents"/>
              <w:bidi w:val="0"/>
              <w:spacing w:before="0" w:after="0"/>
              <w:ind w:left="0" w:right="0" w:hanging="0"/>
              <w:jc w:val="right"/>
              <w:rPr/>
            </w:pPr>
            <w:r>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680" w:type="dxa"/>
            <w:tcBorders>
              <w:top w:val="single" w:sz="8" w:space="0" w:color="000000"/>
            </w:tcBorders>
            <w:shd w:fill="CCEEFF" w:val="clear"/>
            <w:tcMar>
              <w:top w:w="28" w:type="dxa"/>
            </w:tcMar>
            <w:vAlign w:val="bottom"/>
          </w:tcPr>
          <w:p>
            <w:pPr>
              <w:pStyle w:val="TableContents"/>
              <w:bidi w:val="0"/>
              <w:spacing w:before="0" w:after="0"/>
              <w:ind w:left="0" w:right="0" w:hanging="0"/>
              <w:jc w:val="right"/>
              <w:rPr/>
            </w:pPr>
            <w:r>
              <w:rPr/>
              <w:t> </w:t>
            </w:r>
          </w:p>
        </w:tc>
        <w:tc>
          <w:tcPr>
            <w:tcW w:w="60" w:type="dxa"/>
            <w:tcBorders/>
            <w:shd w:fill="CCEEFF" w:val="clear"/>
            <w:vAlign w:val="bottom"/>
          </w:tcPr>
          <w:p>
            <w:pPr>
              <w:pStyle w:val="TableContents"/>
              <w:bidi w:val="0"/>
              <w:spacing w:before="0" w:after="0"/>
              <w:ind w:left="0" w:right="0" w:hanging="0"/>
              <w:jc w:val="right"/>
              <w:rPr/>
            </w:pPr>
            <w:r>
              <w:rPr/>
              <w:t> </w:t>
            </w:r>
          </w:p>
        </w:tc>
        <w:tc>
          <w:tcPr>
            <w:tcW w:w="800" w:type="dxa"/>
            <w:tcBorders>
              <w:top w:val="single" w:sz="8" w:space="0" w:color="000000"/>
            </w:tcBorders>
            <w:shd w:fill="CCEEFF" w:val="clear"/>
            <w:tcMar>
              <w:top w:w="28" w:type="dxa"/>
            </w:tcMar>
            <w:vAlign w:val="bottom"/>
          </w:tcPr>
          <w:p>
            <w:pPr>
              <w:pStyle w:val="TableContents"/>
              <w:bidi w:val="0"/>
              <w:spacing w:before="0" w:after="0"/>
              <w:ind w:left="0" w:right="0" w:hanging="0"/>
              <w:jc w:val="right"/>
              <w:rPr/>
            </w:pPr>
            <w:r>
              <w:rPr/>
              <w:t> </w:t>
            </w:r>
          </w:p>
        </w:tc>
        <w:tc>
          <w:tcPr>
            <w:tcW w:w="419"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r>
      <w:tr>
        <w:trPr/>
        <w:tc>
          <w:tcPr>
            <w:tcW w:w="3410"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United States</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8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155 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8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143  </w:t>
            </w:r>
          </w:p>
        </w:tc>
        <w:tc>
          <w:tcPr>
            <w:tcW w:w="60" w:type="dxa"/>
            <w:tcBorders/>
            <w:vAlign w:val="bottom"/>
          </w:tcPr>
          <w:p>
            <w:pPr>
              <w:pStyle w:val="TableContents"/>
              <w:bidi w:val="0"/>
              <w:spacing w:before="0" w:after="0"/>
              <w:ind w:left="0" w:right="0" w:hanging="0"/>
              <w:jc w:val="right"/>
              <w:rPr/>
            </w:pPr>
            <w:r>
              <w:rPr/>
              <w:t> </w:t>
            </w:r>
          </w:p>
        </w:tc>
        <w:tc>
          <w:tcPr>
            <w:tcW w:w="80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8  </w:t>
            </w:r>
          </w:p>
        </w:tc>
        <w:tc>
          <w:tcPr>
            <w:tcW w:w="419"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r>
      <w:tr>
        <w:trPr/>
        <w:tc>
          <w:tcPr>
            <w:tcW w:w="3410" w:type="dxa"/>
            <w:tcBorders/>
            <w:shd w:fill="CCEEFF" w:val="clear"/>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Australia</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68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1,166 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68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1,545  </w:t>
            </w:r>
          </w:p>
        </w:tc>
        <w:tc>
          <w:tcPr>
            <w:tcW w:w="60" w:type="dxa"/>
            <w:tcBorders/>
            <w:shd w:fill="CCEEFF" w:val="clear"/>
            <w:vAlign w:val="bottom"/>
          </w:tcPr>
          <w:p>
            <w:pPr>
              <w:pStyle w:val="TableContents"/>
              <w:bidi w:val="0"/>
              <w:spacing w:before="0" w:after="0"/>
              <w:ind w:left="0" w:right="0" w:hanging="0"/>
              <w:jc w:val="right"/>
              <w:rPr/>
            </w:pPr>
            <w:r>
              <w:rPr/>
              <w:t> </w:t>
            </w:r>
          </w:p>
        </w:tc>
        <w:tc>
          <w:tcPr>
            <w:tcW w:w="80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(25) </w:t>
            </w:r>
          </w:p>
        </w:tc>
        <w:tc>
          <w:tcPr>
            <w:tcW w:w="419"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r>
      <w:tr>
        <w:trPr/>
        <w:tc>
          <w:tcPr>
            <w:tcW w:w="3410"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New Zealand</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68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69  </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68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(94) </w:t>
            </w:r>
          </w:p>
        </w:tc>
        <w:tc>
          <w:tcPr>
            <w:tcW w:w="60" w:type="dxa"/>
            <w:tcBorders/>
            <w:vAlign w:val="bottom"/>
          </w:tcPr>
          <w:p>
            <w:pPr>
              <w:pStyle w:val="TableContents"/>
              <w:bidi w:val="0"/>
              <w:spacing w:before="0" w:after="0"/>
              <w:ind w:left="0" w:right="0" w:hanging="0"/>
              <w:jc w:val="right"/>
              <w:rPr/>
            </w:pPr>
            <w:r>
              <w:rPr/>
              <w:t> </w:t>
            </w:r>
          </w:p>
        </w:tc>
        <w:tc>
          <w:tcPr>
            <w:tcW w:w="800" w:type="dxa"/>
            <w:tcBorders>
              <w:bottom w:val="single" w:sz="8" w:space="0" w:color="000000"/>
            </w:tcBorders>
            <w:tcMar>
              <w:bottom w:w="28" w:type="dxa"/>
            </w:tcM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&gt;100</w:t>
            </w:r>
          </w:p>
        </w:tc>
        <w:tc>
          <w:tcPr>
            <w:tcW w:w="419" w:type="dxa"/>
            <w:tcBorders>
              <w:bottom w:val="single" w:sz="8" w:space="0" w:color="000000"/>
            </w:tcBorders>
            <w:tcMar>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r>
      <w:tr>
        <w:trPr/>
        <w:tc>
          <w:tcPr>
            <w:tcW w:w="341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80"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1,390 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80"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1,594  </w:t>
            </w:r>
          </w:p>
        </w:tc>
        <w:tc>
          <w:tcPr>
            <w:tcW w:w="60" w:type="dxa"/>
            <w:tcBorders/>
            <w:shd w:fill="CCEEFF" w:val="clear"/>
            <w:vAlign w:val="bottom"/>
          </w:tcPr>
          <w:p>
            <w:pPr>
              <w:pStyle w:val="TableContents"/>
              <w:bidi w:val="0"/>
              <w:spacing w:before="0" w:after="0"/>
              <w:ind w:left="0" w:right="0" w:hanging="0"/>
              <w:jc w:val="right"/>
              <w:rPr/>
            </w:pPr>
            <w:r>
              <w:rPr/>
              <w:t> </w:t>
            </w:r>
          </w:p>
        </w:tc>
        <w:tc>
          <w:tcPr>
            <w:tcW w:w="800"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(13) </w:t>
            </w:r>
          </w:p>
        </w:tc>
        <w:tc>
          <w:tcPr>
            <w:tcW w:w="419"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410" w:type="dxa"/>
            <w:tcBorders/>
            <w:vAlign w:val="bottom"/>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b/>
                <w:sz w:val="20"/>
              </w:rPr>
              <w:t xml:space="preserve">Total segment operating income (loss) </w:t>
            </w:r>
            <w:r>
              <w:rPr>
                <w:rFonts w:ascii="Times New Roman" w:hAnsi="Times New Roman"/>
                <w:b/>
                <w:sz w:val="10"/>
              </w:rPr>
              <w:t>(1)</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80" w:type="dxa"/>
            <w:tcBorders>
              <w:top w:val="single" w:sz="8" w:space="0" w:color="000000"/>
              <w:bottom w:val="single" w:sz="12" w:space="0" w:color="000000"/>
            </w:tcBorders>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48 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80" w:type="dxa"/>
            <w:tcBorders>
              <w:top w:val="single" w:sz="8" w:space="0" w:color="000000"/>
              <w:bottom w:val="single" w:sz="12" w:space="0" w:color="000000"/>
            </w:tcBorders>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(2,881) </w:t>
            </w:r>
          </w:p>
        </w:tc>
        <w:tc>
          <w:tcPr>
            <w:tcW w:w="60" w:type="dxa"/>
            <w:tcBorders/>
            <w:vAlign w:val="bottom"/>
          </w:tcPr>
          <w:p>
            <w:pPr>
              <w:pStyle w:val="TableContents"/>
              <w:bidi w:val="0"/>
              <w:spacing w:before="0" w:after="0"/>
              <w:ind w:left="0" w:right="0" w:hanging="0"/>
              <w:jc w:val="right"/>
              <w:rPr/>
            </w:pPr>
            <w:r>
              <w:rPr/>
              <w:t> </w:t>
            </w:r>
          </w:p>
        </w:tc>
        <w:tc>
          <w:tcPr>
            <w:tcW w:w="800"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&gt;100</w:t>
            </w:r>
          </w:p>
        </w:tc>
        <w:tc>
          <w:tcPr>
            <w:tcW w:w="419"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bl>
    <w:p>
      <w:pPr>
        <w:pStyle w:val="TextBody"/>
        <w:bidi w:val="0"/>
        <w:spacing w:before="0" w:after="0"/>
        <w:ind w:left="720" w:right="720" w:hanging="0"/>
        <w:jc w:val="left"/>
        <w:rPr>
          <w:rFonts w:cs="Times New Roman"/>
          <w:szCs w:val="20"/>
        </w:rPr>
      </w:pPr>
      <w:r>
        <w:rPr>
          <w:rFonts w:cs="Times New Roman"/>
          <w:szCs w:val="20"/>
        </w:rPr>
        <w:t xml:space="preserve">﻿ </w:t>
      </w:r>
    </w:p>
    <w:tbl>
      <w:tblPr>
        <w:tblW w:w="8765" w:type="dxa"/>
        <w:jc w:val="left"/>
        <w:tblInd w:w="720" w:type="dxa"/>
        <w:tblLayout w:type="fixed"/>
        <w:tblCellMar>
          <w:top w:w="0" w:type="dxa"/>
          <w:left w:w="0" w:type="dxa"/>
          <w:bottom w:w="0" w:type="dxa"/>
          <w:right w:w="0" w:type="dxa"/>
        </w:tblCellMar>
      </w:tblPr>
      <w:tblGrid>
        <w:gridCol w:w="38"/>
        <w:gridCol w:w="265"/>
        <w:gridCol w:w="23"/>
        <w:gridCol w:w="8439"/>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tcPr>
          <w:p>
            <w:pPr>
              <w:pStyle w:val="TableContents"/>
              <w:bidi w:val="0"/>
              <w:spacing w:before="0" w:after="0"/>
              <w:ind w:left="0" w:right="0" w:hanging="0"/>
              <w:jc w:val="both"/>
              <w:rPr>
                <w:rFonts w:ascii="Times New Roman" w:hAnsi="Times New Roman"/>
                <w:sz w:val="16"/>
              </w:rPr>
            </w:pPr>
            <w:r>
              <w:rPr>
                <w:rFonts w:ascii="Times New Roman" w:hAnsi="Times New Roman"/>
                <w:sz w:val="16"/>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8439" w:type="dxa"/>
            <w:tcBorders/>
          </w:tcPr>
          <w:p>
            <w:pPr>
              <w:pStyle w:val="TableContents"/>
              <w:bidi w:val="0"/>
              <w:spacing w:before="0" w:after="0"/>
              <w:ind w:left="0" w:right="0" w:hanging="0"/>
              <w:jc w:val="both"/>
              <w:rPr>
                <w:rFonts w:ascii="Times New Roman" w:hAnsi="Times New Roman"/>
                <w:i/>
                <w:color w:val="000000"/>
                <w:sz w:val="16"/>
              </w:rPr>
            </w:pPr>
            <w:r>
              <w:rPr>
                <w:rFonts w:ascii="Times New Roman" w:hAnsi="Times New Roman"/>
                <w:i/>
                <w:color w:val="000000"/>
                <w:sz w:val="16"/>
              </w:rPr>
              <w:t>Total segment operating income is a non-GAAP financial measure. See the discussion of non-GAAP financial measures that follows.</w:t>
            </w:r>
          </w:p>
        </w:tc>
      </w:tr>
    </w:tbl>
    <w:p>
      <w:pPr>
        <w:pStyle w:val="TextBody"/>
        <w:bidi w:val="0"/>
        <w:spacing w:before="0" w:after="0"/>
        <w:ind w:left="720" w:right="720" w:hanging="0"/>
        <w:jc w:val="both"/>
        <w:rPr>
          <w:rFonts w:cs="Times New Roman"/>
          <w:szCs w:val="16"/>
        </w:rPr>
      </w:pPr>
      <w:r>
        <w:rPr>
          <w:rFonts w:cs="Times New Roman"/>
          <w:color w:val="000000"/>
          <w:szCs w:val="16"/>
        </w:rPr>
        <w:t>﻿</w:t>
      </w:r>
      <w:r>
        <w:rPr>
          <w:rFonts w:cs="Times New Roman"/>
          <w:szCs w:val="16"/>
        </w:rPr>
        <w:t xml:space="preserve"> </w:t>
      </w:r>
    </w:p>
    <w:p>
      <w:pPr>
        <w:pStyle w:val="TextBody"/>
        <w:bidi w:val="0"/>
        <w:spacing w:before="0" w:after="0"/>
        <w:ind w:left="720" w:right="720" w:hanging="0"/>
        <w:jc w:val="center"/>
        <w:rPr>
          <w:rFonts w:ascii="Times New Roman" w:hAnsi="Times New Roman"/>
          <w:sz w:val="20"/>
        </w:rPr>
      </w:pPr>
      <w:r>
        <w:rPr>
          <w:rFonts w:ascii="Times New Roman" w:hAnsi="Times New Roman"/>
          <w:sz w:val="20"/>
        </w:rPr>
        <w:t xml:space="preserve">5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before="0" w:after="0"/>
        <w:ind w:left="720" w:right="720" w:hanging="0"/>
        <w:jc w:val="both"/>
        <w:rPr>
          <w:rFonts w:ascii="Times New Roman" w:hAnsi="Times New Roman"/>
          <w:sz w:val="20"/>
        </w:rPr>
      </w:pPr>
      <w:r>
        <w:rPr>
          <w:rFonts w:ascii="Times New Roman" w:hAnsi="Times New Roman"/>
          <w:b/>
          <w:color w:val="000000"/>
          <w:sz w:val="20"/>
        </w:rPr>
        <w:t>Reading International, Inc. and Subsidiaries</w:t>
      </w:r>
      <w:r>
        <w:rPr>
          <w:rFonts w:ascii="Times New Roman" w:hAnsi="Times New Roman"/>
          <w:sz w:val="20"/>
        </w:rPr>
        <w:t xml:space="preserve"> </w:t>
      </w:r>
    </w:p>
    <w:p>
      <w:pPr>
        <w:pStyle w:val="TextBody"/>
        <w:bidi w:val="0"/>
        <w:spacing w:before="0" w:after="0"/>
        <w:ind w:left="720" w:right="720" w:hanging="0"/>
        <w:jc w:val="both"/>
        <w:rPr>
          <w:rFonts w:ascii="Times New Roman" w:hAnsi="Times New Roman"/>
          <w:sz w:val="20"/>
        </w:rPr>
      </w:pPr>
      <w:r>
        <w:rPr>
          <w:rFonts w:ascii="Times New Roman" w:hAnsi="Times New Roman"/>
          <w:b/>
          <w:sz w:val="20"/>
        </w:rPr>
        <w:t>Reconciliation of EBITDA and Adjusted EBITDA to Net Income (Loss)</w:t>
      </w:r>
      <w:r>
        <w:rPr>
          <w:rFonts w:ascii="Times New Roman" w:hAnsi="Times New Roman"/>
          <w:sz w:val="20"/>
        </w:rPr>
        <w:t xml:space="preserve"> </w:t>
      </w:r>
    </w:p>
    <w:p>
      <w:pPr>
        <w:pStyle w:val="TextBody"/>
        <w:bidi w:val="0"/>
        <w:spacing w:before="0" w:after="0"/>
        <w:ind w:left="720" w:right="720" w:hanging="0"/>
        <w:jc w:val="left"/>
        <w:rPr>
          <w:rFonts w:ascii="Times New Roman" w:hAnsi="Times New Roman"/>
          <w:sz w:val="20"/>
        </w:rPr>
      </w:pPr>
      <w:r>
        <w:rPr>
          <w:rFonts w:ascii="Times New Roman" w:hAnsi="Times New Roman"/>
          <w:i/>
          <w:color w:val="000000"/>
          <w:sz w:val="20"/>
        </w:rPr>
        <w:t>(Unaudited; U.S. dollars in thousands)</w:t>
      </w:r>
      <w:r>
        <w:rPr>
          <w:rFonts w:ascii="Times New Roman" w:hAnsi="Times New Roman"/>
          <w:sz w:val="20"/>
        </w:rPr>
        <w:t xml:space="preserve"> </w:t>
      </w:r>
    </w:p>
    <w:p>
      <w:pPr>
        <w:pStyle w:val="TextBody"/>
        <w:bidi w:val="0"/>
        <w:spacing w:before="0" w:after="0"/>
        <w:ind w:left="720" w:right="720" w:hanging="0"/>
        <w:jc w:val="both"/>
        <w:rPr>
          <w:rFonts w:cs="Times New Roman"/>
          <w:szCs w:val="16"/>
        </w:rPr>
      </w:pPr>
      <w:r>
        <w:rPr>
          <w:rFonts w:cs="Times New Roman"/>
          <w:szCs w:val="16"/>
        </w:rPr>
        <w:t xml:space="preserve">﻿ </w:t>
      </w:r>
    </w:p>
    <w:p>
      <w:pPr>
        <w:pStyle w:val="TextBody"/>
        <w:bidi w:val="0"/>
        <w:spacing w:before="0" w:after="0"/>
        <w:ind w:left="720" w:right="720" w:hanging="0"/>
        <w:jc w:val="both"/>
        <w:rPr>
          <w:rFonts w:cs="Times New Roman"/>
          <w:szCs w:val="2"/>
        </w:rPr>
      </w:pPr>
      <w:r>
        <w:rPr>
          <w:rFonts w:cs="Times New Roman"/>
          <w:szCs w:val="2"/>
        </w:rPr>
        <w:t xml:space="preserve">﻿ </w:t>
      </w:r>
    </w:p>
    <w:p>
      <w:pPr>
        <w:pStyle w:val="TextBody"/>
        <w:bidi w:val="0"/>
        <w:spacing w:before="0" w:after="0"/>
        <w:ind w:left="720" w:right="720" w:hanging="0"/>
        <w:jc w:val="both"/>
        <w:rPr>
          <w:rFonts w:cs="Times New Roman"/>
          <w:szCs w:val="2"/>
        </w:rPr>
      </w:pPr>
      <w:r>
        <w:rPr>
          <w:rFonts w:cs="Times New Roman"/>
          <w:szCs w:val="2"/>
        </w:rPr>
        <w:t xml:space="preserve">﻿ </w:t>
      </w:r>
    </w:p>
    <w:p>
      <w:pPr>
        <w:pStyle w:val="TextBody"/>
        <w:bidi w:val="0"/>
        <w:spacing w:before="0" w:after="0"/>
        <w:ind w:left="720" w:right="720" w:hanging="0"/>
        <w:jc w:val="both"/>
        <w:rPr>
          <w:rFonts w:cs="Times New Roman"/>
          <w:szCs w:val="2"/>
        </w:rPr>
      </w:pPr>
      <w:r>
        <w:rPr>
          <w:rFonts w:cs="Times New Roman"/>
          <w:szCs w:val="2"/>
        </w:rPr>
        <w:t xml:space="preserve">﻿ </w:t>
      </w:r>
    </w:p>
    <w:p>
      <w:pPr>
        <w:pStyle w:val="TextBody"/>
        <w:bidi w:val="0"/>
        <w:spacing w:before="0" w:after="0"/>
        <w:ind w:left="720" w:right="720" w:hanging="0"/>
        <w:jc w:val="both"/>
        <w:rPr>
          <w:rFonts w:cs="Times New Roman"/>
          <w:szCs w:val="2"/>
        </w:rPr>
      </w:pPr>
      <w:r>
        <w:rPr>
          <w:rFonts w:cs="Times New Roman"/>
          <w:szCs w:val="2"/>
        </w:rPr>
        <w:t xml:space="preserve">﻿ </w:t>
      </w:r>
    </w:p>
    <w:p>
      <w:pPr>
        <w:pStyle w:val="TextBody"/>
        <w:bidi w:val="0"/>
        <w:spacing w:before="0" w:after="0"/>
        <w:ind w:left="720" w:right="720" w:hanging="0"/>
        <w:jc w:val="both"/>
        <w:rPr>
          <w:rFonts w:cs="Times New Roman"/>
          <w:szCs w:val="2"/>
        </w:rPr>
      </w:pPr>
      <w:r>
        <w:rPr>
          <w:rFonts w:cs="Times New Roman"/>
          <w:szCs w:val="2"/>
        </w:rPr>
        <w:t xml:space="preserve">﻿ </w:t>
      </w:r>
    </w:p>
    <w:tbl>
      <w:tblPr>
        <w:tblW w:w="6727" w:type="dxa"/>
        <w:jc w:val="left"/>
        <w:tblInd w:w="720" w:type="dxa"/>
        <w:tblLayout w:type="fixed"/>
        <w:tblCellMar>
          <w:top w:w="0" w:type="dxa"/>
          <w:left w:w="0" w:type="dxa"/>
          <w:bottom w:w="0" w:type="dxa"/>
          <w:right w:w="0" w:type="dxa"/>
        </w:tblCellMar>
      </w:tblPr>
      <w:tblGrid>
        <w:gridCol w:w="4865"/>
        <w:gridCol w:w="60"/>
        <w:gridCol w:w="138"/>
        <w:gridCol w:w="722"/>
        <w:gridCol w:w="66"/>
        <w:gridCol w:w="138"/>
        <w:gridCol w:w="738"/>
      </w:tblGrid>
      <w:tr>
        <w:trPr/>
        <w:tc>
          <w:tcPr>
            <w:tcW w:w="4865" w:type="dxa"/>
            <w:tcBorders/>
            <w:vAlign w:val="bottom"/>
          </w:tcPr>
          <w:p>
            <w:pPr>
              <w:pStyle w:val="TableContents"/>
              <w:bidi w:val="0"/>
              <w:spacing w:before="0" w:after="0"/>
              <w:ind w:left="0" w:right="0" w:hanging="0"/>
              <w:jc w:val="left"/>
              <w:rPr>
                <w:rFonts w:cs="Times New Roman"/>
                <w:szCs w:val="2"/>
              </w:rPr>
            </w:pPr>
            <w:r>
              <w:rPr>
                <w:rFonts w:cs="Times New Roman"/>
                <w:szCs w:val="2"/>
              </w:rPr>
              <w:t>﻿</w:t>
            </w:r>
          </w:p>
        </w:tc>
        <w:tc>
          <w:tcPr>
            <w:tcW w:w="60" w:type="dxa"/>
            <w:tcBorders/>
            <w:vAlign w:val="bottom"/>
          </w:tcPr>
          <w:p>
            <w:pPr>
              <w:pStyle w:val="TableContents"/>
              <w:bidi w:val="0"/>
              <w:spacing w:before="0" w:after="0"/>
              <w:ind w:left="0" w:right="0" w:hanging="0"/>
              <w:jc w:val="left"/>
              <w:rPr/>
            </w:pPr>
            <w:r>
              <w:rPr/>
              <w:t> </w:t>
            </w:r>
          </w:p>
        </w:tc>
        <w:tc>
          <w:tcPr>
            <w:tcW w:w="138" w:type="dxa"/>
            <w:tcBorders/>
            <w:vAlign w:val="bottom"/>
          </w:tcPr>
          <w:p>
            <w:pPr>
              <w:pStyle w:val="TableContents"/>
              <w:bidi w:val="0"/>
              <w:spacing w:before="0" w:after="0"/>
              <w:ind w:left="0" w:right="0" w:hanging="0"/>
              <w:jc w:val="left"/>
              <w:rPr/>
            </w:pPr>
            <w:r>
              <w:rPr/>
              <w:t> </w:t>
            </w:r>
          </w:p>
        </w:tc>
        <w:tc>
          <w:tcPr>
            <w:tcW w:w="722" w:type="dxa"/>
            <w:tcBorders/>
            <w:vAlign w:val="bottom"/>
          </w:tcPr>
          <w:p>
            <w:pPr>
              <w:pStyle w:val="TableContents"/>
              <w:bidi w:val="0"/>
              <w:spacing w:before="0" w:after="0"/>
              <w:ind w:left="0" w:right="0" w:hanging="0"/>
              <w:jc w:val="left"/>
              <w:rPr/>
            </w:pPr>
            <w:r>
              <w:rPr/>
              <w:t> </w:t>
            </w:r>
          </w:p>
        </w:tc>
        <w:tc>
          <w:tcPr>
            <w:tcW w:w="66" w:type="dxa"/>
            <w:tcBorders/>
            <w:vAlign w:val="bottom"/>
          </w:tcPr>
          <w:p>
            <w:pPr>
              <w:pStyle w:val="TableContents"/>
              <w:bidi w:val="0"/>
              <w:spacing w:before="0" w:after="0"/>
              <w:ind w:left="0" w:right="0" w:hanging="0"/>
              <w:jc w:val="left"/>
              <w:rPr/>
            </w:pPr>
            <w:r>
              <w:rPr/>
              <w:t> </w:t>
            </w:r>
          </w:p>
        </w:tc>
        <w:tc>
          <w:tcPr>
            <w:tcW w:w="138" w:type="dxa"/>
            <w:tcBorders/>
            <w:vAlign w:val="bottom"/>
          </w:tcPr>
          <w:p>
            <w:pPr>
              <w:pStyle w:val="TableContents"/>
              <w:bidi w:val="0"/>
              <w:spacing w:before="0" w:after="0"/>
              <w:ind w:left="0" w:right="0" w:hanging="0"/>
              <w:jc w:val="left"/>
              <w:rPr/>
            </w:pPr>
            <w:r>
              <w:rPr/>
              <w:t> </w:t>
            </w:r>
          </w:p>
        </w:tc>
        <w:tc>
          <w:tcPr>
            <w:tcW w:w="738" w:type="dxa"/>
            <w:tcBorders/>
            <w:vAlign w:val="bottom"/>
          </w:tcPr>
          <w:p>
            <w:pPr>
              <w:pStyle w:val="TableContents"/>
              <w:bidi w:val="0"/>
              <w:spacing w:before="0" w:after="0"/>
              <w:ind w:left="0" w:right="0" w:hanging="0"/>
              <w:jc w:val="left"/>
              <w:rPr/>
            </w:pPr>
            <w:r>
              <w:rPr/>
              <w:t> </w:t>
            </w:r>
          </w:p>
        </w:tc>
      </w:tr>
      <w:tr>
        <w:trPr/>
        <w:tc>
          <w:tcPr>
            <w:tcW w:w="486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60" w:type="dxa"/>
            <w:tcBorders/>
            <w:vAlign w:val="bottom"/>
          </w:tcPr>
          <w:p>
            <w:pPr>
              <w:pStyle w:val="TableContents"/>
              <w:bidi w:val="0"/>
              <w:spacing w:before="0" w:after="0"/>
              <w:ind w:left="0" w:right="0" w:hanging="0"/>
              <w:jc w:val="left"/>
              <w:rPr/>
            </w:pPr>
            <w:r>
              <w:rPr/>
              <w:t> </w:t>
            </w:r>
          </w:p>
        </w:tc>
        <w:tc>
          <w:tcPr>
            <w:tcW w:w="138" w:type="dxa"/>
            <w:tcBorders/>
            <w:vAlign w:val="bottom"/>
          </w:tcPr>
          <w:p>
            <w:pPr>
              <w:pStyle w:val="TableContents"/>
              <w:bidi w:val="0"/>
              <w:spacing w:before="0" w:after="0"/>
              <w:ind w:left="0" w:right="0" w:hanging="0"/>
              <w:jc w:val="right"/>
              <w:rPr/>
            </w:pPr>
            <w:r>
              <w:rPr/>
              <w:t> </w:t>
            </w:r>
          </w:p>
        </w:tc>
        <w:tc>
          <w:tcPr>
            <w:tcW w:w="722" w:type="dxa"/>
            <w:tcBorders/>
            <w:vAlign w:val="bottom"/>
          </w:tcPr>
          <w:p>
            <w:pPr>
              <w:pStyle w:val="TableContents"/>
              <w:bidi w:val="0"/>
              <w:spacing w:before="0" w:after="0"/>
              <w:ind w:left="0" w:right="0" w:hanging="0"/>
              <w:jc w:val="left"/>
              <w:rPr/>
            </w:pPr>
            <w:r>
              <w:rPr/>
              <w:t> </w:t>
            </w:r>
          </w:p>
        </w:tc>
        <w:tc>
          <w:tcPr>
            <w:tcW w:w="66" w:type="dxa"/>
            <w:tcBorders/>
            <w:vAlign w:val="bottom"/>
          </w:tcPr>
          <w:p>
            <w:pPr>
              <w:pStyle w:val="TableContents"/>
              <w:bidi w:val="0"/>
              <w:spacing w:before="0" w:after="0"/>
              <w:ind w:left="0" w:right="0" w:hanging="0"/>
              <w:jc w:val="left"/>
              <w:rPr/>
            </w:pPr>
            <w:r>
              <w:rPr/>
              <w:t> </w:t>
            </w:r>
          </w:p>
        </w:tc>
        <w:tc>
          <w:tcPr>
            <w:tcW w:w="138" w:type="dxa"/>
            <w:tcBorders/>
            <w:vAlign w:val="bottom"/>
          </w:tcPr>
          <w:p>
            <w:pPr>
              <w:pStyle w:val="TableContents"/>
              <w:bidi w:val="0"/>
              <w:spacing w:before="0" w:after="0"/>
              <w:ind w:left="0" w:right="0" w:hanging="0"/>
              <w:jc w:val="right"/>
              <w:rPr/>
            </w:pPr>
            <w:r>
              <w:rPr/>
              <w:t> </w:t>
            </w:r>
          </w:p>
        </w:tc>
        <w:tc>
          <w:tcPr>
            <w:tcW w:w="738" w:type="dxa"/>
            <w:tcBorders/>
            <w:vAlign w:val="bottom"/>
          </w:tcPr>
          <w:p>
            <w:pPr>
              <w:pStyle w:val="TableContents"/>
              <w:bidi w:val="0"/>
              <w:spacing w:before="0" w:after="0"/>
              <w:ind w:left="0" w:right="0" w:hanging="0"/>
              <w:jc w:val="left"/>
              <w:rPr/>
            </w:pPr>
            <w:r>
              <w:rPr/>
              <w:t> </w:t>
            </w:r>
          </w:p>
        </w:tc>
      </w:tr>
      <w:tr>
        <w:trPr/>
        <w:tc>
          <w:tcPr>
            <w:tcW w:w="4865" w:type="dxa"/>
            <w:tcBorders/>
            <w:vAlign w:val="bottom"/>
          </w:tcPr>
          <w:p>
            <w:pPr>
              <w:pStyle w:val="TableContents"/>
              <w:bidi w:val="0"/>
              <w:spacing w:before="0" w:after="0"/>
              <w:ind w:left="0" w:right="0" w:hanging="0"/>
              <w:jc w:val="left"/>
              <w:rPr>
                <w:rFonts w:cs="Times New Roman"/>
                <w:color w:val="000000"/>
                <w:szCs w:val="20"/>
              </w:rPr>
            </w:pPr>
            <w:r>
              <w:rPr>
                <w:rFonts w:cs="Times New Roman"/>
                <w:color w:val="000000"/>
                <w:szCs w:val="20"/>
              </w:rPr>
              <w:t>﻿</w:t>
            </w:r>
          </w:p>
        </w:tc>
        <w:tc>
          <w:tcPr>
            <w:tcW w:w="60" w:type="dxa"/>
            <w:tcBorders/>
            <w:vAlign w:val="bottom"/>
          </w:tcPr>
          <w:p>
            <w:pPr>
              <w:pStyle w:val="TableContents"/>
              <w:bidi w:val="0"/>
              <w:spacing w:before="0" w:after="0"/>
              <w:ind w:left="0" w:right="0" w:hanging="0"/>
              <w:jc w:val="left"/>
              <w:rPr/>
            </w:pPr>
            <w:r>
              <w:rPr/>
              <w:t> </w:t>
            </w:r>
          </w:p>
        </w:tc>
        <w:tc>
          <w:tcPr>
            <w:tcW w:w="1802" w:type="dxa"/>
            <w:gridSpan w:val="5"/>
            <w:tcBorders/>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Three Months Ended</w:t>
            </w:r>
          </w:p>
        </w:tc>
      </w:tr>
      <w:tr>
        <w:trPr/>
        <w:tc>
          <w:tcPr>
            <w:tcW w:w="4865" w:type="dxa"/>
            <w:tcBorders/>
            <w:vAlign w:val="bottom"/>
          </w:tcPr>
          <w:p>
            <w:pPr>
              <w:pStyle w:val="TableContents"/>
              <w:bidi w:val="0"/>
              <w:spacing w:before="0" w:after="0"/>
              <w:ind w:left="0" w:right="0" w:hanging="0"/>
              <w:jc w:val="left"/>
              <w:rPr>
                <w:rFonts w:cs="Times New Roman"/>
                <w:color w:val="000000"/>
                <w:szCs w:val="20"/>
              </w:rPr>
            </w:pPr>
            <w:r>
              <w:rPr>
                <w:rFonts w:cs="Times New Roman"/>
                <w:color w:val="000000"/>
                <w:szCs w:val="20"/>
              </w:rPr>
              <w:t>﻿</w:t>
            </w:r>
          </w:p>
        </w:tc>
        <w:tc>
          <w:tcPr>
            <w:tcW w:w="60" w:type="dxa"/>
            <w:tcBorders/>
            <w:vAlign w:val="bottom"/>
          </w:tcPr>
          <w:p>
            <w:pPr>
              <w:pStyle w:val="TableContents"/>
              <w:bidi w:val="0"/>
              <w:spacing w:before="0" w:after="0"/>
              <w:ind w:left="0" w:right="0" w:hanging="0"/>
              <w:jc w:val="center"/>
              <w:rPr/>
            </w:pPr>
            <w:r>
              <w:rPr/>
              <w:t> </w:t>
            </w:r>
          </w:p>
        </w:tc>
        <w:tc>
          <w:tcPr>
            <w:tcW w:w="1802" w:type="dxa"/>
            <w:gridSpan w:val="5"/>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March 31,</w:t>
            </w:r>
          </w:p>
        </w:tc>
      </w:tr>
      <w:tr>
        <w:trPr/>
        <w:tc>
          <w:tcPr>
            <w:tcW w:w="4865" w:type="dxa"/>
            <w:tcBorders>
              <w:bottom w:val="single" w:sz="12" w:space="0" w:color="000000"/>
            </w:tcBorders>
            <w:tcMar>
              <w:bottom w:w="28" w:type="dxa"/>
            </w:tcMar>
          </w:tcPr>
          <w:p>
            <w:pPr>
              <w:pStyle w:val="TableContents"/>
              <w:bidi w:val="0"/>
              <w:spacing w:before="0" w:after="0"/>
              <w:ind w:left="0" w:right="0" w:hanging="0"/>
              <w:jc w:val="left"/>
              <w:rPr>
                <w:rFonts w:ascii="Times New Roman" w:hAnsi="Times New Roman"/>
                <w:i/>
                <w:color w:val="000000"/>
                <w:sz w:val="20"/>
              </w:rPr>
            </w:pPr>
            <w:r>
              <w:rPr>
                <w:rFonts w:ascii="Times New Roman" w:hAnsi="Times New Roman"/>
                <w:i/>
                <w:color w:val="000000"/>
                <w:sz w:val="20"/>
              </w:rPr>
              <w:t>(Dollars in thousands)</w:t>
            </w:r>
          </w:p>
        </w:tc>
        <w:tc>
          <w:tcPr>
            <w:tcW w:w="60" w:type="dxa"/>
            <w:tcBorders/>
            <w:vAlign w:val="bottom"/>
          </w:tcPr>
          <w:p>
            <w:pPr>
              <w:pStyle w:val="TableContents"/>
              <w:bidi w:val="0"/>
              <w:spacing w:before="0" w:after="0"/>
              <w:ind w:left="0" w:right="0" w:hanging="0"/>
              <w:jc w:val="center"/>
              <w:rPr/>
            </w:pPr>
            <w:r>
              <w:rPr/>
              <w:t> </w:t>
            </w:r>
          </w:p>
        </w:tc>
        <w:tc>
          <w:tcPr>
            <w:tcW w:w="860" w:type="dxa"/>
            <w:gridSpan w:val="2"/>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2026</w:t>
            </w:r>
          </w:p>
        </w:tc>
        <w:tc>
          <w:tcPr>
            <w:tcW w:w="66" w:type="dxa"/>
            <w:tcBorders>
              <w:top w:val="single" w:sz="8" w:space="0" w:color="000000"/>
            </w:tcBorders>
            <w:tcMar>
              <w:top w:w="28" w:type="dxa"/>
            </w:tcMar>
            <w:vAlign w:val="bottom"/>
          </w:tcPr>
          <w:p>
            <w:pPr>
              <w:pStyle w:val="TableContents"/>
              <w:bidi w:val="0"/>
              <w:spacing w:before="0" w:after="0"/>
              <w:ind w:left="0" w:right="0" w:hanging="0"/>
              <w:jc w:val="center"/>
              <w:rPr/>
            </w:pPr>
            <w:r>
              <w:rPr/>
              <w:t> </w:t>
            </w:r>
          </w:p>
        </w:tc>
        <w:tc>
          <w:tcPr>
            <w:tcW w:w="876" w:type="dxa"/>
            <w:gridSpan w:val="2"/>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2025</w:t>
            </w:r>
          </w:p>
        </w:tc>
      </w:tr>
      <w:tr>
        <w:trPr/>
        <w:tc>
          <w:tcPr>
            <w:tcW w:w="486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Net Income (loss) attributable to Reading International, Inc.</w:t>
            </w:r>
          </w:p>
        </w:tc>
        <w:tc>
          <w:tcPr>
            <w:tcW w:w="60" w:type="dxa"/>
            <w:tcBorders/>
            <w:shd w:fill="CCEEFF" w:val="clear"/>
            <w:vAlign w:val="bottom"/>
          </w:tcPr>
          <w:p>
            <w:pPr>
              <w:pStyle w:val="TableContents"/>
              <w:bidi w:val="0"/>
              <w:spacing w:before="0" w:after="0"/>
              <w:ind w:left="0" w:right="0" w:hanging="0"/>
              <w:jc w:val="left"/>
              <w:rPr/>
            </w:pPr>
            <w:r>
              <w:rPr/>
              <w:t> </w:t>
            </w:r>
          </w:p>
        </w:tc>
        <w:tc>
          <w:tcPr>
            <w:tcW w:w="138"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722"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(8,147) </w:t>
            </w:r>
          </w:p>
        </w:tc>
        <w:tc>
          <w:tcPr>
            <w:tcW w:w="66" w:type="dxa"/>
            <w:tcBorders/>
            <w:shd w:fill="CCEEFF" w:val="clear"/>
            <w:vAlign w:val="bottom"/>
          </w:tcPr>
          <w:p>
            <w:pPr>
              <w:pStyle w:val="TableContents"/>
              <w:bidi w:val="0"/>
              <w:spacing w:before="0" w:after="0"/>
              <w:ind w:left="0" w:right="0" w:hanging="0"/>
              <w:jc w:val="left"/>
              <w:rPr/>
            </w:pPr>
            <w:r>
              <w:rPr/>
              <w:t> </w:t>
            </w:r>
          </w:p>
        </w:tc>
        <w:tc>
          <w:tcPr>
            <w:tcW w:w="138"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738"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(4,752) </w:t>
            </w:r>
          </w:p>
        </w:tc>
      </w:tr>
      <w:tr>
        <w:trPr/>
        <w:tc>
          <w:tcPr>
            <w:tcW w:w="4865" w:type="dxa"/>
            <w:tcBorders/>
            <w:vAlign w:val="bottom"/>
          </w:tcPr>
          <w:p>
            <w:pPr>
              <w:pStyle w:val="TableContents"/>
              <w:bidi w:val="0"/>
              <w:spacing w:before="0" w:after="0"/>
              <w:ind w:left="120" w:right="0" w:hanging="0"/>
              <w:jc w:val="left"/>
              <w:rPr>
                <w:rFonts w:ascii="Times New Roman" w:hAnsi="Times New Roman"/>
                <w:color w:val="000000"/>
                <w:sz w:val="20"/>
              </w:rPr>
            </w:pPr>
            <w:r>
              <w:rPr>
                <w:rFonts w:ascii="Times New Roman" w:hAnsi="Times New Roman"/>
                <w:color w:val="000000"/>
                <w:sz w:val="20"/>
              </w:rPr>
              <w:t>Add: Interest expense, net</w:t>
            </w:r>
          </w:p>
        </w:tc>
        <w:tc>
          <w:tcPr>
            <w:tcW w:w="60" w:type="dxa"/>
            <w:tcBorders/>
            <w:vAlign w:val="bottom"/>
          </w:tcPr>
          <w:p>
            <w:pPr>
              <w:pStyle w:val="TableContents"/>
              <w:bidi w:val="0"/>
              <w:spacing w:before="0" w:after="0"/>
              <w:ind w:left="0" w:right="0" w:hanging="0"/>
              <w:jc w:val="left"/>
              <w:rPr/>
            </w:pPr>
            <w:r>
              <w:rPr/>
              <w:t> </w:t>
            </w:r>
          </w:p>
        </w:tc>
        <w:tc>
          <w:tcPr>
            <w:tcW w:w="138" w:type="dxa"/>
            <w:tcBorders/>
            <w:vAlign w:val="bottom"/>
          </w:tcPr>
          <w:p>
            <w:pPr>
              <w:pStyle w:val="TableContents"/>
              <w:bidi w:val="0"/>
              <w:spacing w:before="0" w:after="0"/>
              <w:ind w:left="0" w:right="0" w:hanging="0"/>
              <w:jc w:val="left"/>
              <w:rPr/>
            </w:pPr>
            <w:r>
              <w:rPr/>
              <w:t> </w:t>
            </w:r>
          </w:p>
        </w:tc>
        <w:tc>
          <w:tcPr>
            <w:tcW w:w="722"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4,228  </w:t>
            </w:r>
          </w:p>
        </w:tc>
        <w:tc>
          <w:tcPr>
            <w:tcW w:w="66" w:type="dxa"/>
            <w:tcBorders/>
            <w:vAlign w:val="bottom"/>
          </w:tcPr>
          <w:p>
            <w:pPr>
              <w:pStyle w:val="TableContents"/>
              <w:bidi w:val="0"/>
              <w:spacing w:before="0" w:after="0"/>
              <w:ind w:left="0" w:right="0" w:hanging="0"/>
              <w:jc w:val="left"/>
              <w:rPr/>
            </w:pPr>
            <w:r>
              <w:rPr/>
              <w:t> </w:t>
            </w:r>
          </w:p>
        </w:tc>
        <w:tc>
          <w:tcPr>
            <w:tcW w:w="138" w:type="dxa"/>
            <w:tcBorders/>
            <w:vAlign w:val="bottom"/>
          </w:tcPr>
          <w:p>
            <w:pPr>
              <w:pStyle w:val="TableContents"/>
              <w:bidi w:val="0"/>
              <w:spacing w:before="0" w:after="0"/>
              <w:ind w:left="0" w:right="0" w:hanging="0"/>
              <w:jc w:val="left"/>
              <w:rPr/>
            </w:pPr>
            <w:r>
              <w:rPr/>
              <w:t> </w:t>
            </w:r>
          </w:p>
        </w:tc>
        <w:tc>
          <w:tcPr>
            <w:tcW w:w="738"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4,742  </w:t>
            </w:r>
          </w:p>
        </w:tc>
      </w:tr>
      <w:tr>
        <w:trPr/>
        <w:tc>
          <w:tcPr>
            <w:tcW w:w="4865" w:type="dxa"/>
            <w:tcBorders/>
            <w:shd w:fill="CCEEFF" w:val="clear"/>
            <w:vAlign w:val="bottom"/>
          </w:tcPr>
          <w:p>
            <w:pPr>
              <w:pStyle w:val="TableContents"/>
              <w:bidi w:val="0"/>
              <w:spacing w:before="0" w:after="0"/>
              <w:ind w:left="120" w:right="0" w:hanging="0"/>
              <w:jc w:val="left"/>
              <w:rPr>
                <w:rFonts w:ascii="Times New Roman" w:hAnsi="Times New Roman"/>
                <w:color w:val="000000"/>
                <w:sz w:val="20"/>
              </w:rPr>
            </w:pPr>
            <w:r>
              <w:rPr>
                <w:rFonts w:ascii="Times New Roman" w:hAnsi="Times New Roman"/>
                <w:color w:val="000000"/>
                <w:sz w:val="20"/>
              </w:rPr>
              <w:t>Add: Income tax expense (benefit)</w:t>
            </w:r>
          </w:p>
        </w:tc>
        <w:tc>
          <w:tcPr>
            <w:tcW w:w="60" w:type="dxa"/>
            <w:tcBorders/>
            <w:shd w:fill="CCEEFF" w:val="clear"/>
            <w:vAlign w:val="bottom"/>
          </w:tcPr>
          <w:p>
            <w:pPr>
              <w:pStyle w:val="TableContents"/>
              <w:bidi w:val="0"/>
              <w:spacing w:before="0" w:after="0"/>
              <w:ind w:left="0" w:right="0" w:hanging="0"/>
              <w:jc w:val="left"/>
              <w:rPr/>
            </w:pPr>
            <w:r>
              <w:rPr/>
              <w:t> </w:t>
            </w:r>
          </w:p>
        </w:tc>
        <w:tc>
          <w:tcPr>
            <w:tcW w:w="138" w:type="dxa"/>
            <w:tcBorders/>
            <w:shd w:fill="CCEEFF" w:val="clear"/>
            <w:vAlign w:val="bottom"/>
          </w:tcPr>
          <w:p>
            <w:pPr>
              <w:pStyle w:val="TableContents"/>
              <w:bidi w:val="0"/>
              <w:spacing w:before="0" w:after="0"/>
              <w:ind w:left="0" w:right="0" w:hanging="0"/>
              <w:jc w:val="left"/>
              <w:rPr/>
            </w:pPr>
            <w:r>
              <w:rPr/>
              <w:t> </w:t>
            </w:r>
          </w:p>
        </w:tc>
        <w:tc>
          <w:tcPr>
            <w:tcW w:w="722"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(143) </w:t>
            </w:r>
          </w:p>
        </w:tc>
        <w:tc>
          <w:tcPr>
            <w:tcW w:w="66" w:type="dxa"/>
            <w:tcBorders/>
            <w:shd w:fill="CCEEFF" w:val="clear"/>
            <w:vAlign w:val="bottom"/>
          </w:tcPr>
          <w:p>
            <w:pPr>
              <w:pStyle w:val="TableContents"/>
              <w:bidi w:val="0"/>
              <w:spacing w:before="0" w:after="0"/>
              <w:ind w:left="0" w:right="0" w:hanging="0"/>
              <w:jc w:val="left"/>
              <w:rPr/>
            </w:pPr>
            <w:r>
              <w:rPr/>
              <w:t> </w:t>
            </w:r>
          </w:p>
        </w:tc>
        <w:tc>
          <w:tcPr>
            <w:tcW w:w="138" w:type="dxa"/>
            <w:tcBorders/>
            <w:shd w:fill="CCEEFF" w:val="clear"/>
            <w:vAlign w:val="bottom"/>
          </w:tcPr>
          <w:p>
            <w:pPr>
              <w:pStyle w:val="TableContents"/>
              <w:bidi w:val="0"/>
              <w:spacing w:before="0" w:after="0"/>
              <w:ind w:left="0" w:right="0" w:hanging="0"/>
              <w:jc w:val="left"/>
              <w:rPr/>
            </w:pPr>
            <w:r>
              <w:rPr/>
              <w:t> </w:t>
            </w:r>
          </w:p>
        </w:tc>
        <w:tc>
          <w:tcPr>
            <w:tcW w:w="738"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(472) </w:t>
            </w:r>
          </w:p>
        </w:tc>
      </w:tr>
      <w:tr>
        <w:trPr/>
        <w:tc>
          <w:tcPr>
            <w:tcW w:w="4865" w:type="dxa"/>
            <w:tcBorders/>
            <w:vAlign w:val="bottom"/>
          </w:tcPr>
          <w:p>
            <w:pPr>
              <w:pStyle w:val="TableContents"/>
              <w:bidi w:val="0"/>
              <w:spacing w:before="0" w:after="0"/>
              <w:ind w:left="120" w:right="0" w:hanging="0"/>
              <w:jc w:val="left"/>
              <w:rPr>
                <w:rFonts w:ascii="Times New Roman" w:hAnsi="Times New Roman"/>
                <w:color w:val="000000"/>
                <w:sz w:val="20"/>
              </w:rPr>
            </w:pPr>
            <w:r>
              <w:rPr>
                <w:rFonts w:ascii="Times New Roman" w:hAnsi="Times New Roman"/>
                <w:color w:val="000000"/>
                <w:sz w:val="20"/>
              </w:rPr>
              <w:t>Add: Depreciation and amortization</w:t>
            </w:r>
          </w:p>
        </w:tc>
        <w:tc>
          <w:tcPr>
            <w:tcW w:w="60" w:type="dxa"/>
            <w:tcBorders/>
            <w:vAlign w:val="bottom"/>
          </w:tcPr>
          <w:p>
            <w:pPr>
              <w:pStyle w:val="TableContents"/>
              <w:bidi w:val="0"/>
              <w:spacing w:before="0" w:after="0"/>
              <w:ind w:left="0" w:right="0" w:hanging="0"/>
              <w:jc w:val="left"/>
              <w:rPr/>
            </w:pPr>
            <w:r>
              <w:rPr/>
              <w:t> </w:t>
            </w:r>
          </w:p>
        </w:tc>
        <w:tc>
          <w:tcPr>
            <w:tcW w:w="138" w:type="dxa"/>
            <w:tcBorders/>
            <w:vAlign w:val="bottom"/>
          </w:tcPr>
          <w:p>
            <w:pPr>
              <w:pStyle w:val="TableContents"/>
              <w:bidi w:val="0"/>
              <w:spacing w:before="0" w:after="0"/>
              <w:ind w:left="0" w:right="0" w:hanging="0"/>
              <w:jc w:val="left"/>
              <w:rPr/>
            </w:pPr>
            <w:r>
              <w:rPr/>
              <w:t> </w:t>
            </w:r>
          </w:p>
        </w:tc>
        <w:tc>
          <w:tcPr>
            <w:tcW w:w="722"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3,230  </w:t>
            </w:r>
          </w:p>
        </w:tc>
        <w:tc>
          <w:tcPr>
            <w:tcW w:w="66" w:type="dxa"/>
            <w:tcBorders/>
            <w:vAlign w:val="bottom"/>
          </w:tcPr>
          <w:p>
            <w:pPr>
              <w:pStyle w:val="TableContents"/>
              <w:bidi w:val="0"/>
              <w:spacing w:before="0" w:after="0"/>
              <w:ind w:left="0" w:right="0" w:hanging="0"/>
              <w:jc w:val="left"/>
              <w:rPr/>
            </w:pPr>
            <w:r>
              <w:rPr/>
              <w:t> </w:t>
            </w:r>
          </w:p>
        </w:tc>
        <w:tc>
          <w:tcPr>
            <w:tcW w:w="138" w:type="dxa"/>
            <w:tcBorders/>
            <w:vAlign w:val="bottom"/>
          </w:tcPr>
          <w:p>
            <w:pPr>
              <w:pStyle w:val="TableContents"/>
              <w:bidi w:val="0"/>
              <w:spacing w:before="0" w:after="0"/>
              <w:ind w:left="0" w:right="0" w:hanging="0"/>
              <w:jc w:val="left"/>
              <w:rPr/>
            </w:pPr>
            <w:r>
              <w:rPr/>
              <w:t> </w:t>
            </w:r>
          </w:p>
        </w:tc>
        <w:tc>
          <w:tcPr>
            <w:tcW w:w="738"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3,375  </w:t>
            </w:r>
          </w:p>
        </w:tc>
      </w:tr>
      <w:tr>
        <w:trPr/>
        <w:tc>
          <w:tcPr>
            <w:tcW w:w="4865" w:type="dxa"/>
            <w:tcBorders/>
            <w:shd w:fill="CCEEFF" w:val="cle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EBITDA</w:t>
            </w:r>
          </w:p>
        </w:tc>
        <w:tc>
          <w:tcPr>
            <w:tcW w:w="60" w:type="dxa"/>
            <w:tcBorders/>
            <w:shd w:fill="CCEEFF" w:val="clear"/>
            <w:vAlign w:val="bottom"/>
          </w:tcPr>
          <w:p>
            <w:pPr>
              <w:pStyle w:val="TableContents"/>
              <w:bidi w:val="0"/>
              <w:spacing w:before="0" w:after="0"/>
              <w:ind w:left="0" w:right="0" w:hanging="0"/>
              <w:jc w:val="left"/>
              <w:rPr/>
            </w:pPr>
            <w:r>
              <w:rPr/>
              <w:t> </w:t>
            </w:r>
          </w:p>
        </w:tc>
        <w:tc>
          <w:tcPr>
            <w:tcW w:w="138"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w:t>
            </w:r>
          </w:p>
        </w:tc>
        <w:tc>
          <w:tcPr>
            <w:tcW w:w="722"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(832) </w:t>
            </w:r>
          </w:p>
        </w:tc>
        <w:tc>
          <w:tcPr>
            <w:tcW w:w="66" w:type="dxa"/>
            <w:tcBorders/>
            <w:shd w:fill="CCEEFF" w:val="clear"/>
            <w:vAlign w:val="bottom"/>
          </w:tcPr>
          <w:p>
            <w:pPr>
              <w:pStyle w:val="TableContents"/>
              <w:bidi w:val="0"/>
              <w:spacing w:before="0" w:after="0"/>
              <w:ind w:left="0" w:right="0" w:hanging="0"/>
              <w:jc w:val="left"/>
              <w:rPr/>
            </w:pPr>
            <w:r>
              <w:rPr/>
              <w:t> </w:t>
            </w:r>
          </w:p>
        </w:tc>
        <w:tc>
          <w:tcPr>
            <w:tcW w:w="138"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w:t>
            </w:r>
          </w:p>
        </w:tc>
        <w:tc>
          <w:tcPr>
            <w:tcW w:w="738"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2,893  </w:t>
            </w:r>
          </w:p>
        </w:tc>
      </w:tr>
      <w:tr>
        <w:trPr/>
        <w:tc>
          <w:tcPr>
            <w:tcW w:w="4865" w:type="dxa"/>
            <w:tcBorders/>
            <w:vAlign w:val="bottom"/>
          </w:tcPr>
          <w:p>
            <w:pPr>
              <w:pStyle w:val="TableContents"/>
              <w:bidi w:val="0"/>
              <w:spacing w:before="0" w:after="0"/>
              <w:ind w:left="0" w:right="0" w:hanging="0"/>
              <w:jc w:val="left"/>
              <w:rPr>
                <w:rFonts w:ascii="Times New Roman" w:hAnsi="Times New Roman"/>
                <w:i/>
                <w:color w:val="000000"/>
                <w:sz w:val="20"/>
              </w:rPr>
            </w:pPr>
            <w:r>
              <w:rPr>
                <w:rFonts w:ascii="Times New Roman" w:hAnsi="Times New Roman"/>
                <w:i/>
                <w:color w:val="000000"/>
                <w:sz w:val="20"/>
              </w:rPr>
              <w:t>Adjustments for:</w:t>
            </w:r>
          </w:p>
        </w:tc>
        <w:tc>
          <w:tcPr>
            <w:tcW w:w="60" w:type="dxa"/>
            <w:tcBorders/>
            <w:vAlign w:val="bottom"/>
          </w:tcPr>
          <w:p>
            <w:pPr>
              <w:pStyle w:val="TableContents"/>
              <w:bidi w:val="0"/>
              <w:spacing w:before="0" w:after="0"/>
              <w:ind w:left="0" w:right="0" w:hanging="0"/>
              <w:jc w:val="left"/>
              <w:rPr/>
            </w:pPr>
            <w:r>
              <w:rPr/>
              <w:t> </w:t>
            </w:r>
          </w:p>
        </w:tc>
        <w:tc>
          <w:tcPr>
            <w:tcW w:w="138" w:type="dxa"/>
            <w:tcBorders/>
            <w:vAlign w:val="bottom"/>
          </w:tcPr>
          <w:p>
            <w:pPr>
              <w:pStyle w:val="TableContents"/>
              <w:bidi w:val="0"/>
              <w:spacing w:before="0" w:after="0"/>
              <w:ind w:left="0" w:right="0" w:hanging="0"/>
              <w:jc w:val="left"/>
              <w:rPr/>
            </w:pPr>
            <w:r>
              <w:rPr/>
              <w:t> </w:t>
            </w:r>
          </w:p>
        </w:tc>
        <w:tc>
          <w:tcPr>
            <w:tcW w:w="722" w:type="dxa"/>
            <w:tcBorders/>
            <w:vAlign w:val="bottom"/>
          </w:tcPr>
          <w:p>
            <w:pPr>
              <w:pStyle w:val="TableContents"/>
              <w:bidi w:val="0"/>
              <w:spacing w:before="0" w:after="0"/>
              <w:ind w:left="0" w:right="0" w:hanging="0"/>
              <w:jc w:val="right"/>
              <w:rPr/>
            </w:pPr>
            <w:r>
              <w:rPr/>
              <w:t> </w:t>
            </w:r>
          </w:p>
        </w:tc>
        <w:tc>
          <w:tcPr>
            <w:tcW w:w="66" w:type="dxa"/>
            <w:tcBorders/>
            <w:vAlign w:val="bottom"/>
          </w:tcPr>
          <w:p>
            <w:pPr>
              <w:pStyle w:val="TableContents"/>
              <w:bidi w:val="0"/>
              <w:spacing w:before="0" w:after="0"/>
              <w:ind w:left="0" w:right="0" w:hanging="0"/>
              <w:jc w:val="left"/>
              <w:rPr/>
            </w:pPr>
            <w:r>
              <w:rPr/>
              <w:t> </w:t>
            </w:r>
          </w:p>
        </w:tc>
        <w:tc>
          <w:tcPr>
            <w:tcW w:w="138" w:type="dxa"/>
            <w:tcBorders/>
            <w:vAlign w:val="bottom"/>
          </w:tcPr>
          <w:p>
            <w:pPr>
              <w:pStyle w:val="TableContents"/>
              <w:bidi w:val="0"/>
              <w:spacing w:before="0" w:after="0"/>
              <w:ind w:left="0" w:right="0" w:hanging="0"/>
              <w:jc w:val="left"/>
              <w:rPr/>
            </w:pPr>
            <w:r>
              <w:rPr/>
              <w:t> </w:t>
            </w:r>
          </w:p>
        </w:tc>
        <w:tc>
          <w:tcPr>
            <w:tcW w:w="738" w:type="dxa"/>
            <w:tcBorders/>
            <w:vAlign w:val="bottom"/>
          </w:tcPr>
          <w:p>
            <w:pPr>
              <w:pStyle w:val="TableContents"/>
              <w:bidi w:val="0"/>
              <w:spacing w:before="0" w:after="0"/>
              <w:ind w:left="0" w:right="0" w:hanging="0"/>
              <w:jc w:val="right"/>
              <w:rPr/>
            </w:pPr>
            <w:r>
              <w:rPr/>
              <w:t> </w:t>
            </w:r>
          </w:p>
        </w:tc>
      </w:tr>
      <w:tr>
        <w:trPr/>
        <w:tc>
          <w:tcPr>
            <w:tcW w:w="4865" w:type="dxa"/>
            <w:tcBorders/>
            <w:shd w:fill="CCEEFF" w:val="clear"/>
            <w:vAlign w:val="bottom"/>
          </w:tcPr>
          <w:p>
            <w:pPr>
              <w:pStyle w:val="TableContents"/>
              <w:bidi w:val="0"/>
              <w:spacing w:before="0" w:after="0"/>
              <w:ind w:left="120" w:right="0" w:hanging="0"/>
              <w:jc w:val="left"/>
              <w:rPr>
                <w:rFonts w:ascii="Times New Roman" w:hAnsi="Times New Roman"/>
                <w:color w:val="000000"/>
                <w:sz w:val="20"/>
              </w:rPr>
            </w:pPr>
            <w:r>
              <w:rPr>
                <w:rFonts w:ascii="Times New Roman" w:hAnsi="Times New Roman"/>
                <w:color w:val="000000"/>
                <w:sz w:val="20"/>
              </w:rPr>
              <w:t>None</w:t>
            </w:r>
          </w:p>
        </w:tc>
        <w:tc>
          <w:tcPr>
            <w:tcW w:w="60" w:type="dxa"/>
            <w:tcBorders/>
            <w:shd w:fill="CCEEFF" w:val="clear"/>
            <w:vAlign w:val="bottom"/>
          </w:tcPr>
          <w:p>
            <w:pPr>
              <w:pStyle w:val="TableContents"/>
              <w:bidi w:val="0"/>
              <w:spacing w:before="0" w:after="0"/>
              <w:ind w:left="0" w:right="0" w:hanging="0"/>
              <w:jc w:val="left"/>
              <w:rPr/>
            </w:pPr>
            <w:r>
              <w:rPr/>
              <w:t> </w:t>
            </w:r>
          </w:p>
        </w:tc>
        <w:tc>
          <w:tcPr>
            <w:tcW w:w="138"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722" w:type="dxa"/>
            <w:tcBorders>
              <w:bottom w:val="single" w:sz="8" w:space="0" w:color="000000"/>
            </w:tcBorders>
            <w:shd w:fill="CCEEFF" w:val="clear"/>
            <w:tcMar>
              <w:bottom w:w="28" w:type="dxa"/>
            </w:tcMar>
            <w:vAlign w:val="bottom"/>
          </w:tcPr>
          <w:p>
            <w:pPr>
              <w:pStyle w:val="TableContents"/>
              <w:bidi w:val="0"/>
              <w:spacing w:before="0" w:after="0"/>
              <w:ind w:left="0" w:right="65" w:hanging="0"/>
              <w:jc w:val="right"/>
              <w:rPr>
                <w:color w:val="000000"/>
              </w:rPr>
            </w:pPr>
            <w:r>
              <w:rPr>
                <w:color w:val="000000"/>
              </w:rPr>
              <w:t> —</w:t>
            </w:r>
          </w:p>
        </w:tc>
        <w:tc>
          <w:tcPr>
            <w:tcW w:w="66" w:type="dxa"/>
            <w:tcBorders/>
            <w:shd w:fill="CCEEFF" w:val="clear"/>
            <w:vAlign w:val="bottom"/>
          </w:tcPr>
          <w:p>
            <w:pPr>
              <w:pStyle w:val="TableContents"/>
              <w:bidi w:val="0"/>
              <w:spacing w:before="0" w:after="0"/>
              <w:ind w:left="0" w:right="0" w:hanging="0"/>
              <w:jc w:val="left"/>
              <w:rPr/>
            </w:pPr>
            <w:r>
              <w:rPr/>
              <w:t> </w:t>
            </w:r>
          </w:p>
        </w:tc>
        <w:tc>
          <w:tcPr>
            <w:tcW w:w="138"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738" w:type="dxa"/>
            <w:tcBorders>
              <w:bottom w:val="single" w:sz="8" w:space="0" w:color="000000"/>
            </w:tcBorders>
            <w:shd w:fill="CCEEFF" w:val="clear"/>
            <w:tcMar>
              <w:bottom w:w="28" w:type="dxa"/>
            </w:tcMar>
            <w:vAlign w:val="bottom"/>
          </w:tcPr>
          <w:p>
            <w:pPr>
              <w:pStyle w:val="TableContents"/>
              <w:bidi w:val="0"/>
              <w:spacing w:before="0" w:after="0"/>
              <w:ind w:left="0" w:right="65" w:hanging="0"/>
              <w:jc w:val="right"/>
              <w:rPr>
                <w:color w:val="000000"/>
              </w:rPr>
            </w:pPr>
            <w:r>
              <w:rPr>
                <w:color w:val="000000"/>
              </w:rPr>
              <w:t> —</w:t>
            </w:r>
          </w:p>
        </w:tc>
      </w:tr>
      <w:tr>
        <w:trPr/>
        <w:tc>
          <w:tcPr>
            <w:tcW w:w="4865" w:type="dxa"/>
            <w:tcBorders/>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Adjusted EBITDA</w:t>
            </w:r>
          </w:p>
        </w:tc>
        <w:tc>
          <w:tcPr>
            <w:tcW w:w="60" w:type="dxa"/>
            <w:tcBorders/>
            <w:vAlign w:val="bottom"/>
          </w:tcPr>
          <w:p>
            <w:pPr>
              <w:pStyle w:val="TableContents"/>
              <w:bidi w:val="0"/>
              <w:spacing w:before="0" w:after="0"/>
              <w:ind w:left="0" w:right="0" w:hanging="0"/>
              <w:jc w:val="left"/>
              <w:rPr/>
            </w:pPr>
            <w:r>
              <w:rPr/>
              <w:t> </w:t>
            </w:r>
          </w:p>
        </w:tc>
        <w:tc>
          <w:tcPr>
            <w:tcW w:w="138" w:type="dxa"/>
            <w:tcBorders>
              <w:top w:val="single" w:sz="8" w:space="0" w:color="000000"/>
              <w:bottom w:val="double" w:sz="5"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w:t>
            </w:r>
          </w:p>
        </w:tc>
        <w:tc>
          <w:tcPr>
            <w:tcW w:w="72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(832) </w:t>
            </w:r>
          </w:p>
        </w:tc>
        <w:tc>
          <w:tcPr>
            <w:tcW w:w="66" w:type="dxa"/>
            <w:tcBorders/>
            <w:vAlign w:val="bottom"/>
          </w:tcPr>
          <w:p>
            <w:pPr>
              <w:pStyle w:val="TableContents"/>
              <w:bidi w:val="0"/>
              <w:spacing w:before="0" w:after="0"/>
              <w:ind w:left="0" w:right="0" w:hanging="0"/>
              <w:jc w:val="left"/>
              <w:rPr/>
            </w:pPr>
            <w:r>
              <w:rPr/>
              <w:t> </w:t>
            </w:r>
          </w:p>
        </w:tc>
        <w:tc>
          <w:tcPr>
            <w:tcW w:w="138" w:type="dxa"/>
            <w:tcBorders>
              <w:top w:val="single" w:sz="8" w:space="0" w:color="000000"/>
              <w:bottom w:val="double" w:sz="5"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w:t>
            </w:r>
          </w:p>
        </w:tc>
        <w:tc>
          <w:tcPr>
            <w:tcW w:w="738"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2,893  </w:t>
            </w:r>
          </w:p>
        </w:tc>
      </w:tr>
    </w:tbl>
    <w:p>
      <w:pPr>
        <w:pStyle w:val="TextBody"/>
        <w:bidi w:val="0"/>
        <w:spacing w:before="0" w:after="0"/>
        <w:ind w:left="720" w:right="720" w:hanging="0"/>
        <w:jc w:val="both"/>
        <w:rPr>
          <w:rFonts w:cs="Times New Roman"/>
          <w:szCs w:val="16"/>
        </w:rPr>
      </w:pPr>
      <w:r>
        <w:rPr>
          <w:rFonts w:cs="Times New Roman"/>
          <w:szCs w:val="16"/>
        </w:rPr>
        <w:t xml:space="preserve">﻿ </w:t>
      </w:r>
    </w:p>
    <w:p>
      <w:pPr>
        <w:pStyle w:val="TextBody"/>
        <w:bidi w:val="0"/>
        <w:spacing w:before="0" w:after="0"/>
        <w:ind w:left="720" w:right="720" w:hanging="0"/>
        <w:jc w:val="center"/>
        <w:rPr>
          <w:rFonts w:ascii="Times New Roman" w:hAnsi="Times New Roman"/>
          <w:sz w:val="20"/>
        </w:rPr>
      </w:pPr>
      <w:r>
        <w:rPr>
          <w:rFonts w:ascii="Times New Roman" w:hAnsi="Times New Roman"/>
          <w:sz w:val="20"/>
        </w:rPr>
        <w:t xml:space="preserve">6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before="0" w:after="0"/>
        <w:ind w:left="720" w:right="720" w:hanging="0"/>
        <w:jc w:val="both"/>
        <w:rPr>
          <w:rFonts w:ascii="Times New Roman" w:hAnsi="Times New Roman"/>
          <w:sz w:val="20"/>
        </w:rPr>
      </w:pPr>
      <w:r>
        <w:rPr>
          <w:rFonts w:ascii="Times New Roman" w:hAnsi="Times New Roman"/>
          <w:b/>
          <w:color w:val="000000"/>
          <w:sz w:val="20"/>
        </w:rPr>
        <w:t>Reading International, Inc. and Subsidiaries</w:t>
      </w:r>
      <w:r>
        <w:rPr>
          <w:rFonts w:ascii="Times New Roman" w:hAnsi="Times New Roman"/>
          <w:sz w:val="20"/>
        </w:rPr>
        <w:t xml:space="preserve"> </w:t>
      </w:r>
    </w:p>
    <w:p>
      <w:pPr>
        <w:pStyle w:val="TextBody"/>
        <w:bidi w:val="0"/>
        <w:spacing w:before="0" w:after="0"/>
        <w:ind w:left="720" w:right="720" w:hanging="0"/>
        <w:jc w:val="both"/>
        <w:rPr>
          <w:rFonts w:ascii="Times New Roman" w:hAnsi="Times New Roman"/>
          <w:sz w:val="20"/>
        </w:rPr>
      </w:pPr>
      <w:r>
        <w:rPr>
          <w:rFonts w:ascii="Times New Roman" w:hAnsi="Times New Roman"/>
          <w:b/>
          <w:sz w:val="20"/>
        </w:rPr>
        <w:t>Reconciliation of Total Segment Operating Income (Loss) to Income (Loss) before Income Taxes</w:t>
      </w:r>
      <w:r>
        <w:rPr>
          <w:rFonts w:ascii="Times New Roman" w:hAnsi="Times New Roman"/>
          <w:sz w:val="20"/>
        </w:rPr>
        <w:t xml:space="preserve"> </w:t>
      </w:r>
    </w:p>
    <w:p>
      <w:pPr>
        <w:pStyle w:val="TextBody"/>
        <w:bidi w:val="0"/>
        <w:spacing w:before="0" w:after="0"/>
        <w:ind w:left="720" w:right="720" w:hanging="0"/>
        <w:jc w:val="left"/>
        <w:rPr>
          <w:rFonts w:ascii="Times New Roman" w:hAnsi="Times New Roman"/>
          <w:sz w:val="20"/>
        </w:rPr>
      </w:pPr>
      <w:r>
        <w:rPr>
          <w:rFonts w:ascii="Times New Roman" w:hAnsi="Times New Roman"/>
          <w:i/>
          <w:color w:val="000000"/>
          <w:sz w:val="20"/>
        </w:rPr>
        <w:t>(Unaudited; U.S. dollars in thousands)</w:t>
      </w:r>
      <w:r>
        <w:rPr>
          <w:rFonts w:ascii="Times New Roman" w:hAnsi="Times New Roman"/>
          <w:sz w:val="20"/>
        </w:rPr>
        <w:t xml:space="preserve"> </w:t>
      </w:r>
    </w:p>
    <w:p>
      <w:pPr>
        <w:pStyle w:val="TextBody"/>
        <w:bidi w:val="0"/>
        <w:spacing w:before="0" w:after="0"/>
        <w:ind w:left="720" w:right="720" w:hanging="0"/>
        <w:jc w:val="both"/>
        <w:rPr>
          <w:rFonts w:cs="Times New Roman"/>
          <w:szCs w:val="16"/>
        </w:rPr>
      </w:pPr>
      <w:r>
        <w:rPr>
          <w:rFonts w:cs="Times New Roman"/>
          <w:szCs w:val="16"/>
        </w:rPr>
        <w:t xml:space="preserve">﻿ </w:t>
      </w:r>
    </w:p>
    <w:p>
      <w:pPr>
        <w:pStyle w:val="TextBody"/>
        <w:bidi w:val="0"/>
        <w:spacing w:before="0" w:after="0"/>
        <w:ind w:left="720" w:right="720" w:hanging="0"/>
        <w:jc w:val="both"/>
        <w:rPr>
          <w:rFonts w:cs="Times New Roman"/>
          <w:szCs w:val="2"/>
        </w:rPr>
      </w:pPr>
      <w:r>
        <w:rPr>
          <w:rFonts w:cs="Times New Roman"/>
          <w:szCs w:val="2"/>
        </w:rPr>
        <w:t xml:space="preserve">﻿ </w:t>
      </w:r>
    </w:p>
    <w:p>
      <w:pPr>
        <w:pStyle w:val="TextBody"/>
        <w:bidi w:val="0"/>
        <w:spacing w:before="0" w:after="0"/>
        <w:ind w:left="720" w:right="720" w:hanging="0"/>
        <w:jc w:val="both"/>
        <w:rPr>
          <w:rFonts w:cs="Times New Roman"/>
          <w:szCs w:val="2"/>
        </w:rPr>
      </w:pPr>
      <w:r>
        <w:rPr>
          <w:rFonts w:cs="Times New Roman"/>
          <w:szCs w:val="2"/>
        </w:rPr>
        <w:t xml:space="preserve">﻿ </w:t>
      </w:r>
    </w:p>
    <w:p>
      <w:pPr>
        <w:pStyle w:val="TextBody"/>
        <w:bidi w:val="0"/>
        <w:spacing w:before="0" w:after="0"/>
        <w:ind w:left="720" w:right="720" w:hanging="0"/>
        <w:jc w:val="both"/>
        <w:rPr>
          <w:rFonts w:cs="Times New Roman"/>
          <w:szCs w:val="2"/>
        </w:rPr>
      </w:pPr>
      <w:r>
        <w:rPr>
          <w:rFonts w:cs="Times New Roman"/>
          <w:szCs w:val="2"/>
        </w:rPr>
        <w:t xml:space="preserve">﻿ </w:t>
      </w:r>
    </w:p>
    <w:tbl>
      <w:tblPr>
        <w:tblW w:w="6913" w:type="dxa"/>
        <w:jc w:val="left"/>
        <w:tblInd w:w="720" w:type="dxa"/>
        <w:tblLayout w:type="fixed"/>
        <w:tblCellMar>
          <w:top w:w="0" w:type="dxa"/>
          <w:left w:w="0" w:type="dxa"/>
          <w:bottom w:w="0" w:type="dxa"/>
          <w:right w:w="0" w:type="dxa"/>
        </w:tblCellMar>
      </w:tblPr>
      <w:tblGrid>
        <w:gridCol w:w="4490"/>
        <w:gridCol w:w="189"/>
        <w:gridCol w:w="985"/>
        <w:gridCol w:w="60"/>
        <w:gridCol w:w="188"/>
        <w:gridCol w:w="1001"/>
      </w:tblGrid>
      <w:tr>
        <w:trPr/>
        <w:tc>
          <w:tcPr>
            <w:tcW w:w="4490" w:type="dxa"/>
            <w:tcBorders/>
            <w:vAlign w:val="bottom"/>
          </w:tcPr>
          <w:p>
            <w:pPr>
              <w:pStyle w:val="TableContents"/>
              <w:bidi w:val="0"/>
              <w:spacing w:before="0" w:after="0"/>
              <w:ind w:left="0" w:right="0" w:hanging="0"/>
              <w:jc w:val="left"/>
              <w:rPr>
                <w:rFonts w:cs="Times New Roman"/>
                <w:szCs w:val="2"/>
              </w:rPr>
            </w:pPr>
            <w:r>
              <w:rPr>
                <w:rFonts w:cs="Times New Roman"/>
                <w:szCs w:val="2"/>
              </w:rPr>
              <w:t>﻿</w:t>
            </w:r>
          </w:p>
        </w:tc>
        <w:tc>
          <w:tcPr>
            <w:tcW w:w="189" w:type="dxa"/>
            <w:tcBorders/>
            <w:vAlign w:val="bottom"/>
          </w:tcPr>
          <w:p>
            <w:pPr>
              <w:pStyle w:val="TableContents"/>
              <w:bidi w:val="0"/>
              <w:spacing w:before="0" w:after="0"/>
              <w:ind w:left="0" w:right="0" w:hanging="0"/>
              <w:jc w:val="left"/>
              <w:rPr/>
            </w:pPr>
            <w:r>
              <w:rPr/>
              <w:t> </w:t>
            </w:r>
          </w:p>
        </w:tc>
        <w:tc>
          <w:tcPr>
            <w:tcW w:w="985"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88" w:type="dxa"/>
            <w:tcBorders/>
            <w:vAlign w:val="bottom"/>
          </w:tcPr>
          <w:p>
            <w:pPr>
              <w:pStyle w:val="TableContents"/>
              <w:bidi w:val="0"/>
              <w:spacing w:before="0" w:after="0"/>
              <w:ind w:left="0" w:right="0" w:hanging="0"/>
              <w:jc w:val="left"/>
              <w:rPr/>
            </w:pPr>
            <w:r>
              <w:rPr/>
              <w:t> </w:t>
            </w:r>
          </w:p>
        </w:tc>
        <w:tc>
          <w:tcPr>
            <w:tcW w:w="1001" w:type="dxa"/>
            <w:tcBorders/>
            <w:vAlign w:val="bottom"/>
          </w:tcPr>
          <w:p>
            <w:pPr>
              <w:pStyle w:val="TableContents"/>
              <w:bidi w:val="0"/>
              <w:spacing w:before="0" w:after="0"/>
              <w:ind w:left="0" w:right="0" w:hanging="0"/>
              <w:jc w:val="left"/>
              <w:rPr/>
            </w:pPr>
            <w:r>
              <w:rPr/>
              <w:t> </w:t>
            </w:r>
          </w:p>
        </w:tc>
      </w:tr>
      <w:tr>
        <w:trPr/>
        <w:tc>
          <w:tcPr>
            <w:tcW w:w="4490" w:type="dxa"/>
            <w:tcBorders/>
            <w:vAlign w:val="bottom"/>
          </w:tcPr>
          <w:p>
            <w:pPr>
              <w:pStyle w:val="TableContents"/>
              <w:bidi w:val="0"/>
              <w:spacing w:before="0" w:after="0"/>
              <w:ind w:left="0" w:right="0" w:hanging="0"/>
              <w:jc w:val="left"/>
              <w:rPr>
                <w:rFonts w:cs="Arial"/>
                <w:color w:val="000000"/>
                <w:szCs w:val="4"/>
              </w:rPr>
            </w:pPr>
            <w:r>
              <w:rPr>
                <w:rFonts w:cs="Arial"/>
                <w:color w:val="000000"/>
                <w:szCs w:val="4"/>
              </w:rPr>
              <w:t>﻿</w:t>
            </w:r>
          </w:p>
        </w:tc>
        <w:tc>
          <w:tcPr>
            <w:tcW w:w="2423" w:type="dxa"/>
            <w:gridSpan w:val="5"/>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Three Months Ended</w:t>
            </w:r>
          </w:p>
        </w:tc>
      </w:tr>
      <w:tr>
        <w:trPr/>
        <w:tc>
          <w:tcPr>
            <w:tcW w:w="4490" w:type="dxa"/>
            <w:tcBorders>
              <w:bottom w:val="single" w:sz="12" w:space="0" w:color="000000"/>
            </w:tcBorders>
            <w:tcMar>
              <w:bottom w:w="28" w:type="dxa"/>
            </w:tcMar>
            <w:vAlign w:val="bottom"/>
          </w:tcPr>
          <w:p>
            <w:pPr>
              <w:pStyle w:val="TableContents"/>
              <w:bidi w:val="0"/>
              <w:spacing w:before="0" w:after="0"/>
              <w:ind w:left="0" w:right="0" w:hanging="0"/>
              <w:jc w:val="left"/>
              <w:rPr>
                <w:rFonts w:ascii="Times New Roman" w:hAnsi="Times New Roman"/>
                <w:i/>
                <w:color w:val="000000"/>
                <w:sz w:val="16"/>
              </w:rPr>
            </w:pPr>
            <w:r>
              <w:rPr>
                <w:rFonts w:ascii="Times New Roman" w:hAnsi="Times New Roman"/>
                <w:i/>
                <w:color w:val="000000"/>
                <w:sz w:val="16"/>
              </w:rPr>
              <w:t>(Dollars in thousands)</w:t>
            </w:r>
          </w:p>
        </w:tc>
        <w:tc>
          <w:tcPr>
            <w:tcW w:w="1174" w:type="dxa"/>
            <w:gridSpan w:val="2"/>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March 31, 2026</w:t>
            </w:r>
          </w:p>
        </w:tc>
        <w:tc>
          <w:tcPr>
            <w:tcW w:w="60" w:type="dxa"/>
            <w:tcBorders>
              <w:top w:val="single" w:sz="8" w:space="0" w:color="000000"/>
            </w:tcBorders>
            <w:tcMar>
              <w:top w:w="28" w:type="dxa"/>
            </w:tcMar>
            <w:vAlign w:val="bottom"/>
          </w:tcPr>
          <w:p>
            <w:pPr>
              <w:pStyle w:val="TableContents"/>
              <w:bidi w:val="0"/>
              <w:spacing w:before="0" w:after="0"/>
              <w:ind w:left="0" w:right="0" w:hanging="0"/>
              <w:jc w:val="center"/>
              <w:rPr/>
            </w:pPr>
            <w:r>
              <w:rPr/>
              <w:t> </w:t>
            </w:r>
          </w:p>
        </w:tc>
        <w:tc>
          <w:tcPr>
            <w:tcW w:w="1189" w:type="dxa"/>
            <w:gridSpan w:val="2"/>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March 31, 2025</w:t>
            </w:r>
          </w:p>
        </w:tc>
      </w:tr>
      <w:tr>
        <w:trPr/>
        <w:tc>
          <w:tcPr>
            <w:tcW w:w="4490"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Segment operating income (loss)</w:t>
            </w:r>
          </w:p>
        </w:tc>
        <w:tc>
          <w:tcPr>
            <w:tcW w:w="189"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985"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48  </w:t>
            </w:r>
          </w:p>
        </w:tc>
        <w:tc>
          <w:tcPr>
            <w:tcW w:w="60" w:type="dxa"/>
            <w:tcBorders/>
            <w:shd w:fill="CCEEFF" w:val="clear"/>
            <w:vAlign w:val="bottom"/>
          </w:tcPr>
          <w:p>
            <w:pPr>
              <w:pStyle w:val="TableContents"/>
              <w:bidi w:val="0"/>
              <w:spacing w:before="0" w:after="0"/>
              <w:ind w:left="0" w:right="0" w:hanging="0"/>
              <w:jc w:val="center"/>
              <w:rPr/>
            </w:pPr>
            <w:r>
              <w:rPr/>
              <w:t> </w:t>
            </w:r>
          </w:p>
        </w:tc>
        <w:tc>
          <w:tcPr>
            <w:tcW w:w="188"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01"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(2,881) </w:t>
            </w:r>
          </w:p>
        </w:tc>
      </w:tr>
      <w:tr>
        <w:trPr/>
        <w:tc>
          <w:tcPr>
            <w:tcW w:w="4490"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Unallocated corporate expense: </w:t>
            </w:r>
          </w:p>
        </w:tc>
        <w:tc>
          <w:tcPr>
            <w:tcW w:w="189" w:type="dxa"/>
            <w:tcBorders/>
            <w:vAlign w:val="bottom"/>
          </w:tcPr>
          <w:p>
            <w:pPr>
              <w:pStyle w:val="TableContents"/>
              <w:bidi w:val="0"/>
              <w:spacing w:before="0" w:after="0"/>
              <w:ind w:left="0" w:right="0" w:hanging="0"/>
              <w:jc w:val="right"/>
              <w:rPr/>
            </w:pPr>
            <w:r>
              <w:rPr/>
              <w:t> </w:t>
            </w:r>
          </w:p>
        </w:tc>
        <w:tc>
          <w:tcPr>
            <w:tcW w:w="985"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88" w:type="dxa"/>
            <w:tcBorders/>
            <w:vAlign w:val="bottom"/>
          </w:tcPr>
          <w:p>
            <w:pPr>
              <w:pStyle w:val="TableContents"/>
              <w:bidi w:val="0"/>
              <w:spacing w:before="0" w:after="0"/>
              <w:ind w:left="0" w:right="0" w:hanging="0"/>
              <w:jc w:val="right"/>
              <w:rPr/>
            </w:pPr>
            <w:r>
              <w:rPr/>
              <w:t> </w:t>
            </w:r>
          </w:p>
        </w:tc>
        <w:tc>
          <w:tcPr>
            <w:tcW w:w="1001" w:type="dxa"/>
            <w:tcBorders/>
            <w:vAlign w:val="bottom"/>
          </w:tcPr>
          <w:p>
            <w:pPr>
              <w:pStyle w:val="TableContents"/>
              <w:bidi w:val="0"/>
              <w:spacing w:before="0" w:after="0"/>
              <w:ind w:left="0" w:right="0" w:hanging="0"/>
              <w:jc w:val="left"/>
              <w:rPr/>
            </w:pPr>
            <w:r>
              <w:rPr/>
              <w:t> </w:t>
            </w:r>
          </w:p>
        </w:tc>
      </w:tr>
      <w:tr>
        <w:trPr/>
        <w:tc>
          <w:tcPr>
            <w:tcW w:w="4490" w:type="dxa"/>
            <w:tcBorders/>
            <w:shd w:fill="CCEEFF" w:val="clear"/>
            <w:vAlign w:val="bottom"/>
          </w:tcPr>
          <w:p>
            <w:pPr>
              <w:pStyle w:val="TableContents"/>
              <w:bidi w:val="0"/>
              <w:spacing w:before="0" w:after="0"/>
              <w:ind w:left="120" w:right="0" w:hanging="0"/>
              <w:jc w:val="left"/>
              <w:rPr>
                <w:rFonts w:ascii="Times New Roman" w:hAnsi="Times New Roman"/>
                <w:color w:val="000000"/>
                <w:sz w:val="20"/>
              </w:rPr>
            </w:pPr>
            <w:r>
              <w:rPr>
                <w:rFonts w:ascii="Times New Roman" w:hAnsi="Times New Roman"/>
                <w:color w:val="000000"/>
                <w:sz w:val="20"/>
              </w:rPr>
              <w:t>Depreciation and amortization expense</w:t>
            </w:r>
          </w:p>
        </w:tc>
        <w:tc>
          <w:tcPr>
            <w:tcW w:w="189" w:type="dxa"/>
            <w:tcBorders/>
            <w:shd w:fill="CCEEFF" w:val="clear"/>
            <w:vAlign w:val="bottom"/>
          </w:tcPr>
          <w:p>
            <w:pPr>
              <w:pStyle w:val="TableContents"/>
              <w:bidi w:val="0"/>
              <w:spacing w:before="0" w:after="0"/>
              <w:ind w:left="0" w:right="0" w:hanging="0"/>
              <w:jc w:val="right"/>
              <w:rPr/>
            </w:pPr>
            <w:r>
              <w:rPr/>
              <w:t> </w:t>
            </w:r>
          </w:p>
        </w:tc>
        <w:tc>
          <w:tcPr>
            <w:tcW w:w="985"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(96) </w:t>
            </w:r>
          </w:p>
        </w:tc>
        <w:tc>
          <w:tcPr>
            <w:tcW w:w="60" w:type="dxa"/>
            <w:tcBorders/>
            <w:shd w:fill="CCEEFF" w:val="clear"/>
            <w:vAlign w:val="bottom"/>
          </w:tcPr>
          <w:p>
            <w:pPr>
              <w:pStyle w:val="TableContents"/>
              <w:bidi w:val="0"/>
              <w:spacing w:before="0" w:after="0"/>
              <w:ind w:left="0" w:right="0" w:hanging="0"/>
              <w:jc w:val="left"/>
              <w:rPr/>
            </w:pPr>
            <w:r>
              <w:rPr/>
              <w:t> </w:t>
            </w:r>
          </w:p>
        </w:tc>
        <w:tc>
          <w:tcPr>
            <w:tcW w:w="188" w:type="dxa"/>
            <w:tcBorders/>
            <w:shd w:fill="CCEEFF" w:val="clear"/>
            <w:vAlign w:val="bottom"/>
          </w:tcPr>
          <w:p>
            <w:pPr>
              <w:pStyle w:val="TableContents"/>
              <w:bidi w:val="0"/>
              <w:spacing w:before="0" w:after="0"/>
              <w:ind w:left="0" w:right="0" w:hanging="0"/>
              <w:jc w:val="right"/>
              <w:rPr/>
            </w:pPr>
            <w:r>
              <w:rPr/>
              <w:t> </w:t>
            </w:r>
          </w:p>
        </w:tc>
        <w:tc>
          <w:tcPr>
            <w:tcW w:w="1001"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(133) </w:t>
            </w:r>
          </w:p>
        </w:tc>
      </w:tr>
      <w:tr>
        <w:trPr/>
        <w:tc>
          <w:tcPr>
            <w:tcW w:w="4490" w:type="dxa"/>
            <w:tcBorders/>
            <w:vAlign w:val="bottom"/>
          </w:tcPr>
          <w:p>
            <w:pPr>
              <w:pStyle w:val="TableContents"/>
              <w:bidi w:val="0"/>
              <w:spacing w:before="0" w:after="0"/>
              <w:ind w:left="120" w:right="0" w:hanging="0"/>
              <w:jc w:val="left"/>
              <w:rPr>
                <w:rFonts w:ascii="Times New Roman" w:hAnsi="Times New Roman"/>
                <w:color w:val="000000"/>
                <w:sz w:val="20"/>
              </w:rPr>
            </w:pPr>
            <w:r>
              <w:rPr>
                <w:rFonts w:ascii="Times New Roman" w:hAnsi="Times New Roman"/>
                <w:color w:val="000000"/>
                <w:sz w:val="20"/>
              </w:rPr>
              <w:t>General and administrative expense</w:t>
            </w:r>
          </w:p>
        </w:tc>
        <w:tc>
          <w:tcPr>
            <w:tcW w:w="189" w:type="dxa"/>
            <w:tcBorders/>
            <w:vAlign w:val="bottom"/>
          </w:tcPr>
          <w:p>
            <w:pPr>
              <w:pStyle w:val="TableContents"/>
              <w:bidi w:val="0"/>
              <w:spacing w:before="0" w:after="0"/>
              <w:ind w:left="0" w:right="0" w:hanging="0"/>
              <w:jc w:val="right"/>
              <w:rPr/>
            </w:pPr>
            <w:r>
              <w:rPr/>
              <w:t> </w:t>
            </w:r>
          </w:p>
        </w:tc>
        <w:tc>
          <w:tcPr>
            <w:tcW w:w="98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(3,584) </w:t>
            </w:r>
          </w:p>
        </w:tc>
        <w:tc>
          <w:tcPr>
            <w:tcW w:w="60" w:type="dxa"/>
            <w:tcBorders/>
            <w:vAlign w:val="bottom"/>
          </w:tcPr>
          <w:p>
            <w:pPr>
              <w:pStyle w:val="TableContents"/>
              <w:bidi w:val="0"/>
              <w:spacing w:before="0" w:after="0"/>
              <w:ind w:left="0" w:right="0" w:hanging="0"/>
              <w:jc w:val="left"/>
              <w:rPr/>
            </w:pPr>
            <w:r>
              <w:rPr/>
              <w:t> </w:t>
            </w:r>
          </w:p>
        </w:tc>
        <w:tc>
          <w:tcPr>
            <w:tcW w:w="188" w:type="dxa"/>
            <w:tcBorders/>
            <w:vAlign w:val="bottom"/>
          </w:tcPr>
          <w:p>
            <w:pPr>
              <w:pStyle w:val="TableContents"/>
              <w:bidi w:val="0"/>
              <w:spacing w:before="0" w:after="0"/>
              <w:ind w:left="0" w:right="0" w:hanging="0"/>
              <w:jc w:val="right"/>
              <w:rPr/>
            </w:pPr>
            <w:r>
              <w:rPr/>
              <w:t> </w:t>
            </w:r>
          </w:p>
        </w:tc>
        <w:tc>
          <w:tcPr>
            <w:tcW w:w="1001"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(3,877) </w:t>
            </w:r>
          </w:p>
        </w:tc>
      </w:tr>
      <w:tr>
        <w:trPr/>
        <w:tc>
          <w:tcPr>
            <w:tcW w:w="4490" w:type="dxa"/>
            <w:tcBorders/>
            <w:shd w:fill="CCEEFF" w:val="clear"/>
            <w:vAlign w:val="bottom"/>
          </w:tcPr>
          <w:p>
            <w:pPr>
              <w:pStyle w:val="TableContents"/>
              <w:bidi w:val="0"/>
              <w:spacing w:before="0" w:after="0"/>
              <w:ind w:left="120" w:right="0" w:hanging="0"/>
              <w:jc w:val="left"/>
              <w:rPr>
                <w:rFonts w:ascii="Times New Roman" w:hAnsi="Times New Roman"/>
                <w:color w:val="000000"/>
                <w:sz w:val="20"/>
              </w:rPr>
            </w:pPr>
            <w:r>
              <w:rPr>
                <w:rFonts w:ascii="Times New Roman" w:hAnsi="Times New Roman"/>
                <w:color w:val="000000"/>
                <w:sz w:val="20"/>
              </w:rPr>
              <w:t>Interest expense, net</w:t>
            </w:r>
          </w:p>
        </w:tc>
        <w:tc>
          <w:tcPr>
            <w:tcW w:w="189" w:type="dxa"/>
            <w:tcBorders/>
            <w:shd w:fill="CCEEFF" w:val="clear"/>
            <w:vAlign w:val="bottom"/>
          </w:tcPr>
          <w:p>
            <w:pPr>
              <w:pStyle w:val="TableContents"/>
              <w:bidi w:val="0"/>
              <w:spacing w:before="0" w:after="0"/>
              <w:ind w:left="0" w:right="0" w:hanging="0"/>
              <w:jc w:val="right"/>
              <w:rPr/>
            </w:pPr>
            <w:r>
              <w:rPr/>
              <w:t> </w:t>
            </w:r>
          </w:p>
        </w:tc>
        <w:tc>
          <w:tcPr>
            <w:tcW w:w="985"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(4,228) </w:t>
            </w:r>
          </w:p>
        </w:tc>
        <w:tc>
          <w:tcPr>
            <w:tcW w:w="60" w:type="dxa"/>
            <w:tcBorders/>
            <w:shd w:fill="CCEEFF" w:val="clear"/>
            <w:vAlign w:val="bottom"/>
          </w:tcPr>
          <w:p>
            <w:pPr>
              <w:pStyle w:val="TableContents"/>
              <w:bidi w:val="0"/>
              <w:spacing w:before="0" w:after="0"/>
              <w:ind w:left="0" w:right="0" w:hanging="0"/>
              <w:jc w:val="left"/>
              <w:rPr/>
            </w:pPr>
            <w:r>
              <w:rPr/>
              <w:t> </w:t>
            </w:r>
          </w:p>
        </w:tc>
        <w:tc>
          <w:tcPr>
            <w:tcW w:w="188" w:type="dxa"/>
            <w:tcBorders/>
            <w:shd w:fill="CCEEFF" w:val="clear"/>
            <w:vAlign w:val="bottom"/>
          </w:tcPr>
          <w:p>
            <w:pPr>
              <w:pStyle w:val="TableContents"/>
              <w:bidi w:val="0"/>
              <w:spacing w:before="0" w:after="0"/>
              <w:ind w:left="0" w:right="0" w:hanging="0"/>
              <w:jc w:val="right"/>
              <w:rPr/>
            </w:pPr>
            <w:r>
              <w:rPr/>
              <w:t> </w:t>
            </w:r>
          </w:p>
        </w:tc>
        <w:tc>
          <w:tcPr>
            <w:tcW w:w="1001"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(4,742) </w:t>
            </w:r>
          </w:p>
        </w:tc>
      </w:tr>
      <w:tr>
        <w:trPr/>
        <w:tc>
          <w:tcPr>
            <w:tcW w:w="4490"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Equity earnings (loss) of unconsolidated joint ventures</w:t>
            </w:r>
          </w:p>
        </w:tc>
        <w:tc>
          <w:tcPr>
            <w:tcW w:w="189" w:type="dxa"/>
            <w:tcBorders/>
            <w:vAlign w:val="bottom"/>
          </w:tcPr>
          <w:p>
            <w:pPr>
              <w:pStyle w:val="TableContents"/>
              <w:bidi w:val="0"/>
              <w:spacing w:before="0" w:after="0"/>
              <w:ind w:left="0" w:right="0" w:hanging="0"/>
              <w:jc w:val="right"/>
              <w:rPr/>
            </w:pPr>
            <w:r>
              <w:rPr/>
              <w:t> </w:t>
            </w:r>
          </w:p>
        </w:tc>
        <w:tc>
          <w:tcPr>
            <w:tcW w:w="98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71  </w:t>
            </w:r>
          </w:p>
        </w:tc>
        <w:tc>
          <w:tcPr>
            <w:tcW w:w="60" w:type="dxa"/>
            <w:tcBorders/>
            <w:vAlign w:val="bottom"/>
          </w:tcPr>
          <w:p>
            <w:pPr>
              <w:pStyle w:val="TableContents"/>
              <w:bidi w:val="0"/>
              <w:spacing w:before="0" w:after="0"/>
              <w:ind w:left="0" w:right="0" w:hanging="0"/>
              <w:jc w:val="left"/>
              <w:rPr/>
            </w:pPr>
            <w:r>
              <w:rPr/>
              <w:t> </w:t>
            </w:r>
          </w:p>
        </w:tc>
        <w:tc>
          <w:tcPr>
            <w:tcW w:w="188" w:type="dxa"/>
            <w:tcBorders/>
            <w:vAlign w:val="bottom"/>
          </w:tcPr>
          <w:p>
            <w:pPr>
              <w:pStyle w:val="TableContents"/>
              <w:bidi w:val="0"/>
              <w:spacing w:before="0" w:after="0"/>
              <w:ind w:left="0" w:right="0" w:hanging="0"/>
              <w:jc w:val="right"/>
              <w:rPr/>
            </w:pPr>
            <w:r>
              <w:rPr/>
              <w:t> </w:t>
            </w:r>
          </w:p>
        </w:tc>
        <w:tc>
          <w:tcPr>
            <w:tcW w:w="1001"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23  </w:t>
            </w:r>
          </w:p>
        </w:tc>
      </w:tr>
      <w:tr>
        <w:trPr/>
        <w:tc>
          <w:tcPr>
            <w:tcW w:w="4490"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Gain (loss) on sale of assets</w:t>
            </w:r>
          </w:p>
        </w:tc>
        <w:tc>
          <w:tcPr>
            <w:tcW w:w="189" w:type="dxa"/>
            <w:tcBorders/>
            <w:shd w:fill="CCEEFF" w:val="clear"/>
            <w:vAlign w:val="bottom"/>
          </w:tcPr>
          <w:p>
            <w:pPr>
              <w:pStyle w:val="TableContents"/>
              <w:bidi w:val="0"/>
              <w:spacing w:before="0" w:after="0"/>
              <w:ind w:left="0" w:right="0" w:hanging="0"/>
              <w:jc w:val="right"/>
              <w:rPr/>
            </w:pPr>
            <w:r>
              <w:rPr/>
              <w:t> </w:t>
            </w:r>
          </w:p>
        </w:tc>
        <w:tc>
          <w:tcPr>
            <w:tcW w:w="985" w:type="dxa"/>
            <w:tcBorders/>
            <w:shd w:fill="CCEEFF" w:val="clear"/>
            <w:vAlign w:val="bottom"/>
          </w:tcPr>
          <w:p>
            <w:pPr>
              <w:pStyle w:val="TableContents"/>
              <w:bidi w:val="0"/>
              <w:spacing w:before="0" w:after="0"/>
              <w:ind w:left="0" w:right="65" w:hanging="0"/>
              <w:jc w:val="right"/>
              <w:rPr>
                <w:color w:val="000000"/>
              </w:rPr>
            </w:pPr>
            <w:r>
              <w:rPr>
                <w:color w:val="000000"/>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88" w:type="dxa"/>
            <w:tcBorders/>
            <w:shd w:fill="CCEEFF" w:val="clear"/>
            <w:vAlign w:val="bottom"/>
          </w:tcPr>
          <w:p>
            <w:pPr>
              <w:pStyle w:val="TableContents"/>
              <w:bidi w:val="0"/>
              <w:spacing w:before="0" w:after="0"/>
              <w:ind w:left="0" w:right="0" w:hanging="0"/>
              <w:jc w:val="right"/>
              <w:rPr/>
            </w:pPr>
            <w:r>
              <w:rPr/>
              <w:t> </w:t>
            </w:r>
          </w:p>
        </w:tc>
        <w:tc>
          <w:tcPr>
            <w:tcW w:w="1001"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6,526  </w:t>
            </w:r>
          </w:p>
        </w:tc>
      </w:tr>
      <w:tr>
        <w:trPr/>
        <w:tc>
          <w:tcPr>
            <w:tcW w:w="4490"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Other (expense) income</w:t>
            </w:r>
          </w:p>
        </w:tc>
        <w:tc>
          <w:tcPr>
            <w:tcW w:w="189" w:type="dxa"/>
            <w:tcBorders>
              <w:bottom w:val="single" w:sz="8" w:space="0" w:color="000000"/>
            </w:tcBorders>
            <w:tcMar>
              <w:bottom w:w="28" w:type="dxa"/>
            </w:tcMar>
            <w:vAlign w:val="bottom"/>
          </w:tcPr>
          <w:p>
            <w:pPr>
              <w:pStyle w:val="TableContents"/>
              <w:bidi w:val="0"/>
              <w:spacing w:before="0" w:after="0"/>
              <w:ind w:left="0" w:right="0" w:hanging="0"/>
              <w:jc w:val="right"/>
              <w:rPr/>
            </w:pPr>
            <w:r>
              <w:rPr/>
              <w:t> </w:t>
            </w:r>
          </w:p>
        </w:tc>
        <w:tc>
          <w:tcPr>
            <w:tcW w:w="98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(488) </w:t>
            </w:r>
          </w:p>
        </w:tc>
        <w:tc>
          <w:tcPr>
            <w:tcW w:w="60" w:type="dxa"/>
            <w:tcBorders/>
            <w:vAlign w:val="bottom"/>
          </w:tcPr>
          <w:p>
            <w:pPr>
              <w:pStyle w:val="TableContents"/>
              <w:bidi w:val="0"/>
              <w:spacing w:before="0" w:after="0"/>
              <w:ind w:left="0" w:right="0" w:hanging="0"/>
              <w:jc w:val="left"/>
              <w:rPr/>
            </w:pPr>
            <w:r>
              <w:rPr/>
              <w:t> </w:t>
            </w:r>
          </w:p>
        </w:tc>
        <w:tc>
          <w:tcPr>
            <w:tcW w:w="188" w:type="dxa"/>
            <w:tcBorders>
              <w:bottom w:val="single" w:sz="8" w:space="0" w:color="000000"/>
            </w:tcBorders>
            <w:tcMar>
              <w:bottom w:w="28" w:type="dxa"/>
            </w:tcMar>
            <w:vAlign w:val="bottom"/>
          </w:tcPr>
          <w:p>
            <w:pPr>
              <w:pStyle w:val="TableContents"/>
              <w:bidi w:val="0"/>
              <w:spacing w:before="0" w:after="0"/>
              <w:ind w:left="0" w:right="0" w:hanging="0"/>
              <w:jc w:val="right"/>
              <w:rPr/>
            </w:pPr>
            <w:r>
              <w:rPr/>
              <w:t> </w:t>
            </w:r>
          </w:p>
        </w:tc>
        <w:tc>
          <w:tcPr>
            <w:tcW w:w="1001"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(331) </w:t>
            </w:r>
          </w:p>
        </w:tc>
      </w:tr>
      <w:tr>
        <w:trPr/>
        <w:tc>
          <w:tcPr>
            <w:tcW w:w="4490" w:type="dxa"/>
            <w:tcBorders/>
            <w:shd w:fill="CCEEFF" w:val="cle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Income (loss) before income taxes</w:t>
            </w:r>
          </w:p>
        </w:tc>
        <w:tc>
          <w:tcPr>
            <w:tcW w:w="189"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985"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(8,277) </w:t>
            </w:r>
          </w:p>
        </w:tc>
        <w:tc>
          <w:tcPr>
            <w:tcW w:w="60" w:type="dxa"/>
            <w:tcBorders/>
            <w:shd w:fill="CCEEFF" w:val="clear"/>
            <w:vAlign w:val="bottom"/>
          </w:tcPr>
          <w:p>
            <w:pPr>
              <w:pStyle w:val="TableContents"/>
              <w:bidi w:val="0"/>
              <w:spacing w:before="0" w:after="0"/>
              <w:ind w:left="0" w:right="0" w:hanging="0"/>
              <w:jc w:val="left"/>
              <w:rPr/>
            </w:pPr>
            <w:r>
              <w:rPr/>
              <w:t> </w:t>
            </w:r>
          </w:p>
        </w:tc>
        <w:tc>
          <w:tcPr>
            <w:tcW w:w="188"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01"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(5,415) </w:t>
            </w:r>
          </w:p>
        </w:tc>
      </w:tr>
    </w:tbl>
    <w:p>
      <w:pPr>
        <w:pStyle w:val="TextBody"/>
        <w:bidi w:val="0"/>
        <w:spacing w:before="0" w:after="0"/>
        <w:ind w:left="720" w:right="720" w:hanging="0"/>
        <w:jc w:val="both"/>
        <w:rPr>
          <w:rFonts w:cs="Times New Roman"/>
          <w:szCs w:val="22"/>
        </w:rPr>
      </w:pPr>
      <w:r>
        <w:rPr>
          <w:rFonts w:cs="Times New Roman"/>
          <w:szCs w:val="22"/>
        </w:rPr>
        <w:t xml:space="preserve">﻿ </w:t>
      </w:r>
    </w:p>
    <w:p>
      <w:pPr>
        <w:pStyle w:val="TextBody"/>
        <w:bidi w:val="0"/>
        <w:spacing w:before="0" w:after="0"/>
        <w:ind w:left="720" w:right="720" w:hanging="0"/>
        <w:jc w:val="center"/>
        <w:rPr>
          <w:rFonts w:ascii="Times New Roman" w:hAnsi="Times New Roman"/>
          <w:sz w:val="20"/>
        </w:rPr>
      </w:pPr>
      <w:r>
        <w:rPr>
          <w:rFonts w:ascii="Times New Roman" w:hAnsi="Times New Roman"/>
          <w:sz w:val="20"/>
        </w:rPr>
        <w:t xml:space="preserve">7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before="0" w:after="0"/>
        <w:ind w:left="720" w:right="720" w:hanging="0"/>
        <w:jc w:val="both"/>
        <w:rPr>
          <w:rFonts w:ascii="Times New Roman" w:hAnsi="Times New Roman"/>
          <w:b/>
          <w:sz w:val="22"/>
          <w:u w:val="single"/>
        </w:rPr>
      </w:pPr>
      <w:bookmarkStart w:id="13" w:name="_Hlk174282042"/>
      <w:bookmarkEnd w:id="13"/>
      <w:r>
        <w:rPr>
          <w:rFonts w:ascii="Times New Roman" w:hAnsi="Times New Roman"/>
          <w:b/>
          <w:sz w:val="22"/>
          <w:u w:val="single"/>
        </w:rPr>
        <w:t xml:space="preserve">Non-GAAP Financial Measures </w:t>
      </w:r>
    </w:p>
    <w:p>
      <w:pPr>
        <w:pStyle w:val="TextBody"/>
        <w:bidi w:val="0"/>
        <w:spacing w:before="0" w:after="0"/>
        <w:ind w:left="720" w:right="720" w:hanging="0"/>
        <w:jc w:val="both"/>
        <w:rPr>
          <w:rFonts w:cs="Times New Roman"/>
          <w:szCs w:val="22"/>
        </w:rPr>
      </w:pPr>
      <w:r>
        <w:rPr>
          <w:rFonts w:cs="Times New Roman"/>
          <w:szCs w:val="22"/>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sz w:val="22"/>
        </w:rPr>
        <w:t xml:space="preserve">This Earnings Release presents total segment operating income (loss), EBITDA, and Adjusted EBITDA, which are important financial measures for our Company, but are not financial measures defined by U.S. GAAP. </w:t>
      </w:r>
    </w:p>
    <w:p>
      <w:pPr>
        <w:pStyle w:val="TextBody"/>
        <w:bidi w:val="0"/>
        <w:spacing w:before="0" w:after="0"/>
        <w:ind w:left="720" w:right="720" w:hanging="0"/>
        <w:jc w:val="both"/>
        <w:rPr>
          <w:rFonts w:cs="Times New Roman"/>
          <w:szCs w:val="22"/>
        </w:rPr>
      </w:pPr>
      <w:r>
        <w:rPr>
          <w:rFonts w:cs="Times New Roman"/>
          <w:szCs w:val="22"/>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sz w:val="22"/>
        </w:rPr>
        <w:t xml:space="preserve">These measures should be reviewed in conjunction with the relevant U.S. GAAP financial measures and are not presented as alternative measures of earnings (loss) per share, cash flows or net income (loss) as determined in accordance with U.S. GAAP. Total segment operating income (loss) and EBITDA, as we have calculated them, may not be comparable to similarly titled measures reported by other companies. </w:t>
      </w:r>
    </w:p>
    <w:p>
      <w:pPr>
        <w:pStyle w:val="TextBody"/>
        <w:bidi w:val="0"/>
        <w:spacing w:before="0" w:after="0"/>
        <w:ind w:left="720" w:right="720" w:hanging="0"/>
        <w:jc w:val="both"/>
        <w:rPr>
          <w:rFonts w:cs="Times New Roman"/>
          <w:szCs w:val="22"/>
        </w:rPr>
      </w:pPr>
      <w:r>
        <w:rPr>
          <w:rFonts w:cs="Times New Roman"/>
          <w:szCs w:val="22"/>
        </w:rPr>
        <w:t xml:space="preserve">﻿ </w:t>
      </w:r>
    </w:p>
    <w:p>
      <w:pPr>
        <w:pStyle w:val="TextBody"/>
        <w:bidi w:val="0"/>
        <w:spacing w:before="0" w:after="0"/>
        <w:ind w:left="1080" w:right="720" w:hanging="0"/>
        <w:jc w:val="both"/>
        <w:rPr>
          <w:rFonts w:ascii="Times New Roman" w:hAnsi="Times New Roman"/>
          <w:sz w:val="22"/>
        </w:rPr>
      </w:pPr>
      <w:r>
        <w:rPr>
          <w:rFonts w:ascii="Times New Roman" w:hAnsi="Times New Roman"/>
          <w:b/>
          <w:i/>
          <w:sz w:val="22"/>
        </w:rPr>
        <w:t xml:space="preserve">Total segment operating income (loss) </w:t>
      </w:r>
      <w:r>
        <w:rPr>
          <w:rFonts w:ascii="Times New Roman" w:hAnsi="Times New Roman"/>
          <w:sz w:val="22"/>
        </w:rPr>
        <w:t xml:space="preserve">– We evaluate the performance of our business segments based on segment operating income (loss), and management uses total segment operating income (loss) as a measure of the performance of operating businesses separate from non-operating factors. We believe that information about total segment operating income (loss) assists investors by allowing them to evaluate changes in the operating results of our Company’s business separate from non-operational factors that affect net income (loss), thus providing separate insight into both operations and the other factors that affect reported results. </w:t>
      </w:r>
    </w:p>
    <w:p>
      <w:pPr>
        <w:pStyle w:val="TextBody"/>
        <w:bidi w:val="0"/>
        <w:spacing w:before="0" w:after="0"/>
        <w:ind w:left="1080" w:right="720" w:hanging="0"/>
        <w:jc w:val="both"/>
        <w:rPr>
          <w:rFonts w:cs="Times New Roman"/>
          <w:szCs w:val="22"/>
        </w:rPr>
      </w:pPr>
      <w:r>
        <w:rPr>
          <w:rFonts w:cs="Times New Roman"/>
          <w:szCs w:val="22"/>
        </w:rPr>
        <w:t xml:space="preserve">﻿ </w:t>
      </w:r>
    </w:p>
    <w:p>
      <w:pPr>
        <w:pStyle w:val="TextBody"/>
        <w:bidi w:val="0"/>
        <w:spacing w:before="0" w:after="0"/>
        <w:ind w:left="1080" w:right="720" w:hanging="0"/>
        <w:jc w:val="both"/>
        <w:rPr>
          <w:rFonts w:ascii="Times New Roman" w:hAnsi="Times New Roman"/>
          <w:sz w:val="22"/>
        </w:rPr>
      </w:pPr>
      <w:r>
        <w:rPr>
          <w:rFonts w:ascii="Times New Roman" w:hAnsi="Times New Roman"/>
          <w:b/>
          <w:i/>
          <w:sz w:val="22"/>
        </w:rPr>
        <w:t>EBITDA</w:t>
      </w:r>
      <w:r>
        <w:rPr>
          <w:rFonts w:ascii="Times New Roman" w:hAnsi="Times New Roman"/>
          <w:sz w:val="22"/>
        </w:rPr>
        <w:t xml:space="preserve"> – We use EBITDA in the evaluation of our Company’s performance since we believe that EBITDA provides a useful measure of financial performance and value. We believe this principally for the following reasons: </w:t>
      </w:r>
    </w:p>
    <w:p>
      <w:pPr>
        <w:pStyle w:val="TextBody"/>
        <w:bidi w:val="0"/>
        <w:spacing w:before="0" w:after="0"/>
        <w:ind w:left="1080" w:right="720" w:hanging="0"/>
        <w:jc w:val="both"/>
        <w:rPr>
          <w:rFonts w:cs="Times New Roman"/>
          <w:szCs w:val="22"/>
        </w:rPr>
      </w:pPr>
      <w:r>
        <w:rPr>
          <w:rFonts w:cs="Times New Roman"/>
          <w:szCs w:val="22"/>
        </w:rPr>
        <w:t xml:space="preserve">﻿ </w:t>
      </w:r>
    </w:p>
    <w:p>
      <w:pPr>
        <w:pStyle w:val="TextBody"/>
        <w:bidi w:val="0"/>
        <w:spacing w:before="0" w:after="0"/>
        <w:ind w:left="1080" w:right="720" w:hanging="0"/>
        <w:jc w:val="both"/>
        <w:rPr>
          <w:rFonts w:ascii="Times New Roman" w:hAnsi="Times New Roman"/>
          <w:sz w:val="22"/>
        </w:rPr>
      </w:pPr>
      <w:r>
        <w:rPr>
          <w:rFonts w:ascii="Times New Roman" w:hAnsi="Times New Roman"/>
          <w:sz w:val="22"/>
        </w:rPr>
        <w:t xml:space="preserve">We believe that EBITDA is an accepted industry-wide comparative measure of financial performance. It is, in our experience, a measure commonly adopted by analysts and financial commentators who report upon the cinema exhibition and real estate industries, and it is also a measure used by financial institutions in underwriting the creditworthiness of companies in these industries. Accordingly, our management monitors this calculation as a method of judging our performance against our peers, market expectations, and our creditworthiness. It is widely accepted that analysts, financial commentators, and persons active in the cinema exhibition and real estate industries typically value enterprises engaged in these businesses at various multiples of EBITDA. Accordingly, we find EBITDA valuable as an indicator of the underlying value of our businesses. We expect that investors may use EBITDA to judge our ability to generate cash, as a basis of comparison to other companies engaged in the cinema exhibition and real estate businesses and as a basis to value our company against such other companies. </w:t>
      </w:r>
    </w:p>
    <w:p>
      <w:pPr>
        <w:pStyle w:val="TextBody"/>
        <w:bidi w:val="0"/>
        <w:spacing w:before="0" w:after="0"/>
        <w:ind w:left="1080" w:right="720" w:hanging="0"/>
        <w:jc w:val="both"/>
        <w:rPr>
          <w:rFonts w:cs="Times New Roman"/>
          <w:szCs w:val="22"/>
        </w:rPr>
      </w:pPr>
      <w:r>
        <w:rPr>
          <w:rFonts w:cs="Times New Roman"/>
          <w:szCs w:val="22"/>
        </w:rPr>
        <w:t xml:space="preserve">﻿ </w:t>
      </w:r>
    </w:p>
    <w:p>
      <w:pPr>
        <w:pStyle w:val="TextBody"/>
        <w:bidi w:val="0"/>
        <w:spacing w:before="0" w:after="0"/>
        <w:ind w:left="1080" w:right="720" w:hanging="0"/>
        <w:jc w:val="both"/>
        <w:rPr>
          <w:rFonts w:ascii="Times New Roman" w:hAnsi="Times New Roman"/>
          <w:sz w:val="22"/>
        </w:rPr>
      </w:pPr>
      <w:r>
        <w:rPr>
          <w:rFonts w:ascii="Times New Roman" w:hAnsi="Times New Roman"/>
          <w:sz w:val="22"/>
        </w:rPr>
        <w:t xml:space="preserve">EBITDA is not a measurement of financial performance under generally accepted accounting principles in the United States of America and it should not be considered in isolation or construed as a substitute for net income (loss) or other operations data or cash flow data prepared in accordance with generally accepted accounting principles in the United States for purposes of analyzing our profitability. The exclusion of various components, such as interest, taxes, depreciation, and amortization, limits the usefulness of these measures when assessing our financial performance, as not all funds depicted by EBITDA are available for management’s discretionary use. For example, a substantial portion of such funds may be subject to contractual restrictions and functional requirements to service debt, to fund necessary capital expenditures, and to meet other commitments from time to time. </w:t>
      </w:r>
    </w:p>
    <w:p>
      <w:pPr>
        <w:pStyle w:val="TextBody"/>
        <w:bidi w:val="0"/>
        <w:spacing w:before="0" w:after="0"/>
        <w:ind w:left="1080" w:right="720" w:hanging="0"/>
        <w:jc w:val="both"/>
        <w:rPr>
          <w:rFonts w:cs="Times New Roman"/>
          <w:szCs w:val="22"/>
        </w:rPr>
      </w:pPr>
      <w:r>
        <w:rPr>
          <w:rFonts w:cs="Times New Roman"/>
          <w:szCs w:val="22"/>
        </w:rPr>
        <w:t xml:space="preserve">﻿ </w:t>
      </w:r>
    </w:p>
    <w:p>
      <w:pPr>
        <w:pStyle w:val="TextBody"/>
        <w:bidi w:val="0"/>
        <w:spacing w:before="0" w:after="0"/>
        <w:ind w:left="1080" w:right="720" w:hanging="0"/>
        <w:jc w:val="both"/>
        <w:rPr>
          <w:rFonts w:ascii="Times New Roman" w:hAnsi="Times New Roman"/>
          <w:sz w:val="22"/>
        </w:rPr>
      </w:pPr>
      <w:r>
        <w:rPr>
          <w:rFonts w:ascii="Times New Roman" w:hAnsi="Times New Roman"/>
          <w:sz w:val="22"/>
        </w:rPr>
        <w:t xml:space="preserve">EBITDA also fails to take into account the cost of interest and taxes. Interest is clearly a real cost that for us is paid periodically as accrued. Taxes may or may not be a current cash item but are nevertheless real costs that, in most situations, must eventually be paid. A company that realizes taxable earnings in high tax jurisdictions may, ultimately, be less valuable than a company that realizes the same amount of taxable earnings in a low tax jurisdiction. EBITDA fails to take into account the cost of depreciation and amortization and the fact that assets will eventually wear out and have to be replaced. </w:t>
      </w:r>
    </w:p>
    <w:p>
      <w:pPr>
        <w:pStyle w:val="TextBody"/>
        <w:bidi w:val="0"/>
        <w:spacing w:before="0" w:after="0"/>
        <w:ind w:left="1080" w:right="720" w:hanging="0"/>
        <w:jc w:val="both"/>
        <w:rPr>
          <w:rFonts w:cs="Times New Roman"/>
          <w:szCs w:val="22"/>
        </w:rPr>
      </w:pPr>
      <w:r>
        <w:rPr>
          <w:rFonts w:cs="Times New Roman"/>
          <w:szCs w:val="22"/>
        </w:rPr>
        <w:t xml:space="preserve">﻿ </w:t>
      </w:r>
    </w:p>
    <w:p>
      <w:pPr>
        <w:pStyle w:val="TextBody"/>
        <w:bidi w:val="0"/>
        <w:spacing w:before="0" w:after="0"/>
        <w:ind w:left="1080" w:right="720" w:hanging="0"/>
        <w:jc w:val="both"/>
        <w:rPr>
          <w:rFonts w:ascii="Times New Roman" w:hAnsi="Times New Roman"/>
          <w:sz w:val="22"/>
        </w:rPr>
      </w:pPr>
      <w:r>
        <w:rPr>
          <w:rFonts w:ascii="Times New Roman" w:hAnsi="Times New Roman"/>
          <w:b/>
          <w:i/>
          <w:sz w:val="22"/>
        </w:rPr>
        <w:t>Adjusted EBITDA</w:t>
      </w:r>
      <w:r>
        <w:rPr>
          <w:rFonts w:ascii="Times New Roman" w:hAnsi="Times New Roman"/>
          <w:sz w:val="22"/>
        </w:rPr>
        <w:t xml:space="preserve"> – using the principles we consistently apply to determine our EBITDA, we further adjusted the EBITDA for certain items we believe to be external to our core business and not reflective of our costs of doing business or results of operation. Specifically, we have adjusted for (i) legal expenses relating to extraordinary litigation, and (ii) any other items that can be considered non-recurring in accordance with the two-year SEC requirement for determining an item is non-recurring, infrequent or unusual in nature. </w:t>
      </w:r>
    </w:p>
    <w:p>
      <w:pPr>
        <w:pStyle w:val="TextBody"/>
        <w:bidi w:val="0"/>
        <w:spacing w:before="0" w:after="0"/>
        <w:ind w:left="1080" w:right="720" w:hanging="0"/>
        <w:jc w:val="both"/>
        <w:rPr>
          <w:rFonts w:cs="Times New Roman"/>
          <w:szCs w:val="20"/>
        </w:rPr>
      </w:pPr>
      <w:r>
        <w:rPr>
          <w:rFonts w:cs="Times New Roman"/>
          <w:szCs w:val="20"/>
        </w:rPr>
        <w:t xml:space="preserve">﻿ </w:t>
      </w:r>
    </w:p>
    <w:p>
      <w:pPr>
        <w:pStyle w:val="TextBody"/>
        <w:bidi w:val="0"/>
        <w:spacing w:before="0" w:after="0"/>
        <w:ind w:left="720" w:right="720" w:hanging="0"/>
        <w:jc w:val="center"/>
        <w:rPr>
          <w:rFonts w:ascii="Times New Roman" w:hAnsi="Times New Roman"/>
          <w:sz w:val="20"/>
        </w:rPr>
      </w:pPr>
      <w:r>
        <w:rPr>
          <w:rFonts w:ascii="Times New Roman" w:hAnsi="Times New Roman"/>
          <w:sz w:val="20"/>
        </w:rPr>
        <w:t xml:space="preserve">8 </w:t>
      </w:r>
    </w:p>
    <w:p>
      <w:pPr>
        <w:pStyle w:val="HorizontalLine"/>
        <w:pBdr>
          <w:bottom w:val="double" w:sz="6" w:space="0" w:color="808080"/>
        </w:pBdr>
        <w:bidi w:val="0"/>
        <w:spacing w:before="0" w:after="283"/>
        <w:ind w:left="720" w:right="72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inherit">
    <w:charset w:val="01"/>
    <w:family w:val="auto"/>
    <w:pitch w:val="default"/>
  </w:font>
  <w:font w:name="Times New Roman">
    <w:charset w:val="01"/>
    <w:family w:val="auto"/>
    <w:pitch w:val="default"/>
  </w:font>
  <w:font w:name="Symbol">
    <w:charset w:val="01"/>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4086</Words>
  <Characters>21965</Characters>
  <CharactersWithSpaces>26513</CharactersWithSpaces>
  <Paragraphs>1268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